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078B1">
      <w:pPr>
        <w:adjustRightInd w:val="0"/>
        <w:snapToGrid w:val="0"/>
        <w:ind w:firstLine="720" w:firstLineChars="100"/>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14:paraId="388140E8">
      <w:pPr>
        <w:adjustRightInd w:val="0"/>
        <w:snapToGrid w:val="0"/>
        <w:spacing w:beforeLines="80" w:line="360" w:lineRule="auto"/>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14:paraId="65EBEAA0">
      <w:pPr>
        <w:adjustRightInd w:val="0"/>
        <w:snapToGrid w:val="0"/>
        <w:spacing w:beforeLines="80" w:line="360" w:lineRule="auto"/>
        <w:jc w:val="center"/>
        <w:rPr>
          <w:rFonts w:hint="eastAsia" w:ascii="Times New Roman" w:hAnsi="Times New Roman" w:eastAsia="楷体_GB2312" w:cs="Times New Roman"/>
          <w:bCs/>
          <w:color w:val="auto"/>
          <w:sz w:val="28"/>
          <w:szCs w:val="28"/>
          <w:lang w:eastAsia="zh-CN"/>
        </w:rPr>
      </w:pPr>
      <w:r>
        <w:rPr>
          <w:rFonts w:hint="eastAsia" w:eastAsia="楷体_GB2312" w:cs="Times New Roman"/>
          <w:bCs/>
          <w:color w:val="auto"/>
          <w:sz w:val="28"/>
          <w:szCs w:val="28"/>
          <w:lang w:eastAsia="zh-CN"/>
        </w:rPr>
        <w:t>（</w:t>
      </w:r>
      <w:r>
        <w:rPr>
          <w:rFonts w:hint="eastAsia" w:eastAsia="楷体_GB2312" w:cs="Times New Roman"/>
          <w:bCs/>
          <w:color w:val="auto"/>
          <w:sz w:val="28"/>
          <w:szCs w:val="28"/>
          <w:lang w:val="en-US" w:eastAsia="zh-CN"/>
        </w:rPr>
        <w:t>公示版</w:t>
      </w:r>
      <w:r>
        <w:rPr>
          <w:rFonts w:hint="eastAsia" w:eastAsia="楷体_GB2312" w:cs="Times New Roman"/>
          <w:bCs/>
          <w:color w:val="auto"/>
          <w:sz w:val="28"/>
          <w:szCs w:val="28"/>
          <w:lang w:eastAsia="zh-CN"/>
        </w:rPr>
        <w:t>）</w:t>
      </w:r>
    </w:p>
    <w:p w14:paraId="64B531F3">
      <w:pPr>
        <w:pStyle w:val="56"/>
        <w:rPr>
          <w:rFonts w:hint="default" w:ascii="Times New Roman" w:hAnsi="Times New Roman" w:cs="Times New Roman"/>
          <w:color w:val="auto"/>
          <w:sz w:val="52"/>
          <w:szCs w:val="52"/>
        </w:rPr>
      </w:pPr>
    </w:p>
    <w:p w14:paraId="7081D359">
      <w:pPr>
        <w:pStyle w:val="56"/>
        <w:rPr>
          <w:rFonts w:hint="default" w:ascii="Times New Roman" w:hAnsi="Times New Roman" w:cs="Times New Roman"/>
          <w:color w:val="auto"/>
          <w:sz w:val="52"/>
          <w:szCs w:val="52"/>
        </w:rPr>
      </w:pPr>
    </w:p>
    <w:p w14:paraId="6935BE33">
      <w:pPr>
        <w:pStyle w:val="56"/>
        <w:rPr>
          <w:rFonts w:hint="default" w:ascii="Times New Roman" w:hAnsi="Times New Roman" w:cs="Times New Roman"/>
          <w:color w:val="auto"/>
          <w:sz w:val="52"/>
          <w:szCs w:val="52"/>
        </w:rPr>
      </w:pPr>
    </w:p>
    <w:p w14:paraId="5E6BE07D">
      <w:pPr>
        <w:ind w:firstLine="1040"/>
        <w:rPr>
          <w:rFonts w:hint="default" w:ascii="Times New Roman" w:hAnsi="Times New Roman" w:cs="Times New Roman"/>
          <w:color w:val="auto"/>
          <w:sz w:val="44"/>
          <w:szCs w:val="44"/>
        </w:rPr>
      </w:pPr>
    </w:p>
    <w:p w14:paraId="00296B0C">
      <w:pPr>
        <w:ind w:firstLine="1040"/>
        <w:rPr>
          <w:rFonts w:hint="default" w:ascii="Times New Roman" w:hAnsi="Times New Roman" w:cs="Times New Roman"/>
          <w:color w:val="auto"/>
          <w:sz w:val="44"/>
          <w:szCs w:val="44"/>
        </w:rPr>
      </w:pPr>
    </w:p>
    <w:p w14:paraId="25E789FC">
      <w:pPr>
        <w:ind w:firstLine="1040"/>
        <w:rPr>
          <w:rFonts w:hint="default" w:ascii="Times New Roman" w:hAnsi="Times New Roman" w:cs="Times New Roman"/>
          <w:color w:val="auto"/>
          <w:sz w:val="44"/>
          <w:szCs w:val="44"/>
        </w:rPr>
      </w:pPr>
    </w:p>
    <w:p w14:paraId="29C382F3">
      <w:pPr>
        <w:ind w:firstLine="1040"/>
        <w:rPr>
          <w:rFonts w:hint="default" w:ascii="Times New Roman" w:hAnsi="Times New Roman" w:eastAsia="仿宋" w:cs="Times New Roman"/>
          <w:color w:val="auto"/>
          <w:sz w:val="44"/>
          <w:szCs w:val="44"/>
        </w:rPr>
      </w:pPr>
    </w:p>
    <w:p w14:paraId="5D1EA62B">
      <w:pPr>
        <w:adjustRightInd w:val="0"/>
        <w:snapToGrid w:val="0"/>
        <w:spacing w:line="288" w:lineRule="auto"/>
        <w:ind w:firstLine="720" w:firstLineChars="200"/>
        <w:rPr>
          <w:rFonts w:hint="default" w:ascii="Times New Roman" w:hAnsi="Times New Roman" w:cs="Times New Roman"/>
          <w:color w:val="auto"/>
          <w:sz w:val="36"/>
          <w:szCs w:val="36"/>
          <w:u w:val="single"/>
          <w:lang w:val="en-US"/>
        </w:rPr>
      </w:pPr>
      <w:r>
        <w:rPr>
          <w:rFonts w:hint="default" w:ascii="Times New Roman" w:hAnsi="Times New Roman" w:cs="Times New Roman"/>
          <w:color w:val="auto"/>
          <w:sz w:val="36"/>
          <w:szCs w:val="36"/>
        </w:rPr>
        <w:t>项目名称：</w:t>
      </w:r>
      <w:r>
        <w:rPr>
          <w:rFonts w:hint="eastAsia" w:ascii="Times New Roman" w:hAnsi="Times New Roman" w:cs="Times New Roman"/>
          <w:color w:val="auto"/>
          <w:sz w:val="36"/>
          <w:szCs w:val="36"/>
          <w:u w:val="single"/>
          <w:lang w:val="en-US" w:eastAsia="zh-CN"/>
        </w:rPr>
        <w:t xml:space="preserve">  </w:t>
      </w:r>
      <w:r>
        <w:rPr>
          <w:rFonts w:hint="eastAsia" w:ascii="Times New Roman" w:hAnsi="Times New Roman" w:cs="Times New Roman"/>
          <w:color w:val="auto"/>
          <w:sz w:val="36"/>
          <w:szCs w:val="36"/>
          <w:u w:val="single"/>
          <w:lang w:eastAsia="zh-CN"/>
        </w:rPr>
        <w:t>恒盈塑料制品生产项目</w:t>
      </w:r>
      <w:r>
        <w:rPr>
          <w:rFonts w:hint="eastAsia" w:ascii="Times New Roman" w:hAnsi="Times New Roman" w:cs="Times New Roman"/>
          <w:color w:val="auto"/>
          <w:sz w:val="36"/>
          <w:szCs w:val="36"/>
          <w:u w:val="single"/>
          <w:lang w:val="en-US" w:eastAsia="zh-CN"/>
        </w:rPr>
        <w:t xml:space="preserve">  </w:t>
      </w:r>
    </w:p>
    <w:p w14:paraId="489027E5">
      <w:pPr>
        <w:adjustRightInd w:val="0"/>
        <w:snapToGrid w:val="0"/>
        <w:spacing w:line="288" w:lineRule="auto"/>
        <w:ind w:firstLine="720" w:firstLineChars="200"/>
        <w:rPr>
          <w:rFonts w:hint="default" w:ascii="Times New Roman" w:hAnsi="Times New Roman" w:cs="Times New Roman"/>
          <w:color w:val="auto"/>
          <w:sz w:val="36"/>
          <w:szCs w:val="36"/>
          <w:u w:val="single"/>
        </w:rPr>
      </w:pPr>
      <w:r>
        <w:rPr>
          <w:rFonts w:hint="default" w:ascii="Times New Roman" w:hAnsi="Times New Roman" w:cs="Times New Roman"/>
          <w:color w:val="auto"/>
          <w:sz w:val="36"/>
          <w:szCs w:val="36"/>
        </w:rPr>
        <w:t>建设单位：</w:t>
      </w:r>
      <w:r>
        <w:rPr>
          <w:rFonts w:hint="eastAsia" w:ascii="Times New Roman" w:hAnsi="Times New Roman" w:eastAsia="宋体" w:cs="Times New Roman"/>
          <w:color w:val="auto"/>
          <w:sz w:val="36"/>
          <w:szCs w:val="36"/>
          <w:u w:val="single"/>
          <w:lang w:val="en-US" w:eastAsia="zh-CN"/>
        </w:rPr>
        <w:t>重庆恒盈塑料制品有限公司</w:t>
      </w:r>
    </w:p>
    <w:p w14:paraId="1353E9B8">
      <w:pPr>
        <w:adjustRightInd w:val="0"/>
        <w:snapToGrid w:val="0"/>
        <w:spacing w:line="288" w:lineRule="auto"/>
        <w:ind w:firstLine="720" w:firstLineChars="200"/>
        <w:rPr>
          <w:rFonts w:hint="default" w:ascii="Times New Roman" w:hAnsi="Times New Roman" w:cs="Times New Roman"/>
          <w:color w:val="auto"/>
          <w:sz w:val="36"/>
          <w:szCs w:val="36"/>
          <w:u w:val="single"/>
        </w:rPr>
      </w:pPr>
      <w:r>
        <w:rPr>
          <w:rFonts w:hint="default" w:ascii="Times New Roman" w:hAnsi="Times New Roman" w:cs="Times New Roman"/>
          <w:color w:val="auto"/>
          <w:sz w:val="36"/>
          <w:szCs w:val="36"/>
        </w:rPr>
        <w:t>编制日期：</w:t>
      </w:r>
      <w:r>
        <w:rPr>
          <w:rFonts w:hint="default" w:ascii="Times New Roman" w:hAnsi="Times New Roman" w:cs="Times New Roman"/>
          <w:color w:val="auto"/>
          <w:sz w:val="36"/>
          <w:szCs w:val="36"/>
          <w:u w:val="single"/>
        </w:rPr>
        <w:t xml:space="preserve">    二〇二</w:t>
      </w:r>
      <w:r>
        <w:rPr>
          <w:rFonts w:hint="default" w:ascii="Times New Roman" w:hAnsi="Times New Roman" w:cs="Times New Roman"/>
          <w:color w:val="auto"/>
          <w:sz w:val="36"/>
          <w:szCs w:val="36"/>
          <w:u w:val="single"/>
          <w:lang w:eastAsia="zh-CN"/>
        </w:rPr>
        <w:t>五</w:t>
      </w:r>
      <w:r>
        <w:rPr>
          <w:rFonts w:hint="default" w:ascii="Times New Roman" w:hAnsi="Times New Roman" w:cs="Times New Roman"/>
          <w:color w:val="auto"/>
          <w:sz w:val="36"/>
          <w:szCs w:val="36"/>
          <w:u w:val="single"/>
        </w:rPr>
        <w:t>年</w:t>
      </w:r>
      <w:r>
        <w:rPr>
          <w:rFonts w:hint="eastAsia" w:cs="Times New Roman"/>
          <w:color w:val="auto"/>
          <w:sz w:val="36"/>
          <w:szCs w:val="36"/>
          <w:u w:val="single"/>
          <w:lang w:val="en-US" w:eastAsia="zh-CN"/>
        </w:rPr>
        <w:t>十</w:t>
      </w:r>
      <w:r>
        <w:rPr>
          <w:rFonts w:hint="default" w:ascii="Times New Roman" w:hAnsi="Times New Roman" w:cs="Times New Roman"/>
          <w:color w:val="auto"/>
          <w:sz w:val="36"/>
          <w:szCs w:val="36"/>
          <w:u w:val="single"/>
        </w:rPr>
        <w:t xml:space="preserve">月 </w:t>
      </w:r>
      <w:r>
        <w:rPr>
          <w:rFonts w:hint="eastAsia" w:cs="Times New Roman"/>
          <w:color w:val="auto"/>
          <w:sz w:val="36"/>
          <w:szCs w:val="36"/>
          <w:u w:val="single"/>
          <w:lang w:val="en-US" w:eastAsia="zh-CN"/>
        </w:rPr>
        <w:t xml:space="preserve">  </w:t>
      </w:r>
      <w:r>
        <w:rPr>
          <w:rFonts w:hint="eastAsia" w:ascii="Times New Roman" w:hAnsi="Times New Roman" w:cs="Times New Roman"/>
          <w:color w:val="auto"/>
          <w:sz w:val="36"/>
          <w:szCs w:val="36"/>
          <w:u w:val="single"/>
          <w:lang w:val="en-US" w:eastAsia="zh-CN"/>
        </w:rPr>
        <w:t xml:space="preserve">   </w:t>
      </w:r>
    </w:p>
    <w:p w14:paraId="7795F720">
      <w:pPr>
        <w:adjustRightInd w:val="0"/>
        <w:snapToGrid w:val="0"/>
        <w:spacing w:line="288" w:lineRule="auto"/>
        <w:ind w:firstLine="1040"/>
        <w:rPr>
          <w:rFonts w:hint="default" w:ascii="Times New Roman" w:hAnsi="Times New Roman" w:cs="Times New Roman"/>
          <w:color w:val="auto"/>
          <w:sz w:val="36"/>
          <w:szCs w:val="36"/>
          <w:u w:val="single"/>
        </w:rPr>
      </w:pPr>
    </w:p>
    <w:p w14:paraId="331E9F0A">
      <w:pPr>
        <w:adjustRightInd w:val="0"/>
        <w:snapToGrid w:val="0"/>
        <w:spacing w:line="288" w:lineRule="auto"/>
        <w:ind w:firstLine="1040"/>
        <w:rPr>
          <w:rFonts w:hint="default" w:ascii="Times New Roman" w:hAnsi="Times New Roman" w:cs="Times New Roman"/>
          <w:color w:val="auto"/>
          <w:sz w:val="36"/>
          <w:szCs w:val="36"/>
        </w:rPr>
      </w:pPr>
    </w:p>
    <w:p w14:paraId="688EAE4E">
      <w:pPr>
        <w:adjustRightInd w:val="0"/>
        <w:snapToGrid w:val="0"/>
        <w:spacing w:line="288" w:lineRule="auto"/>
        <w:ind w:firstLine="1040"/>
        <w:rPr>
          <w:rFonts w:hint="default" w:ascii="Times New Roman" w:hAnsi="Times New Roman" w:eastAsia="宋体" w:cs="Times New Roman"/>
          <w:color w:val="auto"/>
          <w:sz w:val="36"/>
          <w:szCs w:val="36"/>
          <w:lang w:val="en-US" w:eastAsia="zh-CN"/>
        </w:rPr>
      </w:pPr>
      <w:r>
        <w:rPr>
          <w:rFonts w:hint="default" w:ascii="Times New Roman" w:hAnsi="Times New Roman" w:cs="Times New Roman"/>
          <w:color w:val="auto"/>
          <w:sz w:val="36"/>
          <w:szCs w:val="36"/>
          <w:lang w:val="en-US" w:eastAsia="zh-CN"/>
        </w:rPr>
        <w:t xml:space="preserve">                                        </w:t>
      </w:r>
    </w:p>
    <w:p w14:paraId="35F8A711">
      <w:pPr>
        <w:adjustRightInd w:val="0"/>
        <w:snapToGrid w:val="0"/>
        <w:spacing w:line="288" w:lineRule="auto"/>
        <w:ind w:firstLine="1040"/>
        <w:rPr>
          <w:rFonts w:hint="default" w:ascii="Times New Roman" w:hAnsi="Times New Roman" w:cs="Times New Roman"/>
          <w:color w:val="auto"/>
          <w:sz w:val="36"/>
          <w:szCs w:val="36"/>
        </w:rPr>
      </w:pPr>
    </w:p>
    <w:p w14:paraId="4E8E29AE">
      <w:pPr>
        <w:adjustRightInd w:val="0"/>
        <w:snapToGrid w:val="0"/>
        <w:spacing w:line="288" w:lineRule="auto"/>
        <w:ind w:firstLine="1040"/>
        <w:rPr>
          <w:rFonts w:hint="default" w:ascii="Times New Roman" w:hAnsi="Times New Roman" w:cs="Times New Roman"/>
          <w:color w:val="auto"/>
          <w:sz w:val="36"/>
          <w:szCs w:val="36"/>
        </w:rPr>
      </w:pPr>
    </w:p>
    <w:p w14:paraId="5518A8C6">
      <w:pPr>
        <w:adjustRightInd w:val="0"/>
        <w:snapToGrid w:val="0"/>
        <w:spacing w:line="288" w:lineRule="auto"/>
        <w:jc w:val="center"/>
        <w:rPr>
          <w:rFonts w:hint="default" w:ascii="Times New Roman" w:hAnsi="Times New Roman" w:cs="Times New Roman"/>
          <w:color w:val="auto"/>
          <w:sz w:val="36"/>
          <w:szCs w:val="36"/>
        </w:rPr>
      </w:pPr>
      <w:r>
        <w:rPr>
          <w:rFonts w:hint="default" w:ascii="Times New Roman" w:hAnsi="Times New Roman" w:eastAsia="楷体_GB2312" w:cs="Times New Roman"/>
          <w:color w:val="auto"/>
          <w:sz w:val="36"/>
          <w:szCs w:val="36"/>
        </w:rPr>
        <w:t>中华人民共和国生态环境部制</w:t>
      </w:r>
    </w:p>
    <w:p w14:paraId="030C74ED">
      <w:pPr>
        <w:adjustRightInd w:val="0"/>
        <w:snapToGrid w:val="0"/>
        <w:spacing w:line="288" w:lineRule="auto"/>
        <w:ind w:firstLine="1040"/>
        <w:rPr>
          <w:rFonts w:hint="default" w:ascii="Times New Roman" w:hAnsi="Times New Roman" w:cs="Times New Roman"/>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7DD68F39">
      <w:pPr>
        <w:rPr>
          <w:rFonts w:hint="default" w:ascii="Times New Roman" w:hAnsi="Times New Roman" w:cs="Times New Roman"/>
          <w:snapToGrid w:val="0"/>
          <w:color w:val="auto"/>
          <w:sz w:val="30"/>
          <w:szCs w:val="30"/>
        </w:rPr>
      </w:pPr>
      <w:r>
        <w:drawing>
          <wp:inline distT="0" distB="0" distL="114300" distR="114300">
            <wp:extent cx="5524500" cy="7772400"/>
            <wp:effectExtent l="0" t="0" r="0" b="0"/>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pic:cNvPicPr>
                      <a:picLocks noChangeAspect="1"/>
                    </pic:cNvPicPr>
                  </pic:nvPicPr>
                  <pic:blipFill>
                    <a:blip r:embed="rId8"/>
                    <a:stretch>
                      <a:fillRect/>
                    </a:stretch>
                  </pic:blipFill>
                  <pic:spPr>
                    <a:xfrm>
                      <a:off x="0" y="0"/>
                      <a:ext cx="5524500" cy="7772400"/>
                    </a:xfrm>
                    <a:prstGeom prst="rect">
                      <a:avLst/>
                    </a:prstGeom>
                    <a:noFill/>
                    <a:ln>
                      <a:noFill/>
                    </a:ln>
                  </pic:spPr>
                </pic:pic>
              </a:graphicData>
            </a:graphic>
          </wp:inline>
        </w:drawing>
      </w:r>
      <w:r>
        <w:drawing>
          <wp:inline distT="0" distB="0" distL="114300" distR="114300">
            <wp:extent cx="5486400" cy="7781925"/>
            <wp:effectExtent l="0" t="0" r="0" b="9525"/>
            <wp:docPr id="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
                    <pic:cNvPicPr>
                      <a:picLocks noChangeAspect="1"/>
                    </pic:cNvPicPr>
                  </pic:nvPicPr>
                  <pic:blipFill>
                    <a:blip r:embed="rId9"/>
                    <a:stretch>
                      <a:fillRect/>
                    </a:stretch>
                  </pic:blipFill>
                  <pic:spPr>
                    <a:xfrm>
                      <a:off x="0" y="0"/>
                      <a:ext cx="5486400" cy="7781925"/>
                    </a:xfrm>
                    <a:prstGeom prst="rect">
                      <a:avLst/>
                    </a:prstGeom>
                    <a:noFill/>
                    <a:ln>
                      <a:noFill/>
                    </a:ln>
                  </pic:spPr>
                </pic:pic>
              </a:graphicData>
            </a:graphic>
          </wp:inline>
        </w:drawing>
      </w:r>
      <w:r>
        <w:rPr>
          <w:rFonts w:hint="default" w:ascii="Times New Roman" w:hAnsi="Times New Roman" w:cs="Times New Roman"/>
          <w:snapToGrid w:val="0"/>
          <w:color w:val="auto"/>
          <w:sz w:val="30"/>
          <w:szCs w:val="30"/>
        </w:rPr>
        <w:br w:type="page"/>
      </w:r>
    </w:p>
    <w:p w14:paraId="6E0F9DAE">
      <w:pPr>
        <w:pStyle w:val="26"/>
        <w:jc w:val="center"/>
        <w:outlineLvl w:val="0"/>
        <w:rPr>
          <w:rFonts w:hint="default" w:ascii="Times New Roman" w:hAnsi="Times New Roman" w:cs="Times New Roman"/>
          <w:snapToGrid w:val="0"/>
          <w:color w:val="auto"/>
          <w:sz w:val="30"/>
          <w:szCs w:val="30"/>
        </w:rPr>
      </w:pPr>
      <w:r>
        <w:rPr>
          <w:rFonts w:hint="default" w:ascii="Times New Roman" w:hAnsi="Times New Roman" w:cs="Times New Roman"/>
          <w:snapToGrid w:val="0"/>
          <w:color w:val="auto"/>
          <w:sz w:val="30"/>
          <w:szCs w:val="30"/>
        </w:rPr>
        <w:t>一、建设项目基本情况</w:t>
      </w:r>
    </w:p>
    <w:tbl>
      <w:tblPr>
        <w:tblStyle w:val="30"/>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5"/>
        <w:gridCol w:w="590"/>
        <w:gridCol w:w="1792"/>
        <w:gridCol w:w="1637"/>
        <w:gridCol w:w="2212"/>
        <w:gridCol w:w="2639"/>
        <w:gridCol w:w="95"/>
      </w:tblGrid>
      <w:tr w14:paraId="2B913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Before w:val="1"/>
          <w:gridAfter w:val="1"/>
          <w:wBefore w:w="95" w:type="dxa"/>
          <w:wAfter w:w="95" w:type="dxa"/>
          <w:trHeight w:val="497" w:hRule="atLeast"/>
          <w:jc w:val="center"/>
        </w:trPr>
        <w:tc>
          <w:tcPr>
            <w:tcW w:w="2382" w:type="dxa"/>
            <w:gridSpan w:val="2"/>
            <w:noWrap w:val="0"/>
            <w:tcMar>
              <w:top w:w="16" w:type="dxa"/>
              <w:left w:w="16" w:type="dxa"/>
              <w:right w:w="16" w:type="dxa"/>
            </w:tcMar>
            <w:vAlign w:val="center"/>
          </w:tcPr>
          <w:p w14:paraId="66641AFB">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建设项目名称</w:t>
            </w:r>
          </w:p>
        </w:tc>
        <w:tc>
          <w:tcPr>
            <w:tcW w:w="6488" w:type="dxa"/>
            <w:gridSpan w:val="3"/>
            <w:noWrap w:val="0"/>
            <w:vAlign w:val="center"/>
          </w:tcPr>
          <w:p w14:paraId="2AA474B1">
            <w:pPr>
              <w:adjustRightInd w:val="0"/>
              <w:snapToGrid w:val="0"/>
              <w:jc w:val="center"/>
              <w:rPr>
                <w:rFonts w:hint="default" w:ascii="Times New Roman" w:hAnsi="Times New Roman" w:eastAsia="宋体" w:cs="Times New Roman"/>
                <w:color w:val="auto"/>
                <w:szCs w:val="21"/>
                <w:lang w:eastAsia="zh-CN"/>
              </w:rPr>
            </w:pPr>
            <w:bookmarkStart w:id="0" w:name="OLE_LINK1"/>
            <w:r>
              <w:rPr>
                <w:rFonts w:hint="eastAsia" w:ascii="Times New Roman" w:hAnsi="Times New Roman" w:cs="Times New Roman"/>
                <w:color w:val="auto"/>
                <w:szCs w:val="21"/>
                <w:lang w:eastAsia="zh-CN"/>
              </w:rPr>
              <w:t>恒盈塑料制品生产项目</w:t>
            </w:r>
            <w:bookmarkEnd w:id="0"/>
          </w:p>
        </w:tc>
      </w:tr>
      <w:tr w14:paraId="0FD02B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Before w:val="1"/>
          <w:gridAfter w:val="1"/>
          <w:wBefore w:w="95" w:type="dxa"/>
          <w:wAfter w:w="95" w:type="dxa"/>
          <w:trHeight w:val="497" w:hRule="atLeast"/>
          <w:jc w:val="center"/>
        </w:trPr>
        <w:tc>
          <w:tcPr>
            <w:tcW w:w="2382" w:type="dxa"/>
            <w:gridSpan w:val="2"/>
            <w:noWrap w:val="0"/>
            <w:tcMar>
              <w:top w:w="16" w:type="dxa"/>
              <w:left w:w="16" w:type="dxa"/>
              <w:right w:w="16" w:type="dxa"/>
            </w:tcMar>
            <w:vAlign w:val="center"/>
          </w:tcPr>
          <w:p w14:paraId="64A17C8E">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项目代码</w:t>
            </w:r>
          </w:p>
        </w:tc>
        <w:tc>
          <w:tcPr>
            <w:tcW w:w="6488" w:type="dxa"/>
            <w:gridSpan w:val="3"/>
            <w:noWrap w:val="0"/>
            <w:vAlign w:val="center"/>
          </w:tcPr>
          <w:p w14:paraId="3944D693">
            <w:pPr>
              <w:adjustRightInd w:val="0"/>
              <w:snapToGrid w:val="0"/>
              <w:jc w:val="center"/>
              <w:rPr>
                <w:rFonts w:hint="default" w:ascii="Times New Roman" w:hAnsi="Times New Roman" w:eastAsia="宋体" w:cs="Times New Roman"/>
                <w:color w:val="auto"/>
                <w:szCs w:val="21"/>
                <w:lang w:eastAsia="zh-CN"/>
              </w:rPr>
            </w:pPr>
            <w:r>
              <w:rPr>
                <w:rFonts w:hint="eastAsia" w:cs="Times New Roman"/>
                <w:color w:val="auto"/>
                <w:szCs w:val="21"/>
                <w:lang w:eastAsia="zh-CN"/>
              </w:rPr>
              <w:t>2510-500117-04-01-410284</w:t>
            </w:r>
          </w:p>
        </w:tc>
      </w:tr>
      <w:tr w14:paraId="4D732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Before w:val="1"/>
          <w:gridAfter w:val="1"/>
          <w:wBefore w:w="95" w:type="dxa"/>
          <w:wAfter w:w="95" w:type="dxa"/>
          <w:trHeight w:val="488" w:hRule="atLeast"/>
          <w:jc w:val="center"/>
        </w:trPr>
        <w:tc>
          <w:tcPr>
            <w:tcW w:w="2382" w:type="dxa"/>
            <w:gridSpan w:val="2"/>
            <w:noWrap w:val="0"/>
            <w:tcMar>
              <w:top w:w="16" w:type="dxa"/>
              <w:left w:w="16" w:type="dxa"/>
              <w:right w:w="16" w:type="dxa"/>
            </w:tcMar>
            <w:vAlign w:val="center"/>
          </w:tcPr>
          <w:p w14:paraId="2C44D4F4">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建设单位联系人</w:t>
            </w:r>
          </w:p>
        </w:tc>
        <w:tc>
          <w:tcPr>
            <w:tcW w:w="1637" w:type="dxa"/>
            <w:noWrap w:val="0"/>
            <w:vAlign w:val="center"/>
          </w:tcPr>
          <w:p w14:paraId="1EE558BC">
            <w:pPr>
              <w:adjustRightInd w:val="0"/>
              <w:snapToGrid w:val="0"/>
              <w:jc w:val="center"/>
              <w:rPr>
                <w:rFonts w:hint="default" w:ascii="Times New Roman" w:hAnsi="Times New Roman" w:eastAsia="宋体" w:cs="Times New Roman"/>
                <w:color w:val="auto"/>
                <w:szCs w:val="21"/>
                <w:lang w:eastAsia="zh-CN"/>
              </w:rPr>
            </w:pPr>
          </w:p>
        </w:tc>
        <w:tc>
          <w:tcPr>
            <w:tcW w:w="2212" w:type="dxa"/>
            <w:noWrap w:val="0"/>
            <w:vAlign w:val="center"/>
          </w:tcPr>
          <w:p w14:paraId="4E3415DB">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联系方式</w:t>
            </w:r>
          </w:p>
        </w:tc>
        <w:tc>
          <w:tcPr>
            <w:tcW w:w="2639" w:type="dxa"/>
            <w:noWrap w:val="0"/>
            <w:vAlign w:val="center"/>
          </w:tcPr>
          <w:p w14:paraId="6BF55409">
            <w:pPr>
              <w:adjustRightInd w:val="0"/>
              <w:snapToGrid w:val="0"/>
              <w:jc w:val="center"/>
              <w:rPr>
                <w:rFonts w:hint="default" w:ascii="Times New Roman" w:hAnsi="Times New Roman" w:eastAsia="宋体" w:cs="Times New Roman"/>
                <w:color w:val="auto"/>
                <w:szCs w:val="21"/>
                <w:lang w:eastAsia="zh-CN"/>
              </w:rPr>
            </w:pPr>
          </w:p>
        </w:tc>
      </w:tr>
      <w:tr w14:paraId="5959D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Before w:val="1"/>
          <w:gridAfter w:val="1"/>
          <w:wBefore w:w="95" w:type="dxa"/>
          <w:wAfter w:w="95" w:type="dxa"/>
          <w:trHeight w:val="90" w:hRule="atLeast"/>
          <w:jc w:val="center"/>
        </w:trPr>
        <w:tc>
          <w:tcPr>
            <w:tcW w:w="2382" w:type="dxa"/>
            <w:gridSpan w:val="2"/>
            <w:noWrap w:val="0"/>
            <w:tcMar>
              <w:top w:w="16" w:type="dxa"/>
              <w:left w:w="16" w:type="dxa"/>
              <w:right w:w="16" w:type="dxa"/>
            </w:tcMar>
            <w:vAlign w:val="center"/>
          </w:tcPr>
          <w:p w14:paraId="28B7DCE8">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建设地点</w:t>
            </w:r>
          </w:p>
        </w:tc>
        <w:tc>
          <w:tcPr>
            <w:tcW w:w="6488" w:type="dxa"/>
            <w:gridSpan w:val="3"/>
            <w:noWrap w:val="0"/>
            <w:vAlign w:val="center"/>
          </w:tcPr>
          <w:p w14:paraId="1FCAC4A9">
            <w:pPr>
              <w:adjustRightInd w:val="0"/>
              <w:snapToGrid w:val="0"/>
              <w:jc w:val="center"/>
              <w:rPr>
                <w:rFonts w:hint="default" w:ascii="Times New Roman" w:hAnsi="Times New Roman" w:eastAsia="宋体" w:cs="Times New Roman"/>
                <w:color w:val="auto"/>
                <w:szCs w:val="21"/>
                <w:lang w:eastAsia="zh-CN"/>
              </w:rPr>
            </w:pPr>
          </w:p>
        </w:tc>
      </w:tr>
      <w:tr w14:paraId="557EE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Before w:val="1"/>
          <w:gridAfter w:val="1"/>
          <w:wBefore w:w="95" w:type="dxa"/>
          <w:wAfter w:w="95" w:type="dxa"/>
          <w:trHeight w:val="497" w:hRule="atLeast"/>
          <w:jc w:val="center"/>
        </w:trPr>
        <w:tc>
          <w:tcPr>
            <w:tcW w:w="2382" w:type="dxa"/>
            <w:gridSpan w:val="2"/>
            <w:noWrap w:val="0"/>
            <w:tcMar>
              <w:top w:w="16" w:type="dxa"/>
              <w:left w:w="16" w:type="dxa"/>
              <w:right w:w="16" w:type="dxa"/>
            </w:tcMar>
            <w:vAlign w:val="center"/>
          </w:tcPr>
          <w:p w14:paraId="52C2BA83">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地理坐标</w:t>
            </w:r>
          </w:p>
        </w:tc>
        <w:tc>
          <w:tcPr>
            <w:tcW w:w="6488" w:type="dxa"/>
            <w:gridSpan w:val="3"/>
            <w:noWrap w:val="0"/>
            <w:vAlign w:val="center"/>
          </w:tcPr>
          <w:p w14:paraId="33877B76">
            <w:pPr>
              <w:jc w:val="center"/>
              <w:rPr>
                <w:rFonts w:hint="default" w:ascii="Times New Roman" w:hAnsi="Times New Roman" w:cs="Times New Roman"/>
                <w:color w:val="auto"/>
                <w:szCs w:val="21"/>
              </w:rPr>
            </w:pPr>
          </w:p>
        </w:tc>
      </w:tr>
      <w:tr w14:paraId="4EED5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Before w:val="1"/>
          <w:gridAfter w:val="1"/>
          <w:wBefore w:w="95" w:type="dxa"/>
          <w:wAfter w:w="95" w:type="dxa"/>
          <w:trHeight w:val="561" w:hRule="atLeast"/>
          <w:jc w:val="center"/>
        </w:trPr>
        <w:tc>
          <w:tcPr>
            <w:tcW w:w="2382" w:type="dxa"/>
            <w:gridSpan w:val="2"/>
            <w:noWrap w:val="0"/>
            <w:tcMar>
              <w:top w:w="16" w:type="dxa"/>
              <w:left w:w="16" w:type="dxa"/>
              <w:right w:w="16" w:type="dxa"/>
            </w:tcMar>
            <w:vAlign w:val="center"/>
          </w:tcPr>
          <w:p w14:paraId="78787029">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国民经济</w:t>
            </w:r>
          </w:p>
          <w:p w14:paraId="293D43FD">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行业类别</w:t>
            </w:r>
          </w:p>
        </w:tc>
        <w:tc>
          <w:tcPr>
            <w:tcW w:w="1637" w:type="dxa"/>
            <w:noWrap w:val="0"/>
            <w:vAlign w:val="center"/>
          </w:tcPr>
          <w:p w14:paraId="38E01761">
            <w:pPr>
              <w:adjustRightInd w:val="0"/>
              <w:snapToGrid w:val="0"/>
              <w:jc w:val="both"/>
              <w:rPr>
                <w:rFonts w:hint="default"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C2929塑料零件及其他塑料制品制造</w:t>
            </w:r>
          </w:p>
        </w:tc>
        <w:tc>
          <w:tcPr>
            <w:tcW w:w="2212" w:type="dxa"/>
            <w:noWrap w:val="0"/>
            <w:vAlign w:val="center"/>
          </w:tcPr>
          <w:p w14:paraId="6AED3DB4">
            <w:pPr>
              <w:adjustRightInd w:val="0"/>
              <w:snapToGrid w:val="0"/>
              <w:jc w:val="center"/>
              <w:rPr>
                <w:rFonts w:hint="default" w:ascii="Times New Roman" w:hAnsi="Times New Roman" w:cs="Times New Roman"/>
                <w:color w:val="auto"/>
                <w:szCs w:val="21"/>
              </w:rPr>
            </w:pPr>
            <w:bookmarkStart w:id="1" w:name="_Hlk49843745"/>
            <w:r>
              <w:rPr>
                <w:rFonts w:hint="default" w:ascii="Times New Roman" w:hAnsi="Times New Roman" w:cs="Times New Roman"/>
                <w:color w:val="auto"/>
                <w:szCs w:val="21"/>
              </w:rPr>
              <w:t>建设项目</w:t>
            </w:r>
          </w:p>
          <w:p w14:paraId="58C896BA">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行业类别</w:t>
            </w:r>
            <w:bookmarkEnd w:id="1"/>
          </w:p>
        </w:tc>
        <w:tc>
          <w:tcPr>
            <w:tcW w:w="2639" w:type="dxa"/>
            <w:noWrap w:val="0"/>
            <w:vAlign w:val="center"/>
          </w:tcPr>
          <w:p w14:paraId="5123B04A">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二十六、橡胶和塑料制品业29其他（年用非溶剂型低VOCs含量涂料10吨以下的除外）</w:t>
            </w:r>
          </w:p>
        </w:tc>
      </w:tr>
      <w:tr w14:paraId="054114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Before w:val="1"/>
          <w:gridAfter w:val="1"/>
          <w:wBefore w:w="95" w:type="dxa"/>
          <w:wAfter w:w="95" w:type="dxa"/>
          <w:trHeight w:val="1219" w:hRule="atLeast"/>
          <w:jc w:val="center"/>
        </w:trPr>
        <w:tc>
          <w:tcPr>
            <w:tcW w:w="2382" w:type="dxa"/>
            <w:gridSpan w:val="2"/>
            <w:noWrap w:val="0"/>
            <w:tcMar>
              <w:top w:w="16" w:type="dxa"/>
              <w:left w:w="16" w:type="dxa"/>
              <w:right w:w="16" w:type="dxa"/>
            </w:tcMar>
            <w:vAlign w:val="center"/>
          </w:tcPr>
          <w:p w14:paraId="352BE544">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建设性质</w:t>
            </w:r>
          </w:p>
        </w:tc>
        <w:tc>
          <w:tcPr>
            <w:tcW w:w="1637" w:type="dxa"/>
            <w:noWrap w:val="0"/>
            <w:vAlign w:val="center"/>
          </w:tcPr>
          <w:p w14:paraId="1710B682">
            <w:pPr>
              <w:jc w:val="left"/>
              <w:rPr>
                <w:rFonts w:hint="default" w:ascii="Times New Roman" w:hAnsi="Times New Roman" w:cs="Times New Roman"/>
                <w:color w:val="auto"/>
                <w:szCs w:val="21"/>
              </w:rPr>
            </w:pP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新建</w:t>
            </w:r>
          </w:p>
          <w:p w14:paraId="134F0611">
            <w:pPr>
              <w:jc w:val="left"/>
              <w:rPr>
                <w:rFonts w:hint="default" w:ascii="Times New Roman" w:hAnsi="Times New Roman" w:cs="Times New Roman"/>
                <w:color w:val="auto"/>
                <w:szCs w:val="21"/>
              </w:rPr>
            </w:pP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改建</w:t>
            </w:r>
          </w:p>
          <w:p w14:paraId="0AF58701">
            <w:pPr>
              <w:jc w:val="left"/>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00A3"/>
            </w:r>
            <w:r>
              <w:rPr>
                <w:rFonts w:hint="default" w:ascii="Times New Roman" w:hAnsi="Times New Roman" w:cs="Times New Roman"/>
                <w:color w:val="auto"/>
                <w:szCs w:val="21"/>
              </w:rPr>
              <w:t>扩建</w:t>
            </w:r>
          </w:p>
          <w:p w14:paraId="5427AF8E">
            <w:pPr>
              <w:jc w:val="left"/>
              <w:rPr>
                <w:rFonts w:hint="default" w:ascii="Times New Roman" w:hAnsi="Times New Roman" w:cs="Times New Roman"/>
                <w:color w:val="auto"/>
                <w:szCs w:val="21"/>
              </w:rPr>
            </w:pPr>
            <w:r>
              <w:rPr>
                <w:rFonts w:hint="default" w:ascii="Times New Roman" w:hAnsi="Times New Roman" w:cs="Times New Roman"/>
                <w:color w:val="auto"/>
                <w:szCs w:val="21"/>
              </w:rPr>
              <w:t>□技术改造</w:t>
            </w:r>
          </w:p>
        </w:tc>
        <w:tc>
          <w:tcPr>
            <w:tcW w:w="2212" w:type="dxa"/>
            <w:noWrap w:val="0"/>
            <w:vAlign w:val="center"/>
          </w:tcPr>
          <w:p w14:paraId="4C22D129">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建设项目</w:t>
            </w:r>
          </w:p>
          <w:p w14:paraId="55A1EB96">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申报情形</w:t>
            </w:r>
          </w:p>
        </w:tc>
        <w:tc>
          <w:tcPr>
            <w:tcW w:w="2639" w:type="dxa"/>
            <w:noWrap w:val="0"/>
            <w:vAlign w:val="center"/>
          </w:tcPr>
          <w:p w14:paraId="7C07BA4F">
            <w:pPr>
              <w:jc w:val="left"/>
              <w:rPr>
                <w:rFonts w:hint="default" w:ascii="Times New Roman" w:hAnsi="Times New Roman" w:cs="Times New Roman"/>
                <w:color w:val="auto"/>
                <w:szCs w:val="21"/>
              </w:rPr>
            </w:pPr>
            <w:r>
              <w:rPr>
                <w:rFonts w:hint="default" w:ascii="Times New Roman" w:hAnsi="Times New Roman" w:cs="Times New Roman"/>
                <w:color w:val="auto"/>
                <w:szCs w:val="21"/>
              </w:rPr>
              <w:sym w:font="Wingdings 2" w:char="0052"/>
            </w:r>
            <w:r>
              <w:rPr>
                <w:rFonts w:hint="default" w:ascii="Times New Roman" w:hAnsi="Times New Roman" w:cs="Times New Roman"/>
                <w:color w:val="auto"/>
                <w:szCs w:val="21"/>
              </w:rPr>
              <w:t xml:space="preserve">首次申报项目             </w:t>
            </w:r>
          </w:p>
          <w:p w14:paraId="67D0219A">
            <w:pPr>
              <w:jc w:val="left"/>
              <w:rPr>
                <w:rFonts w:hint="default" w:ascii="Times New Roman" w:hAnsi="Times New Roman" w:cs="Times New Roman"/>
                <w:color w:val="auto"/>
                <w:szCs w:val="21"/>
              </w:rPr>
            </w:pPr>
            <w:r>
              <w:rPr>
                <w:rFonts w:hint="default" w:ascii="Times New Roman" w:hAnsi="Times New Roman" w:cs="Times New Roman"/>
                <w:color w:val="auto"/>
                <w:szCs w:val="21"/>
              </w:rPr>
              <w:t>□不予批准后再次申报项目</w:t>
            </w:r>
          </w:p>
          <w:p w14:paraId="09BCABF2">
            <w:pPr>
              <w:jc w:val="left"/>
              <w:rPr>
                <w:rFonts w:hint="default" w:ascii="Times New Roman" w:hAnsi="Times New Roman" w:cs="Times New Roman"/>
                <w:color w:val="auto"/>
                <w:szCs w:val="21"/>
              </w:rPr>
            </w:pPr>
            <w:r>
              <w:rPr>
                <w:rFonts w:hint="default" w:ascii="Times New Roman" w:hAnsi="Times New Roman" w:cs="Times New Roman"/>
                <w:color w:val="auto"/>
                <w:szCs w:val="21"/>
              </w:rPr>
              <w:t xml:space="preserve">□超五年重新审核项目     </w:t>
            </w:r>
          </w:p>
          <w:p w14:paraId="5A05A00F">
            <w:pPr>
              <w:jc w:val="left"/>
              <w:rPr>
                <w:rFonts w:hint="default" w:ascii="Times New Roman" w:hAnsi="Times New Roman" w:cs="Times New Roman"/>
                <w:color w:val="auto"/>
                <w:szCs w:val="21"/>
              </w:rPr>
            </w:pPr>
            <w:r>
              <w:rPr>
                <w:rFonts w:hint="default" w:ascii="Times New Roman" w:hAnsi="Times New Roman" w:cs="Times New Roman"/>
                <w:color w:val="auto"/>
                <w:szCs w:val="21"/>
              </w:rPr>
              <w:t>□重大变动重新报批项目</w:t>
            </w:r>
          </w:p>
        </w:tc>
      </w:tr>
      <w:tr w14:paraId="79224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Before w:val="1"/>
          <w:gridAfter w:val="1"/>
          <w:wBefore w:w="95" w:type="dxa"/>
          <w:wAfter w:w="95" w:type="dxa"/>
          <w:trHeight w:val="851" w:hRule="atLeast"/>
          <w:jc w:val="center"/>
        </w:trPr>
        <w:tc>
          <w:tcPr>
            <w:tcW w:w="2382" w:type="dxa"/>
            <w:gridSpan w:val="2"/>
            <w:noWrap w:val="0"/>
            <w:tcMar>
              <w:top w:w="16" w:type="dxa"/>
              <w:left w:w="16" w:type="dxa"/>
              <w:right w:w="16" w:type="dxa"/>
            </w:tcMar>
            <w:vAlign w:val="center"/>
          </w:tcPr>
          <w:p w14:paraId="144381EE">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项目审批（核准/</w:t>
            </w:r>
          </w:p>
          <w:p w14:paraId="71BE7932">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备案）部门（选填）</w:t>
            </w:r>
          </w:p>
        </w:tc>
        <w:tc>
          <w:tcPr>
            <w:tcW w:w="1637" w:type="dxa"/>
            <w:noWrap w:val="0"/>
            <w:vAlign w:val="center"/>
          </w:tcPr>
          <w:p w14:paraId="72D3E126">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重庆市</w:t>
            </w:r>
            <w:r>
              <w:rPr>
                <w:rFonts w:hint="default" w:ascii="Times New Roman" w:hAnsi="Times New Roman" w:cs="Times New Roman"/>
                <w:color w:val="auto"/>
                <w:szCs w:val="21"/>
                <w:lang w:eastAsia="zh-CN"/>
              </w:rPr>
              <w:t>合川区</w:t>
            </w:r>
            <w:r>
              <w:rPr>
                <w:rFonts w:hint="default" w:ascii="Times New Roman" w:hAnsi="Times New Roman" w:cs="Times New Roman"/>
                <w:color w:val="auto"/>
                <w:szCs w:val="21"/>
              </w:rPr>
              <w:t>发展和改革委员会</w:t>
            </w:r>
          </w:p>
        </w:tc>
        <w:tc>
          <w:tcPr>
            <w:tcW w:w="2212" w:type="dxa"/>
            <w:noWrap w:val="0"/>
            <w:vAlign w:val="center"/>
          </w:tcPr>
          <w:p w14:paraId="1388A6A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项目审批（核准/</w:t>
            </w:r>
          </w:p>
          <w:p w14:paraId="4791DB64">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备案）文号（选填）</w:t>
            </w:r>
          </w:p>
        </w:tc>
        <w:tc>
          <w:tcPr>
            <w:tcW w:w="2639" w:type="dxa"/>
            <w:noWrap w:val="0"/>
            <w:vAlign w:val="center"/>
          </w:tcPr>
          <w:p w14:paraId="164ED2D2">
            <w:pPr>
              <w:adjustRightInd w:val="0"/>
              <w:snapToGrid w:val="0"/>
              <w:jc w:val="center"/>
              <w:rPr>
                <w:rFonts w:hint="default" w:ascii="Times New Roman" w:hAnsi="Times New Roman" w:eastAsia="宋体" w:cs="Times New Roman"/>
                <w:color w:val="auto"/>
                <w:szCs w:val="21"/>
                <w:lang w:eastAsia="zh-CN"/>
              </w:rPr>
            </w:pPr>
            <w:r>
              <w:rPr>
                <w:rFonts w:hint="eastAsia" w:cs="Times New Roman"/>
                <w:color w:val="auto"/>
                <w:szCs w:val="21"/>
                <w:lang w:eastAsia="zh-CN"/>
              </w:rPr>
              <w:t>2510-500117-04-01-410284</w:t>
            </w:r>
          </w:p>
        </w:tc>
      </w:tr>
      <w:tr w14:paraId="12980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Before w:val="1"/>
          <w:gridAfter w:val="1"/>
          <w:wBefore w:w="95" w:type="dxa"/>
          <w:wAfter w:w="95" w:type="dxa"/>
          <w:trHeight w:val="497" w:hRule="atLeast"/>
          <w:jc w:val="center"/>
        </w:trPr>
        <w:tc>
          <w:tcPr>
            <w:tcW w:w="2382" w:type="dxa"/>
            <w:gridSpan w:val="2"/>
            <w:noWrap w:val="0"/>
            <w:tcMar>
              <w:top w:w="16" w:type="dxa"/>
              <w:left w:w="16" w:type="dxa"/>
              <w:right w:w="16" w:type="dxa"/>
            </w:tcMar>
            <w:vAlign w:val="center"/>
          </w:tcPr>
          <w:p w14:paraId="46841D49">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总投资（万元）</w:t>
            </w:r>
          </w:p>
        </w:tc>
        <w:tc>
          <w:tcPr>
            <w:tcW w:w="1637" w:type="dxa"/>
            <w:noWrap w:val="0"/>
            <w:vAlign w:val="center"/>
          </w:tcPr>
          <w:p w14:paraId="1C3E9DA8">
            <w:pPr>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1000</w:t>
            </w:r>
          </w:p>
        </w:tc>
        <w:tc>
          <w:tcPr>
            <w:tcW w:w="2212" w:type="dxa"/>
            <w:noWrap w:val="0"/>
            <w:tcMar>
              <w:top w:w="16" w:type="dxa"/>
              <w:left w:w="16" w:type="dxa"/>
              <w:right w:w="16" w:type="dxa"/>
            </w:tcMar>
            <w:vAlign w:val="center"/>
          </w:tcPr>
          <w:p w14:paraId="505EC8E2">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环保投资（万元）</w:t>
            </w:r>
          </w:p>
        </w:tc>
        <w:tc>
          <w:tcPr>
            <w:tcW w:w="2639" w:type="dxa"/>
            <w:noWrap w:val="0"/>
            <w:vAlign w:val="center"/>
          </w:tcPr>
          <w:p w14:paraId="619BBDE5">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50</w:t>
            </w:r>
          </w:p>
        </w:tc>
      </w:tr>
      <w:tr w14:paraId="15E42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Before w:val="1"/>
          <w:gridAfter w:val="1"/>
          <w:wBefore w:w="95" w:type="dxa"/>
          <w:wAfter w:w="95" w:type="dxa"/>
          <w:trHeight w:val="497" w:hRule="atLeast"/>
          <w:jc w:val="center"/>
        </w:trPr>
        <w:tc>
          <w:tcPr>
            <w:tcW w:w="2382" w:type="dxa"/>
            <w:gridSpan w:val="2"/>
            <w:noWrap w:val="0"/>
            <w:tcMar>
              <w:top w:w="16" w:type="dxa"/>
              <w:left w:w="16" w:type="dxa"/>
              <w:right w:w="16" w:type="dxa"/>
            </w:tcMar>
            <w:vAlign w:val="center"/>
          </w:tcPr>
          <w:p w14:paraId="5476D51F">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环保投资占比（%）</w:t>
            </w:r>
          </w:p>
        </w:tc>
        <w:tc>
          <w:tcPr>
            <w:tcW w:w="1637" w:type="dxa"/>
            <w:noWrap w:val="0"/>
            <w:vAlign w:val="center"/>
          </w:tcPr>
          <w:p w14:paraId="03F8A66F">
            <w:pPr>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2212" w:type="dxa"/>
            <w:noWrap w:val="0"/>
            <w:tcMar>
              <w:top w:w="16" w:type="dxa"/>
              <w:left w:w="16" w:type="dxa"/>
              <w:right w:w="16" w:type="dxa"/>
            </w:tcMar>
            <w:vAlign w:val="center"/>
          </w:tcPr>
          <w:p w14:paraId="1940A727">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施工工期</w:t>
            </w:r>
          </w:p>
        </w:tc>
        <w:tc>
          <w:tcPr>
            <w:tcW w:w="2639" w:type="dxa"/>
            <w:noWrap w:val="0"/>
            <w:vAlign w:val="center"/>
          </w:tcPr>
          <w:p w14:paraId="222EC780">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3个月</w:t>
            </w:r>
          </w:p>
        </w:tc>
      </w:tr>
      <w:tr w14:paraId="495752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gridBefore w:val="1"/>
          <w:gridAfter w:val="1"/>
          <w:wBefore w:w="95" w:type="dxa"/>
          <w:wAfter w:w="95" w:type="dxa"/>
          <w:trHeight w:val="497" w:hRule="atLeast"/>
          <w:jc w:val="center"/>
        </w:trPr>
        <w:tc>
          <w:tcPr>
            <w:tcW w:w="2382" w:type="dxa"/>
            <w:gridSpan w:val="2"/>
            <w:noWrap w:val="0"/>
            <w:tcMar>
              <w:top w:w="16" w:type="dxa"/>
              <w:left w:w="16" w:type="dxa"/>
              <w:right w:w="16" w:type="dxa"/>
            </w:tcMar>
            <w:vAlign w:val="center"/>
          </w:tcPr>
          <w:p w14:paraId="79E6392B">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是否开工建设</w:t>
            </w:r>
          </w:p>
        </w:tc>
        <w:tc>
          <w:tcPr>
            <w:tcW w:w="1637" w:type="dxa"/>
            <w:noWrap w:val="0"/>
            <w:vAlign w:val="center"/>
          </w:tcPr>
          <w:p w14:paraId="4D9FBAE9">
            <w:pPr>
              <w:adjustRightInd w:val="0"/>
              <w:snapToGrid w:val="0"/>
              <w:rPr>
                <w:rFonts w:hint="default" w:ascii="Times New Roman" w:hAnsi="Times New Roman" w:cs="Times New Roman"/>
                <w:color w:val="auto"/>
                <w:szCs w:val="21"/>
              </w:rPr>
            </w:pPr>
            <w:r>
              <w:rPr>
                <w:rFonts w:hint="default" w:ascii="Times New Roman" w:hAnsi="Times New Roman" w:cs="Times New Roman"/>
                <w:bCs/>
                <w:color w:val="auto"/>
                <w:sz w:val="24"/>
              </w:rPr>
              <w:t>☑</w:t>
            </w:r>
            <w:r>
              <w:rPr>
                <w:rFonts w:hint="default" w:ascii="Times New Roman" w:hAnsi="Times New Roman" w:cs="Times New Roman"/>
                <w:color w:val="auto"/>
                <w:szCs w:val="21"/>
              </w:rPr>
              <w:t>否</w:t>
            </w:r>
          </w:p>
          <w:p w14:paraId="19E0C7D5">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□是：</w:t>
            </w:r>
            <w:r>
              <w:rPr>
                <w:rFonts w:hint="default" w:ascii="Times New Roman" w:hAnsi="Times New Roman" w:cs="Times New Roman"/>
                <w:color w:val="auto"/>
                <w:szCs w:val="21"/>
                <w:u w:val="single"/>
              </w:rPr>
              <w:t xml:space="preserve">             </w:t>
            </w:r>
          </w:p>
        </w:tc>
        <w:tc>
          <w:tcPr>
            <w:tcW w:w="2212" w:type="dxa"/>
            <w:noWrap w:val="0"/>
            <w:tcMar>
              <w:top w:w="16" w:type="dxa"/>
              <w:left w:w="16" w:type="dxa"/>
              <w:right w:w="16" w:type="dxa"/>
            </w:tcMar>
            <w:vAlign w:val="center"/>
          </w:tcPr>
          <w:p w14:paraId="4A6ADC27">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用地（用海）</w:t>
            </w:r>
          </w:p>
          <w:p w14:paraId="064BCAD0">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面积（m</w:t>
            </w:r>
            <w:r>
              <w:rPr>
                <w:rFonts w:hint="default" w:ascii="Times New Roman" w:hAnsi="Times New Roman" w:cs="Times New Roman"/>
                <w:color w:val="auto"/>
                <w:szCs w:val="21"/>
                <w:vertAlign w:val="superscript"/>
              </w:rPr>
              <w:t>2</w:t>
            </w:r>
            <w:r>
              <w:rPr>
                <w:rFonts w:hint="default" w:ascii="Times New Roman" w:hAnsi="Times New Roman" w:cs="Times New Roman"/>
                <w:color w:val="auto"/>
                <w:szCs w:val="21"/>
              </w:rPr>
              <w:t>）</w:t>
            </w:r>
          </w:p>
        </w:tc>
        <w:tc>
          <w:tcPr>
            <w:tcW w:w="2639" w:type="dxa"/>
            <w:noWrap w:val="0"/>
            <w:vAlign w:val="center"/>
          </w:tcPr>
          <w:p w14:paraId="68DD86DF">
            <w:pPr>
              <w:adjustRightInd w:val="0"/>
              <w:snapToGrid w:val="0"/>
              <w:jc w:val="center"/>
              <w:rPr>
                <w:rFonts w:hint="default"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1500</w:t>
            </w:r>
          </w:p>
        </w:tc>
      </w:tr>
      <w:tr w14:paraId="35023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95" w:type="dxa"/>
          <w:trHeight w:val="548" w:hRule="atLeast"/>
          <w:jc w:val="center"/>
        </w:trPr>
        <w:tc>
          <w:tcPr>
            <w:tcW w:w="2382" w:type="dxa"/>
            <w:gridSpan w:val="2"/>
            <w:noWrap w:val="0"/>
            <w:vAlign w:val="center"/>
          </w:tcPr>
          <w:p w14:paraId="6358AC5E">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专项评价设置情况</w:t>
            </w:r>
          </w:p>
        </w:tc>
        <w:tc>
          <w:tcPr>
            <w:tcW w:w="6488" w:type="dxa"/>
            <w:gridSpan w:val="3"/>
            <w:noWrap w:val="0"/>
            <w:vAlign w:val="center"/>
          </w:tcPr>
          <w:p w14:paraId="3B911E8D">
            <w:pPr>
              <w:autoSpaceDE w:val="0"/>
              <w:autoSpaceDN w:val="0"/>
              <w:adjustRightInd w:val="0"/>
              <w:snapToGrid w:val="0"/>
              <w:jc w:val="center"/>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表1-1  专项评价设置原则表</w:t>
            </w:r>
          </w:p>
          <w:tbl>
            <w:tblPr>
              <w:tblStyle w:val="30"/>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17"/>
              <w:gridCol w:w="2624"/>
              <w:gridCol w:w="2006"/>
              <w:gridCol w:w="594"/>
            </w:tblGrid>
            <w:tr w14:paraId="52722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815" w:type="pct"/>
                  <w:noWrap w:val="0"/>
                  <w:vAlign w:val="center"/>
                </w:tcPr>
                <w:p w14:paraId="3BB265A5">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专项评价的类别</w:t>
                  </w:r>
                </w:p>
              </w:tc>
              <w:tc>
                <w:tcPr>
                  <w:tcW w:w="2102" w:type="pct"/>
                  <w:noWrap w:val="0"/>
                  <w:vAlign w:val="center"/>
                </w:tcPr>
                <w:p w14:paraId="1C1C42C0">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设置原则</w:t>
                  </w:r>
                </w:p>
              </w:tc>
              <w:tc>
                <w:tcPr>
                  <w:tcW w:w="1607" w:type="pct"/>
                  <w:noWrap w:val="0"/>
                  <w:vAlign w:val="center"/>
                </w:tcPr>
                <w:p w14:paraId="2F8CCCBF">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本项目</w:t>
                  </w:r>
                </w:p>
              </w:tc>
              <w:tc>
                <w:tcPr>
                  <w:tcW w:w="474" w:type="pct"/>
                  <w:noWrap w:val="0"/>
                  <w:vAlign w:val="center"/>
                </w:tcPr>
                <w:p w14:paraId="5F807295">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是否设置</w:t>
                  </w:r>
                </w:p>
              </w:tc>
            </w:tr>
            <w:tr w14:paraId="33A35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815" w:type="pct"/>
                  <w:noWrap w:val="0"/>
                  <w:vAlign w:val="center"/>
                </w:tcPr>
                <w:p w14:paraId="7559F593">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大气</w:t>
                  </w:r>
                </w:p>
              </w:tc>
              <w:tc>
                <w:tcPr>
                  <w:tcW w:w="2102" w:type="pct"/>
                  <w:noWrap w:val="0"/>
                  <w:vAlign w:val="center"/>
                </w:tcPr>
                <w:p w14:paraId="4BC3362E">
                  <w:pPr>
                    <w:pStyle w:val="26"/>
                    <w:adjustRightInd w:val="0"/>
                    <w:snapToGrid w:val="0"/>
                    <w:spacing w:before="0" w:beforeAutospacing="0" w:after="0" w:afterAutospacing="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排放废气含有毒有害污染物</w:t>
                  </w:r>
                  <w:r>
                    <w:rPr>
                      <w:rFonts w:hint="default" w:ascii="Times New Roman" w:hAnsi="Times New Roman" w:cs="Times New Roman"/>
                      <w:color w:val="auto"/>
                      <w:sz w:val="18"/>
                      <w:szCs w:val="18"/>
                      <w:vertAlign w:val="superscript"/>
                    </w:rPr>
                    <w:t>1</w:t>
                  </w:r>
                  <w:r>
                    <w:rPr>
                      <w:rFonts w:hint="default" w:ascii="Times New Roman" w:hAnsi="Times New Roman" w:cs="Times New Roman"/>
                      <w:color w:val="auto"/>
                      <w:sz w:val="18"/>
                      <w:szCs w:val="18"/>
                    </w:rPr>
                    <w:t>、二噁英、苯并[a]芘、氰化物、氯气且厂界外500米范围内有环境空气保护目标</w:t>
                  </w:r>
                  <w:r>
                    <w:rPr>
                      <w:rFonts w:hint="default" w:ascii="Times New Roman" w:hAnsi="Times New Roman" w:cs="Times New Roman"/>
                      <w:color w:val="auto"/>
                      <w:sz w:val="18"/>
                      <w:szCs w:val="18"/>
                      <w:vertAlign w:val="superscript"/>
                    </w:rPr>
                    <w:t>2</w:t>
                  </w:r>
                  <w:r>
                    <w:rPr>
                      <w:rFonts w:hint="default" w:ascii="Times New Roman" w:hAnsi="Times New Roman" w:cs="Times New Roman"/>
                      <w:color w:val="auto"/>
                      <w:sz w:val="18"/>
                      <w:szCs w:val="18"/>
                    </w:rPr>
                    <w:t>的建设项目</w:t>
                  </w:r>
                </w:p>
              </w:tc>
              <w:tc>
                <w:tcPr>
                  <w:tcW w:w="1607" w:type="pct"/>
                  <w:noWrap w:val="0"/>
                  <w:vAlign w:val="center"/>
                </w:tcPr>
                <w:p w14:paraId="05CD5E7A">
                  <w:pPr>
                    <w:pStyle w:val="26"/>
                    <w:adjustRightInd w:val="0"/>
                    <w:snapToGrid w:val="0"/>
                    <w:spacing w:before="0" w:beforeAutospacing="0" w:after="0" w:afterAutospacing="0" w:line="240" w:lineRule="auto"/>
                    <w:jc w:val="both"/>
                    <w:outlineLvl w:val="0"/>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本项目营运期废气污染物为</w:t>
                  </w:r>
                  <w:r>
                    <w:rPr>
                      <w:rFonts w:hint="default" w:ascii="Times New Roman" w:hAnsi="Times New Roman" w:eastAsia="宋体" w:cs="Times New Roman"/>
                      <w:b w:val="0"/>
                      <w:bCs/>
                      <w:snapToGrid w:val="0"/>
                      <w:color w:val="auto"/>
                      <w:kern w:val="0"/>
                      <w:sz w:val="18"/>
                      <w:szCs w:val="18"/>
                      <w:vertAlign w:val="baseline"/>
                      <w:lang w:val="en-US" w:eastAsia="zh-CN" w:bidi="ar-SA"/>
                    </w:rPr>
                    <w:t>非甲烷总烃</w:t>
                  </w:r>
                  <w:r>
                    <w:rPr>
                      <w:rFonts w:hint="eastAsia" w:ascii="Times New Roman" w:hAnsi="Times New Roman" w:eastAsia="宋体" w:cs="Times New Roman"/>
                      <w:b w:val="0"/>
                      <w:bCs/>
                      <w:snapToGrid w:val="0"/>
                      <w:color w:val="auto"/>
                      <w:kern w:val="0"/>
                      <w:sz w:val="18"/>
                      <w:szCs w:val="18"/>
                      <w:vertAlign w:val="baseline"/>
                      <w:lang w:val="en-US" w:eastAsia="zh-CN" w:bidi="ar-SA"/>
                    </w:rPr>
                    <w:t>、颗粒物、</w:t>
                  </w:r>
                  <w:r>
                    <w:rPr>
                      <w:rFonts w:hint="default" w:ascii="Times New Roman" w:hAnsi="Times New Roman" w:eastAsia="宋体" w:cs="Times New Roman"/>
                      <w:b w:val="0"/>
                      <w:bCs/>
                      <w:snapToGrid w:val="0"/>
                      <w:color w:val="auto"/>
                      <w:kern w:val="0"/>
                      <w:sz w:val="18"/>
                      <w:szCs w:val="18"/>
                      <w:vertAlign w:val="baseline"/>
                      <w:lang w:val="en-US" w:eastAsia="zh-CN" w:bidi="ar-SA"/>
                    </w:rPr>
                    <w:t>苯乙烯、丙烯腈、乙苯、甲苯</w:t>
                  </w:r>
                  <w:r>
                    <w:rPr>
                      <w:rFonts w:hint="eastAsia" w:ascii="Times New Roman" w:hAnsi="Times New Roman" w:eastAsia="宋体" w:cs="Times New Roman"/>
                      <w:b w:val="0"/>
                      <w:bCs/>
                      <w:snapToGrid w:val="0"/>
                      <w:color w:val="auto"/>
                      <w:kern w:val="0"/>
                      <w:sz w:val="18"/>
                      <w:szCs w:val="18"/>
                      <w:vertAlign w:val="baseline"/>
                      <w:lang w:val="en-US" w:eastAsia="zh-CN" w:bidi="ar-SA"/>
                    </w:rPr>
                    <w:t>、</w:t>
                  </w:r>
                  <w:r>
                    <w:rPr>
                      <w:rFonts w:hint="default" w:ascii="Times New Roman" w:hAnsi="Times New Roman" w:eastAsia="宋体" w:cs="Times New Roman"/>
                      <w:b w:val="0"/>
                      <w:bCs/>
                      <w:snapToGrid w:val="0"/>
                      <w:color w:val="auto"/>
                      <w:kern w:val="0"/>
                      <w:sz w:val="18"/>
                      <w:szCs w:val="18"/>
                      <w:vertAlign w:val="baseline"/>
                      <w:lang w:val="en-US" w:eastAsia="zh-CN" w:bidi="ar-SA"/>
                    </w:rPr>
                    <w:t>1,3-丁二烯</w:t>
                  </w:r>
                  <w:r>
                    <w:rPr>
                      <w:rFonts w:hint="eastAsia" w:ascii="Times New Roman" w:hAnsi="Times New Roman" w:eastAsia="宋体" w:cs="Times New Roman"/>
                      <w:b w:val="0"/>
                      <w:bCs/>
                      <w:snapToGrid w:val="0"/>
                      <w:color w:val="auto"/>
                      <w:kern w:val="0"/>
                      <w:sz w:val="18"/>
                      <w:szCs w:val="18"/>
                      <w:vertAlign w:val="baseline"/>
                      <w:lang w:val="en-US" w:eastAsia="zh-CN" w:bidi="ar-SA"/>
                    </w:rPr>
                    <w:t>、</w:t>
                  </w:r>
                  <w:r>
                    <w:rPr>
                      <w:rFonts w:hint="default" w:ascii="Times New Roman" w:hAnsi="Times New Roman" w:cs="Times New Roman"/>
                      <w:color w:val="auto"/>
                      <w:kern w:val="0"/>
                      <w:sz w:val="18"/>
                      <w:szCs w:val="18"/>
                      <w:lang w:eastAsia="zh-CN"/>
                    </w:rPr>
                    <w:t>臭气浓度</w:t>
                  </w:r>
                  <w:r>
                    <w:rPr>
                      <w:rFonts w:hint="default" w:ascii="Times New Roman" w:hAnsi="Times New Roman" w:cs="Times New Roman"/>
                      <w:color w:val="auto"/>
                      <w:sz w:val="18"/>
                      <w:szCs w:val="18"/>
                      <w:lang w:val="en-US" w:eastAsia="zh-CN"/>
                    </w:rPr>
                    <w:t>，</w:t>
                  </w:r>
                  <w:r>
                    <w:rPr>
                      <w:rFonts w:hint="default" w:ascii="Times New Roman" w:hAnsi="Times New Roman" w:cs="Times New Roman"/>
                      <w:color w:val="auto"/>
                      <w:kern w:val="0"/>
                      <w:sz w:val="18"/>
                      <w:szCs w:val="18"/>
                      <w:lang w:val="en-US" w:eastAsia="zh-CN"/>
                    </w:rPr>
                    <w:t>均</w:t>
                  </w:r>
                  <w:r>
                    <w:rPr>
                      <w:rFonts w:hint="default" w:ascii="Times New Roman" w:hAnsi="Times New Roman" w:cs="Times New Roman"/>
                      <w:color w:val="auto"/>
                      <w:kern w:val="0"/>
                      <w:sz w:val="18"/>
                      <w:szCs w:val="18"/>
                    </w:rPr>
                    <w:t>不属于上述污染物</w:t>
                  </w:r>
                </w:p>
              </w:tc>
              <w:tc>
                <w:tcPr>
                  <w:tcW w:w="474" w:type="pct"/>
                  <w:noWrap w:val="0"/>
                  <w:vAlign w:val="center"/>
                </w:tcPr>
                <w:p w14:paraId="54B5ED65">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否</w:t>
                  </w:r>
                </w:p>
              </w:tc>
            </w:tr>
            <w:tr w14:paraId="21AEC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6" w:hRule="atLeast"/>
                <w:jc w:val="center"/>
              </w:trPr>
              <w:tc>
                <w:tcPr>
                  <w:tcW w:w="815" w:type="pct"/>
                  <w:noWrap w:val="0"/>
                  <w:vAlign w:val="center"/>
                </w:tcPr>
                <w:p w14:paraId="26F47B57">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地表水</w:t>
                  </w:r>
                </w:p>
              </w:tc>
              <w:tc>
                <w:tcPr>
                  <w:tcW w:w="2102" w:type="pct"/>
                  <w:noWrap w:val="0"/>
                  <w:vAlign w:val="center"/>
                </w:tcPr>
                <w:p w14:paraId="2BEEE03E">
                  <w:pPr>
                    <w:pStyle w:val="26"/>
                    <w:adjustRightInd w:val="0"/>
                    <w:snapToGrid w:val="0"/>
                    <w:spacing w:before="0" w:beforeAutospacing="0" w:after="0" w:afterAutospacing="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新增工业废水直排建设项目（槽罐车外送污水处理厂的除外）；新增废水直排的污水集中处理厂</w:t>
                  </w:r>
                </w:p>
              </w:tc>
              <w:tc>
                <w:tcPr>
                  <w:tcW w:w="1607" w:type="pct"/>
                  <w:noWrap w:val="0"/>
                  <w:vAlign w:val="center"/>
                </w:tcPr>
                <w:p w14:paraId="016F1BFE">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本项目营运期废水主要为生活污水、地面清洁废水等，且不属于废水直排项目</w:t>
                  </w:r>
                </w:p>
              </w:tc>
              <w:tc>
                <w:tcPr>
                  <w:tcW w:w="474" w:type="pct"/>
                  <w:noWrap w:val="0"/>
                  <w:vAlign w:val="center"/>
                </w:tcPr>
                <w:p w14:paraId="166AC9A5">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否</w:t>
                  </w:r>
                </w:p>
              </w:tc>
            </w:tr>
            <w:tr w14:paraId="46770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15" w:type="pct"/>
                  <w:noWrap w:val="0"/>
                  <w:vAlign w:val="center"/>
                </w:tcPr>
                <w:p w14:paraId="7A67841E">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环境风险</w:t>
                  </w:r>
                </w:p>
              </w:tc>
              <w:tc>
                <w:tcPr>
                  <w:tcW w:w="2102" w:type="pct"/>
                  <w:noWrap w:val="0"/>
                  <w:vAlign w:val="center"/>
                </w:tcPr>
                <w:p w14:paraId="49B3C567">
                  <w:pPr>
                    <w:pStyle w:val="26"/>
                    <w:adjustRightInd w:val="0"/>
                    <w:snapToGrid w:val="0"/>
                    <w:spacing w:before="0" w:beforeAutospacing="0" w:after="0" w:afterAutospacing="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有毒有害和易燃易爆危险物质存储量超过临界量</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的建设项目</w:t>
                  </w:r>
                </w:p>
              </w:tc>
              <w:tc>
                <w:tcPr>
                  <w:tcW w:w="1607" w:type="pct"/>
                  <w:noWrap w:val="0"/>
                  <w:vAlign w:val="center"/>
                </w:tcPr>
                <w:p w14:paraId="686F4B12">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根据表4-</w:t>
                  </w:r>
                  <w:r>
                    <w:rPr>
                      <w:rFonts w:hint="eastAsia" w:ascii="Times New Roman" w:hAnsi="Times New Roman" w:cs="Times New Roman"/>
                      <w:color w:val="auto"/>
                      <w:kern w:val="0"/>
                      <w:sz w:val="18"/>
                      <w:szCs w:val="18"/>
                      <w:lang w:val="en-US" w:eastAsia="zh-CN"/>
                    </w:rPr>
                    <w:t>19</w:t>
                  </w:r>
                  <w:r>
                    <w:rPr>
                      <w:rFonts w:hint="default" w:ascii="Times New Roman" w:hAnsi="Times New Roman" w:cs="Times New Roman"/>
                      <w:color w:val="auto"/>
                      <w:kern w:val="0"/>
                      <w:sz w:val="18"/>
                      <w:szCs w:val="18"/>
                    </w:rPr>
                    <w:t>可知，本项目Q＜1，未超过临界量</w:t>
                  </w:r>
                </w:p>
              </w:tc>
              <w:tc>
                <w:tcPr>
                  <w:tcW w:w="474" w:type="pct"/>
                  <w:noWrap w:val="0"/>
                  <w:vAlign w:val="center"/>
                </w:tcPr>
                <w:p w14:paraId="0C6202AD">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否</w:t>
                  </w:r>
                </w:p>
              </w:tc>
            </w:tr>
            <w:tr w14:paraId="57C73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815" w:type="pct"/>
                  <w:noWrap w:val="0"/>
                  <w:vAlign w:val="center"/>
                </w:tcPr>
                <w:p w14:paraId="6C4E30BC">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生态</w:t>
                  </w:r>
                </w:p>
              </w:tc>
              <w:tc>
                <w:tcPr>
                  <w:tcW w:w="2102" w:type="pct"/>
                  <w:noWrap w:val="0"/>
                  <w:vAlign w:val="center"/>
                </w:tcPr>
                <w:p w14:paraId="0FFAC4EE">
                  <w:pPr>
                    <w:autoSpaceDE w:val="0"/>
                    <w:autoSpaceDN w:val="0"/>
                    <w:adjustRightInd w:val="0"/>
                    <w:jc w:val="left"/>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取水口下游500米范围内有重要水生生物的自然产卵场、索饵场、越冬场和洄游通道的新增河道取水的污染类建设项目</w:t>
                  </w:r>
                </w:p>
              </w:tc>
              <w:tc>
                <w:tcPr>
                  <w:tcW w:w="1607" w:type="pct"/>
                  <w:noWrap w:val="0"/>
                  <w:vAlign w:val="center"/>
                </w:tcPr>
                <w:p w14:paraId="16829389">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不属于</w:t>
                  </w:r>
                </w:p>
              </w:tc>
              <w:tc>
                <w:tcPr>
                  <w:tcW w:w="474" w:type="pct"/>
                  <w:noWrap w:val="0"/>
                  <w:vAlign w:val="center"/>
                </w:tcPr>
                <w:p w14:paraId="73FB7592">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否</w:t>
                  </w:r>
                </w:p>
              </w:tc>
            </w:tr>
            <w:tr w14:paraId="0DE50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815" w:type="pct"/>
                  <w:noWrap w:val="0"/>
                  <w:vAlign w:val="center"/>
                </w:tcPr>
                <w:p w14:paraId="12BAF561">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海洋</w:t>
                  </w:r>
                </w:p>
              </w:tc>
              <w:tc>
                <w:tcPr>
                  <w:tcW w:w="2102" w:type="pct"/>
                  <w:noWrap w:val="0"/>
                  <w:vAlign w:val="center"/>
                </w:tcPr>
                <w:p w14:paraId="52C119FE">
                  <w:pPr>
                    <w:pStyle w:val="26"/>
                    <w:adjustRightInd w:val="0"/>
                    <w:snapToGrid w:val="0"/>
                    <w:spacing w:before="0" w:beforeAutospacing="0" w:after="0" w:afterAutospacing="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直接向海排放污染物的海洋工程建设项目</w:t>
                  </w:r>
                </w:p>
              </w:tc>
              <w:tc>
                <w:tcPr>
                  <w:tcW w:w="1607" w:type="pct"/>
                  <w:noWrap w:val="0"/>
                  <w:vAlign w:val="center"/>
                </w:tcPr>
                <w:p w14:paraId="55B802E0">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sz w:val="18"/>
                      <w:szCs w:val="18"/>
                    </w:rPr>
                    <w:t>本项目不属于海洋工程建设项目</w:t>
                  </w:r>
                </w:p>
              </w:tc>
              <w:tc>
                <w:tcPr>
                  <w:tcW w:w="474" w:type="pct"/>
                  <w:noWrap w:val="0"/>
                  <w:vAlign w:val="center"/>
                </w:tcPr>
                <w:p w14:paraId="06B89F16">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否</w:t>
                  </w:r>
                </w:p>
              </w:tc>
            </w:tr>
            <w:tr w14:paraId="5C427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815" w:type="pct"/>
                  <w:noWrap w:val="0"/>
                  <w:vAlign w:val="center"/>
                </w:tcPr>
                <w:p w14:paraId="53745396">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地下水</w:t>
                  </w:r>
                </w:p>
              </w:tc>
              <w:tc>
                <w:tcPr>
                  <w:tcW w:w="2102" w:type="pct"/>
                  <w:noWrap w:val="0"/>
                  <w:vAlign w:val="center"/>
                </w:tcPr>
                <w:p w14:paraId="53FA82B7">
                  <w:pPr>
                    <w:pStyle w:val="26"/>
                    <w:adjustRightInd w:val="0"/>
                    <w:snapToGrid w:val="0"/>
                    <w:spacing w:before="0" w:beforeAutospacing="0" w:after="0" w:afterAutospacing="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涉及集中式饮用水水源和热水、矿泉水、温泉等特殊地下水资源保护区</w:t>
                  </w:r>
                </w:p>
              </w:tc>
              <w:tc>
                <w:tcPr>
                  <w:tcW w:w="1607" w:type="pct"/>
                  <w:noWrap w:val="0"/>
                  <w:vAlign w:val="center"/>
                </w:tcPr>
                <w:p w14:paraId="5D320C4F">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sz w:val="18"/>
                      <w:szCs w:val="18"/>
                    </w:rPr>
                    <w:t>本项目厂界外500m范围内不涉及集中式饮用水水源和热水、矿泉水、温泉等特殊地下水资源保护区</w:t>
                  </w:r>
                </w:p>
              </w:tc>
              <w:tc>
                <w:tcPr>
                  <w:tcW w:w="474" w:type="pct"/>
                  <w:noWrap w:val="0"/>
                  <w:vAlign w:val="center"/>
                </w:tcPr>
                <w:p w14:paraId="5011B194">
                  <w:pPr>
                    <w:autoSpaceDE w:val="0"/>
                    <w:autoSpaceDN w:val="0"/>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否</w:t>
                  </w:r>
                </w:p>
              </w:tc>
            </w:tr>
            <w:tr w14:paraId="0424A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6" w:hRule="atLeast"/>
                <w:jc w:val="center"/>
              </w:trPr>
              <w:tc>
                <w:tcPr>
                  <w:tcW w:w="5000" w:type="pct"/>
                  <w:gridSpan w:val="4"/>
                  <w:noWrap w:val="0"/>
                  <w:vAlign w:val="center"/>
                </w:tcPr>
                <w:p w14:paraId="4EE83A87">
                  <w:pPr>
                    <w:autoSpaceDE w:val="0"/>
                    <w:autoSpaceDN w:val="0"/>
                    <w:adjustRightInd w:val="0"/>
                    <w:snapToGrid w:val="0"/>
                    <w:jc w:val="left"/>
                    <w:rPr>
                      <w:rFonts w:hint="default" w:ascii="Times New Roman" w:hAnsi="Times New Roman" w:cs="Times New Roman"/>
                      <w:color w:val="auto"/>
                      <w:kern w:val="0"/>
                      <w:sz w:val="18"/>
                      <w:szCs w:val="18"/>
                    </w:rPr>
                  </w:pPr>
                  <w:r>
                    <w:rPr>
                      <w:rFonts w:hint="default" w:ascii="Times New Roman" w:hAnsi="Times New Roman" w:cs="Times New Roman"/>
                      <w:color w:val="auto"/>
                      <w:sz w:val="18"/>
                      <w:szCs w:val="18"/>
                    </w:rPr>
                    <w:t>注：1.废气中有毒有害污染物指纳入《有毒有害大气污染物名录》的污染物（不包括无排放标准的污染物）。2.环境空气保护目标指自然保护区、风景名胜区、居住区、文化区和农村地区中人群较集中的区域。3.临界量及其计算方法可参考《建设项目环境风险评价技术导则》（HJ 169）附录B、附录C。</w:t>
                  </w:r>
                </w:p>
              </w:tc>
            </w:tr>
          </w:tbl>
          <w:p w14:paraId="60337103">
            <w:pPr>
              <w:autoSpaceDE w:val="0"/>
              <w:autoSpaceDN w:val="0"/>
              <w:adjustRightInd w:val="0"/>
              <w:snapToGrid w:val="0"/>
              <w:jc w:val="center"/>
              <w:rPr>
                <w:rFonts w:hint="default" w:ascii="Times New Roman" w:hAnsi="Times New Roman" w:cs="Times New Roman"/>
                <w:color w:val="auto"/>
                <w:kern w:val="0"/>
                <w:szCs w:val="21"/>
              </w:rPr>
            </w:pPr>
          </w:p>
        </w:tc>
      </w:tr>
      <w:tr w14:paraId="05500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95" w:type="dxa"/>
          <w:trHeight w:val="710" w:hRule="atLeast"/>
          <w:jc w:val="center"/>
        </w:trPr>
        <w:tc>
          <w:tcPr>
            <w:tcW w:w="2382" w:type="dxa"/>
            <w:gridSpan w:val="2"/>
            <w:noWrap w:val="0"/>
            <w:vAlign w:val="center"/>
          </w:tcPr>
          <w:p w14:paraId="4D52716C">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规划情况</w:t>
            </w:r>
          </w:p>
        </w:tc>
        <w:tc>
          <w:tcPr>
            <w:tcW w:w="6488" w:type="dxa"/>
            <w:gridSpan w:val="3"/>
            <w:noWrap w:val="0"/>
            <w:vAlign w:val="center"/>
          </w:tcPr>
          <w:p w14:paraId="3D12A6E0">
            <w:pPr>
              <w:snapToGrid w:val="0"/>
              <w:spacing w:line="360" w:lineRule="auto"/>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规划名称：《重庆市合川工业园区南溪组团南溪片区控制性详细规划》（修改）</w:t>
            </w:r>
          </w:p>
          <w:p w14:paraId="291CBCDB">
            <w:pPr>
              <w:snapToGrid w:val="0"/>
              <w:spacing w:line="360" w:lineRule="auto"/>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审批机关：重庆市合川区人民政府</w:t>
            </w:r>
          </w:p>
          <w:p w14:paraId="33A8DB94">
            <w:pPr>
              <w:snapToGrid w:val="0"/>
              <w:spacing w:line="360" w:lineRule="auto"/>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审批文件名称：《关于重庆市合川工业园区南溪组团南溪片区控制性详细规划（修改）的批复》</w:t>
            </w:r>
          </w:p>
          <w:p w14:paraId="29EEC2E7">
            <w:pPr>
              <w:snapToGrid w:val="0"/>
              <w:spacing w:line="360" w:lineRule="auto"/>
              <w:jc w:val="left"/>
              <w:rPr>
                <w:rFonts w:hint="default" w:ascii="Times New Roman" w:hAnsi="Times New Roman" w:eastAsia="宋体" w:cs="Times New Roman"/>
                <w:b/>
                <w:bCs/>
                <w:color w:val="auto"/>
                <w:sz w:val="17"/>
                <w:szCs w:val="17"/>
                <w:lang w:eastAsia="zh-CN"/>
              </w:rPr>
            </w:pPr>
            <w:r>
              <w:rPr>
                <w:rFonts w:hint="default" w:ascii="Times New Roman" w:hAnsi="Times New Roman" w:eastAsia="宋体" w:cs="Times New Roman"/>
                <w:color w:val="auto"/>
                <w:szCs w:val="21"/>
                <w:lang w:eastAsia="zh-CN"/>
              </w:rPr>
              <w:t>审批文件文号：合川府</w:t>
            </w:r>
            <w:r>
              <w:rPr>
                <w:rFonts w:hint="eastAsia" w:ascii="Times New Roman" w:hAnsi="Times New Roman" w:eastAsia="宋体" w:cs="Times New Roman"/>
                <w:color w:val="auto"/>
                <w:szCs w:val="21"/>
                <w:lang w:eastAsia="zh-CN"/>
              </w:rPr>
              <w:t>〔2016〕61号</w:t>
            </w:r>
          </w:p>
        </w:tc>
      </w:tr>
      <w:tr w14:paraId="4BC1D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95" w:type="dxa"/>
          <w:trHeight w:val="1805" w:hRule="atLeast"/>
          <w:jc w:val="center"/>
        </w:trPr>
        <w:tc>
          <w:tcPr>
            <w:tcW w:w="2382" w:type="dxa"/>
            <w:gridSpan w:val="2"/>
            <w:noWrap w:val="0"/>
            <w:vAlign w:val="center"/>
          </w:tcPr>
          <w:p w14:paraId="6E2A7969">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规划环境影响</w:t>
            </w:r>
          </w:p>
          <w:p w14:paraId="3ECF7F96">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评价情况</w:t>
            </w:r>
          </w:p>
        </w:tc>
        <w:tc>
          <w:tcPr>
            <w:tcW w:w="6488" w:type="dxa"/>
            <w:gridSpan w:val="3"/>
            <w:noWrap w:val="0"/>
            <w:vAlign w:val="center"/>
          </w:tcPr>
          <w:p w14:paraId="05758578">
            <w:pPr>
              <w:snapToGrid w:val="0"/>
              <w:spacing w:line="360" w:lineRule="auto"/>
              <w:jc w:val="left"/>
              <w:rPr>
                <w:rFonts w:hint="default" w:ascii="Times New Roman" w:hAnsi="Times New Roman" w:cs="Times New Roman"/>
                <w:color w:val="auto"/>
                <w:szCs w:val="21"/>
              </w:rPr>
            </w:pPr>
            <w:r>
              <w:rPr>
                <w:rFonts w:hint="default" w:ascii="Times New Roman" w:hAnsi="Times New Roman" w:cs="Times New Roman"/>
                <w:color w:val="auto"/>
                <w:szCs w:val="21"/>
              </w:rPr>
              <w:t>规划环评名称：《合川工业园区南溪组团、渭沱组团B区规划环境影响报告书》</w:t>
            </w:r>
          </w:p>
          <w:p w14:paraId="17A81B8A">
            <w:pPr>
              <w:snapToGrid w:val="0"/>
              <w:spacing w:line="360" w:lineRule="auto"/>
              <w:jc w:val="left"/>
              <w:rPr>
                <w:rFonts w:hint="default" w:ascii="Times New Roman" w:hAnsi="Times New Roman" w:cs="Times New Roman"/>
                <w:color w:val="auto"/>
                <w:szCs w:val="21"/>
              </w:rPr>
            </w:pPr>
            <w:r>
              <w:rPr>
                <w:rFonts w:hint="default" w:ascii="Times New Roman" w:hAnsi="Times New Roman" w:cs="Times New Roman"/>
                <w:color w:val="auto"/>
                <w:szCs w:val="21"/>
              </w:rPr>
              <w:t>审查机关：重庆市生态环境局</w:t>
            </w:r>
          </w:p>
          <w:p w14:paraId="609B0016">
            <w:pPr>
              <w:snapToGrid w:val="0"/>
              <w:spacing w:line="360" w:lineRule="auto"/>
              <w:jc w:val="left"/>
              <w:rPr>
                <w:rFonts w:hint="default" w:ascii="Times New Roman" w:hAnsi="Times New Roman" w:cs="Times New Roman"/>
                <w:color w:val="auto"/>
                <w:szCs w:val="21"/>
              </w:rPr>
            </w:pPr>
            <w:r>
              <w:rPr>
                <w:rFonts w:hint="default" w:ascii="Times New Roman" w:hAnsi="Times New Roman" w:cs="Times New Roman"/>
                <w:color w:val="auto"/>
                <w:szCs w:val="21"/>
              </w:rPr>
              <w:t>审查文件名称：《重庆市生态环境局关于合川工业园区南溪组团、渭沱组团B区规划环境影响报告书审查意见的函》</w:t>
            </w:r>
          </w:p>
          <w:p w14:paraId="13A7D4BF">
            <w:pPr>
              <w:snapToGrid w:val="0"/>
              <w:spacing w:line="360" w:lineRule="auto"/>
              <w:jc w:val="left"/>
              <w:rPr>
                <w:rFonts w:hint="default" w:ascii="Times New Roman" w:hAnsi="Times New Roman" w:cs="Times New Roman"/>
                <w:color w:val="auto"/>
                <w:szCs w:val="21"/>
              </w:rPr>
            </w:pPr>
            <w:r>
              <w:rPr>
                <w:rFonts w:hint="default" w:ascii="Times New Roman" w:hAnsi="Times New Roman" w:cs="Times New Roman"/>
                <w:color w:val="auto"/>
                <w:szCs w:val="21"/>
              </w:rPr>
              <w:t>审查文件文号：渝环函</w:t>
            </w:r>
            <w:r>
              <w:rPr>
                <w:rFonts w:hint="eastAsia" w:ascii="Times New Roman" w:hAnsi="Times New Roman" w:cs="Times New Roman"/>
                <w:color w:val="auto"/>
                <w:szCs w:val="21"/>
                <w:lang w:eastAsia="zh-CN"/>
              </w:rPr>
              <w:t>〔2019〕1169号</w:t>
            </w:r>
          </w:p>
        </w:tc>
      </w:tr>
      <w:tr w14:paraId="423CD8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95" w:type="dxa"/>
          <w:trHeight w:val="1021" w:hRule="atLeast"/>
          <w:jc w:val="center"/>
        </w:trPr>
        <w:tc>
          <w:tcPr>
            <w:tcW w:w="2382" w:type="dxa"/>
            <w:gridSpan w:val="2"/>
            <w:noWrap w:val="0"/>
            <w:vAlign w:val="center"/>
          </w:tcPr>
          <w:p w14:paraId="0F61956B">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规划及规划环境</w:t>
            </w:r>
          </w:p>
          <w:p w14:paraId="778416CA">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影响评价符合性分析</w:t>
            </w:r>
          </w:p>
        </w:tc>
        <w:tc>
          <w:tcPr>
            <w:tcW w:w="6488" w:type="dxa"/>
            <w:gridSpan w:val="3"/>
            <w:noWrap w:val="0"/>
            <w:vAlign w:val="center"/>
          </w:tcPr>
          <w:p w14:paraId="7C31F53D">
            <w:pPr>
              <w:keepNext/>
              <w:keepLines/>
              <w:widowControl w:val="0"/>
              <w:adjustRightInd w:val="0"/>
              <w:snapToGrid w:val="0"/>
              <w:spacing w:line="360" w:lineRule="auto"/>
              <w:ind w:firstLine="0" w:firstLineChars="0"/>
              <w:jc w:val="both"/>
              <w:outlineLvl w:val="0"/>
              <w:rPr>
                <w:rFonts w:hint="default" w:ascii="Times New Roman" w:hAnsi="Times New Roman" w:eastAsia="宋体" w:cs="Times New Roman"/>
                <w:b/>
                <w:bCs/>
                <w:color w:val="auto"/>
                <w:kern w:val="44"/>
                <w:sz w:val="24"/>
                <w:szCs w:val="44"/>
                <w:lang w:val="en-US" w:eastAsia="zh-CN" w:bidi="ar-SA"/>
              </w:rPr>
            </w:pPr>
            <w:r>
              <w:rPr>
                <w:rFonts w:hint="eastAsia" w:ascii="Times New Roman" w:hAnsi="Times New Roman" w:eastAsia="宋体" w:cs="Times New Roman"/>
                <w:b/>
                <w:bCs/>
                <w:color w:val="auto"/>
                <w:kern w:val="44"/>
                <w:sz w:val="24"/>
                <w:szCs w:val="44"/>
                <w:lang w:val="en-US" w:eastAsia="zh-CN" w:bidi="ar-SA"/>
              </w:rPr>
              <w:t>一、</w:t>
            </w:r>
            <w:r>
              <w:rPr>
                <w:rFonts w:hint="default" w:ascii="Times New Roman" w:hAnsi="Times New Roman" w:eastAsia="宋体" w:cs="Times New Roman"/>
                <w:b/>
                <w:bCs/>
                <w:color w:val="auto"/>
                <w:kern w:val="44"/>
                <w:sz w:val="24"/>
                <w:szCs w:val="44"/>
                <w:lang w:val="en-US" w:eastAsia="zh-CN" w:bidi="ar-SA"/>
              </w:rPr>
              <w:t>与《重庆市合川工业园区南溪组团南溪片区控制性详细规划》（修改）符合性分析</w:t>
            </w:r>
          </w:p>
          <w:p w14:paraId="688FE265">
            <w:pPr>
              <w:widowControl w:val="0"/>
              <w:adjustRightInd w:val="0"/>
              <w:snapToGrid w:val="0"/>
              <w:spacing w:line="360" w:lineRule="auto"/>
              <w:ind w:firstLine="420" w:firstLineChars="200"/>
              <w:jc w:val="both"/>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本项目位于合川工业园南溪组团A区，区域以发展电子信息、装备制造、医药、食品为主，居住商业配套为辅的科技领先、经济繁荣、环境优美的工业园，禁止化学合成、化学原料药的生产。</w:t>
            </w:r>
          </w:p>
          <w:p w14:paraId="27ECF7A9">
            <w:pPr>
              <w:widowControl w:val="0"/>
              <w:adjustRightInd w:val="0"/>
              <w:snapToGrid w:val="0"/>
              <w:spacing w:line="360" w:lineRule="auto"/>
              <w:ind w:firstLine="420" w:firstLineChars="200"/>
              <w:jc w:val="both"/>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本项目位于南溪组团A区，为</w:t>
            </w:r>
            <w:r>
              <w:rPr>
                <w:rFonts w:hint="eastAsia" w:ascii="Times New Roman" w:hAnsi="Times New Roman" w:eastAsia="宋体" w:cs="Times New Roman"/>
                <w:color w:val="auto"/>
                <w:kern w:val="2"/>
                <w:sz w:val="21"/>
                <w:szCs w:val="20"/>
                <w:lang w:val="en-US" w:eastAsia="zh-CN" w:bidi="ar-SA"/>
              </w:rPr>
              <w:t>塑料零件制造生产</w:t>
            </w:r>
            <w:r>
              <w:rPr>
                <w:rFonts w:hint="default" w:ascii="Times New Roman" w:hAnsi="Times New Roman" w:eastAsia="宋体" w:cs="Times New Roman"/>
                <w:color w:val="auto"/>
                <w:kern w:val="2"/>
                <w:sz w:val="21"/>
                <w:szCs w:val="20"/>
                <w:lang w:val="en-US" w:eastAsia="zh-CN" w:bidi="ar-SA"/>
              </w:rPr>
              <w:t>，不属于园区禁止或限制入驻类企业。</w:t>
            </w:r>
          </w:p>
          <w:p w14:paraId="6BF4B38F">
            <w:pPr>
              <w:keepNext/>
              <w:keepLines/>
              <w:widowControl w:val="0"/>
              <w:adjustRightInd w:val="0"/>
              <w:snapToGrid w:val="0"/>
              <w:spacing w:line="360" w:lineRule="auto"/>
              <w:ind w:firstLine="0" w:firstLineChars="0"/>
              <w:jc w:val="both"/>
              <w:outlineLvl w:val="0"/>
              <w:rPr>
                <w:rFonts w:hint="default" w:ascii="Times New Roman" w:hAnsi="Times New Roman" w:eastAsia="宋体" w:cs="Times New Roman"/>
                <w:b/>
                <w:bCs/>
                <w:color w:val="auto"/>
                <w:kern w:val="44"/>
                <w:sz w:val="24"/>
                <w:szCs w:val="44"/>
                <w:lang w:val="en-US" w:eastAsia="zh-CN" w:bidi="ar-SA"/>
              </w:rPr>
            </w:pPr>
            <w:r>
              <w:rPr>
                <w:rFonts w:hint="eastAsia" w:ascii="Times New Roman" w:hAnsi="Times New Roman" w:eastAsia="宋体" w:cs="Times New Roman"/>
                <w:b/>
                <w:bCs/>
                <w:color w:val="auto"/>
                <w:kern w:val="44"/>
                <w:sz w:val="24"/>
                <w:szCs w:val="44"/>
                <w:lang w:val="en-US" w:eastAsia="zh-CN" w:bidi="ar-SA"/>
              </w:rPr>
              <w:t>二、</w:t>
            </w:r>
            <w:r>
              <w:rPr>
                <w:rFonts w:hint="default" w:ascii="Times New Roman" w:hAnsi="Times New Roman" w:eastAsia="宋体" w:cs="Times New Roman"/>
                <w:b/>
                <w:bCs/>
                <w:color w:val="auto"/>
                <w:kern w:val="44"/>
                <w:sz w:val="24"/>
                <w:szCs w:val="44"/>
                <w:lang w:val="en-US" w:eastAsia="zh-CN" w:bidi="ar-SA"/>
              </w:rPr>
              <w:t>与《合川工业园区南溪组团、渭沱组团B区规划环境影响报告书》及其审查意见函符合性分析</w:t>
            </w:r>
          </w:p>
          <w:p w14:paraId="793B94C1">
            <w:pPr>
              <w:widowControl w:val="0"/>
              <w:adjustRightInd w:val="0"/>
              <w:snapToGrid w:val="0"/>
              <w:spacing w:line="360" w:lineRule="auto"/>
              <w:ind w:firstLine="420" w:firstLineChars="200"/>
              <w:jc w:val="both"/>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南溪组团A区位于重庆市合川区南津</w:t>
            </w:r>
            <w:r>
              <w:rPr>
                <w:rFonts w:hint="eastAsia" w:ascii="Times New Roman" w:hAnsi="Times New Roman" w:eastAsia="宋体" w:cs="Times New Roman"/>
                <w:color w:val="auto"/>
                <w:kern w:val="2"/>
                <w:sz w:val="21"/>
                <w:szCs w:val="20"/>
                <w:lang w:val="en-US" w:eastAsia="zh-CN" w:bidi="ar-SA"/>
              </w:rPr>
              <w:t>街街道</w:t>
            </w:r>
            <w:r>
              <w:rPr>
                <w:rFonts w:hint="default" w:ascii="Times New Roman" w:hAnsi="Times New Roman" w:eastAsia="宋体" w:cs="Times New Roman"/>
                <w:color w:val="auto"/>
                <w:kern w:val="2"/>
                <w:sz w:val="21"/>
                <w:szCs w:val="20"/>
                <w:lang w:val="en-US" w:eastAsia="zh-CN" w:bidi="ar-SA"/>
              </w:rPr>
              <w:t>，东至三环沙溪立交段，北至渝武高速，南至遂州路，西至铜合路，面积为13.48km</w:t>
            </w:r>
            <w:r>
              <w:rPr>
                <w:rFonts w:hint="default" w:ascii="Times New Roman" w:hAnsi="Times New Roman" w:eastAsia="宋体" w:cs="Times New Roman"/>
                <w:color w:val="auto"/>
                <w:kern w:val="2"/>
                <w:sz w:val="21"/>
                <w:szCs w:val="20"/>
                <w:vertAlign w:val="superscript"/>
                <w:lang w:val="en-US" w:eastAsia="zh-CN" w:bidi="ar-SA"/>
              </w:rPr>
              <w:t>2</w:t>
            </w:r>
            <w:r>
              <w:rPr>
                <w:rFonts w:hint="default" w:ascii="Times New Roman" w:hAnsi="Times New Roman" w:eastAsia="宋体" w:cs="Times New Roman"/>
                <w:color w:val="auto"/>
                <w:kern w:val="2"/>
                <w:sz w:val="21"/>
                <w:szCs w:val="20"/>
                <w:lang w:val="en-US" w:eastAsia="zh-CN" w:bidi="ar-SA"/>
              </w:rPr>
              <w:t>。</w:t>
            </w:r>
          </w:p>
          <w:p w14:paraId="5C3D168A">
            <w:pPr>
              <w:widowControl w:val="0"/>
              <w:adjustRightInd w:val="0"/>
              <w:snapToGrid w:val="0"/>
              <w:spacing w:line="360" w:lineRule="auto"/>
              <w:ind w:firstLine="420" w:firstLineChars="200"/>
              <w:jc w:val="both"/>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（一）土地利用规划</w:t>
            </w:r>
          </w:p>
          <w:p w14:paraId="446333E4">
            <w:pPr>
              <w:widowControl w:val="0"/>
              <w:adjustRightInd w:val="0"/>
              <w:snapToGrid w:val="0"/>
              <w:spacing w:line="360" w:lineRule="auto"/>
              <w:ind w:firstLine="420" w:firstLineChars="200"/>
              <w:jc w:val="both"/>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本项目位于</w:t>
            </w:r>
            <w:r>
              <w:rPr>
                <w:rFonts w:hint="eastAsia" w:cs="Times New Roman"/>
                <w:color w:val="auto"/>
                <w:kern w:val="2"/>
                <w:sz w:val="21"/>
                <w:szCs w:val="20"/>
                <w:lang w:val="en-US" w:eastAsia="zh-CN" w:bidi="ar-SA"/>
              </w:rPr>
              <w:t>重庆市合川区南津街街道龙阳路10号1楼B区、C区厂房（南溪组团A区）</w:t>
            </w:r>
            <w:r>
              <w:rPr>
                <w:rFonts w:hint="default" w:ascii="Times New Roman" w:hAnsi="Times New Roman" w:eastAsia="宋体" w:cs="Times New Roman"/>
                <w:color w:val="auto"/>
                <w:kern w:val="2"/>
                <w:sz w:val="21"/>
                <w:szCs w:val="20"/>
                <w:lang w:val="en-US" w:eastAsia="zh-CN" w:bidi="ar-SA"/>
              </w:rPr>
              <w:t>，根据土地利用规划，本项目用地性质为工业用地，符合土地利用规划。</w:t>
            </w:r>
          </w:p>
          <w:p w14:paraId="5742439A">
            <w:pPr>
              <w:widowControl w:val="0"/>
              <w:adjustRightInd w:val="0"/>
              <w:snapToGrid w:val="0"/>
              <w:spacing w:line="360" w:lineRule="auto"/>
              <w:ind w:firstLine="420" w:firstLineChars="200"/>
              <w:jc w:val="both"/>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（二）产业定位</w:t>
            </w:r>
          </w:p>
          <w:p w14:paraId="283E51C8">
            <w:pPr>
              <w:widowControl w:val="0"/>
              <w:adjustRightInd w:val="0"/>
              <w:snapToGrid w:val="0"/>
              <w:spacing w:line="360" w:lineRule="auto"/>
              <w:ind w:firstLine="420" w:firstLineChars="200"/>
              <w:jc w:val="both"/>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本项目位于</w:t>
            </w:r>
            <w:r>
              <w:rPr>
                <w:rFonts w:hint="eastAsia" w:cs="Times New Roman"/>
                <w:color w:val="auto"/>
                <w:kern w:val="2"/>
                <w:sz w:val="21"/>
                <w:szCs w:val="20"/>
                <w:lang w:val="en-US" w:eastAsia="zh-CN" w:bidi="ar-SA"/>
              </w:rPr>
              <w:t>重庆市合川区南津街街道龙阳路10号1楼B区、C区厂房（南溪组团A区）</w:t>
            </w:r>
            <w:r>
              <w:rPr>
                <w:rFonts w:hint="default" w:ascii="Times New Roman" w:hAnsi="Times New Roman" w:eastAsia="宋体" w:cs="Times New Roman"/>
                <w:color w:val="auto"/>
                <w:kern w:val="2"/>
                <w:sz w:val="21"/>
                <w:szCs w:val="20"/>
                <w:lang w:val="en-US" w:eastAsia="zh-CN" w:bidi="ar-SA"/>
              </w:rPr>
              <w:t>，根据规划环评，南溪组团A区主要发展装备制造、电子信息、健康医药。本项目为</w:t>
            </w:r>
            <w:r>
              <w:rPr>
                <w:rFonts w:hint="eastAsia" w:ascii="Times New Roman" w:hAnsi="Times New Roman" w:eastAsia="宋体" w:cs="Times New Roman"/>
                <w:color w:val="auto"/>
                <w:kern w:val="2"/>
                <w:sz w:val="21"/>
                <w:szCs w:val="20"/>
                <w:lang w:val="en-US" w:eastAsia="zh-CN" w:bidi="ar-SA"/>
              </w:rPr>
              <w:t>塑料零件制造生产</w:t>
            </w:r>
            <w:r>
              <w:rPr>
                <w:rFonts w:hint="default" w:ascii="Times New Roman" w:hAnsi="Times New Roman" w:eastAsia="宋体" w:cs="Times New Roman"/>
                <w:color w:val="auto"/>
                <w:kern w:val="2"/>
                <w:sz w:val="21"/>
                <w:szCs w:val="20"/>
                <w:lang w:val="en-US" w:eastAsia="zh-CN" w:bidi="ar-SA"/>
              </w:rPr>
              <w:t>项目，不属于园区禁止或限制入驻类行业，符合园区产业规划。</w:t>
            </w:r>
          </w:p>
          <w:p w14:paraId="017295F1">
            <w:pPr>
              <w:widowControl w:val="0"/>
              <w:adjustRightInd w:val="0"/>
              <w:snapToGrid w:val="0"/>
              <w:spacing w:line="360" w:lineRule="auto"/>
              <w:ind w:firstLine="420" w:firstLineChars="200"/>
              <w:jc w:val="both"/>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（三）环境准入负面清单</w:t>
            </w:r>
          </w:p>
          <w:p w14:paraId="1C2B23B4">
            <w:pPr>
              <w:widowControl w:val="0"/>
              <w:adjustRightInd w:val="0"/>
              <w:snapToGrid w:val="0"/>
              <w:spacing w:line="360" w:lineRule="auto"/>
              <w:ind w:firstLine="420" w:firstLineChars="200"/>
              <w:jc w:val="both"/>
              <w:rPr>
                <w:rFonts w:hint="default" w:ascii="Times New Roman" w:hAnsi="Times New Roman" w:eastAsia="宋体" w:cs="Times New Roman"/>
                <w:color w:val="auto"/>
                <w:kern w:val="2"/>
                <w:sz w:val="21"/>
                <w:szCs w:val="20"/>
                <w:lang w:val="en-US" w:eastAsia="zh-CN" w:bidi="ar-SA"/>
              </w:rPr>
            </w:pPr>
            <w:r>
              <w:rPr>
                <w:rFonts w:hint="default" w:ascii="Times New Roman" w:hAnsi="Times New Roman" w:eastAsia="宋体" w:cs="Times New Roman"/>
                <w:color w:val="auto"/>
                <w:kern w:val="2"/>
                <w:sz w:val="21"/>
                <w:szCs w:val="20"/>
                <w:lang w:val="en-US" w:eastAsia="zh-CN" w:bidi="ar-SA"/>
              </w:rPr>
              <w:t>根据《合川工业园区南溪组团、渭沱组团B区规划环境影响报告书》，本项目与规划环评符合性分析见表1-</w:t>
            </w:r>
            <w:r>
              <w:rPr>
                <w:rFonts w:hint="eastAsia" w:ascii="Times New Roman" w:hAnsi="Times New Roman" w:eastAsia="宋体" w:cs="Times New Roman"/>
                <w:color w:val="auto"/>
                <w:kern w:val="2"/>
                <w:sz w:val="21"/>
                <w:szCs w:val="20"/>
                <w:lang w:val="en-US" w:eastAsia="zh-CN" w:bidi="ar-SA"/>
              </w:rPr>
              <w:t>2</w:t>
            </w:r>
            <w:r>
              <w:rPr>
                <w:rFonts w:hint="default" w:ascii="Times New Roman" w:hAnsi="Times New Roman" w:eastAsia="宋体" w:cs="Times New Roman"/>
                <w:color w:val="auto"/>
                <w:kern w:val="2"/>
                <w:sz w:val="21"/>
                <w:szCs w:val="20"/>
                <w:lang w:val="en-US" w:eastAsia="zh-CN" w:bidi="ar-SA"/>
              </w:rPr>
              <w:t>。</w:t>
            </w:r>
          </w:p>
          <w:p w14:paraId="6C1476BD">
            <w:pPr>
              <w:widowControl w:val="0"/>
              <w:adjustRightInd w:val="0"/>
              <w:snapToGrid w:val="0"/>
              <w:spacing w:after="0" w:line="360" w:lineRule="auto"/>
              <w:ind w:firstLine="0" w:firstLineChars="0"/>
              <w:jc w:val="center"/>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eastAsia="宋体" w:cs="Times New Roman"/>
                <w:b/>
                <w:color w:val="auto"/>
                <w:kern w:val="2"/>
                <w:sz w:val="21"/>
                <w:szCs w:val="21"/>
                <w:lang w:val="en-US" w:eastAsia="zh-CN" w:bidi="ar-SA"/>
              </w:rPr>
              <w:t>表1-</w:t>
            </w:r>
            <w:r>
              <w:rPr>
                <w:rFonts w:hint="eastAsia" w:ascii="Times New Roman" w:hAnsi="Times New Roman" w:eastAsia="宋体" w:cs="Times New Roman"/>
                <w:b/>
                <w:color w:val="auto"/>
                <w:kern w:val="2"/>
                <w:sz w:val="21"/>
                <w:szCs w:val="21"/>
                <w:lang w:val="en-US" w:eastAsia="zh-CN" w:bidi="ar-SA"/>
              </w:rPr>
              <w:t>2</w:t>
            </w:r>
            <w:r>
              <w:rPr>
                <w:rFonts w:hint="default" w:ascii="Times New Roman" w:hAnsi="Times New Roman" w:eastAsia="宋体" w:cs="Times New Roman"/>
                <w:b/>
                <w:color w:val="auto"/>
                <w:kern w:val="2"/>
                <w:sz w:val="21"/>
                <w:szCs w:val="21"/>
                <w:lang w:val="en-US" w:eastAsia="zh-CN" w:bidi="ar-SA"/>
              </w:rPr>
              <w:t>与规划环评的符合性分析</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107"/>
              <w:gridCol w:w="600"/>
              <w:gridCol w:w="3087"/>
              <w:gridCol w:w="1498"/>
              <w:gridCol w:w="554"/>
            </w:tblGrid>
            <w:tr w14:paraId="126C5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3" w:type="dxa"/>
                  <w:gridSpan w:val="3"/>
                  <w:tcBorders>
                    <w:tl2br w:val="nil"/>
                    <w:tr2bl w:val="nil"/>
                  </w:tcBorders>
                  <w:noWrap w:val="0"/>
                  <w:vAlign w:val="center"/>
                </w:tcPr>
                <w:p w14:paraId="0720C36C">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分类</w:t>
                  </w:r>
                </w:p>
              </w:tc>
              <w:tc>
                <w:tcPr>
                  <w:tcW w:w="3087" w:type="dxa"/>
                  <w:tcBorders>
                    <w:tl2br w:val="nil"/>
                    <w:tr2bl w:val="nil"/>
                  </w:tcBorders>
                  <w:noWrap w:val="0"/>
                  <w:vAlign w:val="center"/>
                </w:tcPr>
                <w:p w14:paraId="6DAAE2F0">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清单内容</w:t>
                  </w:r>
                </w:p>
              </w:tc>
              <w:tc>
                <w:tcPr>
                  <w:tcW w:w="1498" w:type="dxa"/>
                  <w:tcBorders>
                    <w:tl2br w:val="nil"/>
                    <w:tr2bl w:val="nil"/>
                  </w:tcBorders>
                  <w:noWrap w:val="0"/>
                  <w:vAlign w:val="center"/>
                </w:tcPr>
                <w:p w14:paraId="4CAD9B0F">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项目情况</w:t>
                  </w:r>
                </w:p>
              </w:tc>
              <w:tc>
                <w:tcPr>
                  <w:tcW w:w="554" w:type="dxa"/>
                  <w:tcBorders>
                    <w:tl2br w:val="nil"/>
                    <w:tr2bl w:val="nil"/>
                  </w:tcBorders>
                  <w:noWrap w:val="0"/>
                  <w:vAlign w:val="center"/>
                </w:tcPr>
                <w:p w14:paraId="13561B5F">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符合性</w:t>
                  </w:r>
                </w:p>
              </w:tc>
            </w:tr>
            <w:tr w14:paraId="2D328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3" w:type="dxa"/>
                  <w:gridSpan w:val="3"/>
                  <w:vMerge w:val="restart"/>
                  <w:tcBorders>
                    <w:tl2br w:val="nil"/>
                    <w:tr2bl w:val="nil"/>
                  </w:tcBorders>
                  <w:noWrap w:val="0"/>
                  <w:vAlign w:val="center"/>
                </w:tcPr>
                <w:p w14:paraId="556370EF">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空间布局约束</w:t>
                  </w:r>
                </w:p>
              </w:tc>
              <w:tc>
                <w:tcPr>
                  <w:tcW w:w="3087" w:type="dxa"/>
                  <w:tcBorders>
                    <w:tl2br w:val="nil"/>
                    <w:tr2bl w:val="nil"/>
                  </w:tcBorders>
                  <w:noWrap w:val="0"/>
                  <w:vAlign w:val="center"/>
                </w:tcPr>
                <w:p w14:paraId="37135F93">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缙云山国家级风景名胜区、九峰山市级森林公园外围300m缓冲带区域原则上按照环境空气一类功能区对应要求进行管理；对临近环境空气一类功能区一侧工业用地不宜布置废气排放量大的企业，增强靠近九峰山市级森林公园一侧防护绿化</w:t>
                  </w:r>
                </w:p>
              </w:tc>
              <w:tc>
                <w:tcPr>
                  <w:tcW w:w="1498" w:type="dxa"/>
                  <w:tcBorders>
                    <w:tl2br w:val="nil"/>
                    <w:tr2bl w:val="nil"/>
                  </w:tcBorders>
                  <w:noWrap w:val="0"/>
                  <w:vAlign w:val="center"/>
                </w:tcPr>
                <w:p w14:paraId="1BD35731">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本项目所在位置位于九峰山300m缓冲带范围外。</w:t>
                  </w:r>
                </w:p>
              </w:tc>
              <w:tc>
                <w:tcPr>
                  <w:tcW w:w="554" w:type="dxa"/>
                  <w:tcBorders>
                    <w:tl2br w:val="nil"/>
                    <w:tr2bl w:val="nil"/>
                  </w:tcBorders>
                  <w:noWrap w:val="0"/>
                  <w:vAlign w:val="center"/>
                </w:tcPr>
                <w:p w14:paraId="4D5689A4">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78A1A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3" w:type="dxa"/>
                  <w:gridSpan w:val="3"/>
                  <w:vMerge w:val="continue"/>
                  <w:tcBorders>
                    <w:tl2br w:val="nil"/>
                    <w:tr2bl w:val="nil"/>
                  </w:tcBorders>
                  <w:noWrap w:val="0"/>
                  <w:vAlign w:val="center"/>
                </w:tcPr>
                <w:p w14:paraId="15A8D610">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p>
              </w:tc>
              <w:tc>
                <w:tcPr>
                  <w:tcW w:w="3087" w:type="dxa"/>
                  <w:tcBorders>
                    <w:tl2br w:val="nil"/>
                    <w:tr2bl w:val="nil"/>
                  </w:tcBorders>
                  <w:noWrap w:val="0"/>
                  <w:vAlign w:val="center"/>
                </w:tcPr>
                <w:p w14:paraId="425B1AF8">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规划区内企业入驻时应优化环境防护距离设置，以防范产业园区涉生态环境“邻避”问题为出发点，将环境防护距离优化控制在园区边界或用地红线内</w:t>
                  </w:r>
                </w:p>
              </w:tc>
              <w:tc>
                <w:tcPr>
                  <w:tcW w:w="1498" w:type="dxa"/>
                  <w:tcBorders>
                    <w:tl2br w:val="nil"/>
                    <w:tr2bl w:val="nil"/>
                  </w:tcBorders>
                  <w:noWrap w:val="0"/>
                  <w:vAlign w:val="center"/>
                </w:tcPr>
                <w:p w14:paraId="3D040F0D">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本项目不涉及环境防护距离。</w:t>
                  </w:r>
                </w:p>
              </w:tc>
              <w:tc>
                <w:tcPr>
                  <w:tcW w:w="554" w:type="dxa"/>
                  <w:tcBorders>
                    <w:tl2br w:val="nil"/>
                    <w:tr2bl w:val="nil"/>
                  </w:tcBorders>
                  <w:noWrap w:val="0"/>
                  <w:vAlign w:val="center"/>
                </w:tcPr>
                <w:p w14:paraId="5489B596">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49230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 w:type="dxa"/>
                  <w:vMerge w:val="restart"/>
                  <w:tcBorders>
                    <w:tl2br w:val="nil"/>
                    <w:tr2bl w:val="nil"/>
                  </w:tcBorders>
                  <w:noWrap w:val="0"/>
                  <w:vAlign w:val="center"/>
                </w:tcPr>
                <w:p w14:paraId="412F0A26">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污染物排放管控</w:t>
                  </w:r>
                </w:p>
              </w:tc>
              <w:tc>
                <w:tcPr>
                  <w:tcW w:w="707" w:type="dxa"/>
                  <w:gridSpan w:val="2"/>
                  <w:tcBorders>
                    <w:tl2br w:val="nil"/>
                    <w:tr2bl w:val="nil"/>
                  </w:tcBorders>
                  <w:noWrap w:val="0"/>
                  <w:vAlign w:val="center"/>
                </w:tcPr>
                <w:p w14:paraId="78AF2693">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水污染控制措施要求</w:t>
                  </w:r>
                </w:p>
              </w:tc>
              <w:tc>
                <w:tcPr>
                  <w:tcW w:w="3087" w:type="dxa"/>
                  <w:tcBorders>
                    <w:tl2br w:val="nil"/>
                    <w:tr2bl w:val="nil"/>
                  </w:tcBorders>
                  <w:noWrap w:val="0"/>
                  <w:vAlign w:val="center"/>
                </w:tcPr>
                <w:p w14:paraId="0C61EE0B">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规划区废水全部进入污水处理厂处理达标后排放，水污染物达标排放率100%</w:t>
                  </w:r>
                </w:p>
              </w:tc>
              <w:tc>
                <w:tcPr>
                  <w:tcW w:w="1498" w:type="dxa"/>
                  <w:tcBorders>
                    <w:tl2br w:val="nil"/>
                    <w:tr2bl w:val="nil"/>
                  </w:tcBorders>
                  <w:noWrap w:val="0"/>
                  <w:vAlign w:val="center"/>
                </w:tcPr>
                <w:p w14:paraId="1DC667E8">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本项目排放的废水最终排至园区污水处理厂处理，达标率为100%</w:t>
                  </w:r>
                </w:p>
              </w:tc>
              <w:tc>
                <w:tcPr>
                  <w:tcW w:w="554" w:type="dxa"/>
                  <w:tcBorders>
                    <w:tl2br w:val="nil"/>
                    <w:tr2bl w:val="nil"/>
                  </w:tcBorders>
                  <w:noWrap w:val="0"/>
                  <w:vAlign w:val="center"/>
                </w:tcPr>
                <w:p w14:paraId="1385415D">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20524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 w:type="dxa"/>
                  <w:vMerge w:val="continue"/>
                  <w:tcBorders>
                    <w:tl2br w:val="nil"/>
                    <w:tr2bl w:val="nil"/>
                  </w:tcBorders>
                  <w:noWrap w:val="0"/>
                  <w:vAlign w:val="center"/>
                </w:tcPr>
                <w:p w14:paraId="3D463C99">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p>
              </w:tc>
              <w:tc>
                <w:tcPr>
                  <w:tcW w:w="707" w:type="dxa"/>
                  <w:gridSpan w:val="2"/>
                  <w:tcBorders>
                    <w:tl2br w:val="nil"/>
                    <w:tr2bl w:val="nil"/>
                  </w:tcBorders>
                  <w:noWrap w:val="0"/>
                  <w:vAlign w:val="center"/>
                </w:tcPr>
                <w:p w14:paraId="3E05E8F4">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大气污染物控制措施要求</w:t>
                  </w:r>
                </w:p>
              </w:tc>
              <w:tc>
                <w:tcPr>
                  <w:tcW w:w="3087" w:type="dxa"/>
                  <w:tcBorders>
                    <w:tl2br w:val="nil"/>
                    <w:tr2bl w:val="nil"/>
                  </w:tcBorders>
                  <w:noWrap w:val="0"/>
                  <w:vAlign w:val="center"/>
                </w:tcPr>
                <w:p w14:paraId="527D0588">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涉及挥发性有机污染物的排放的企业应按国家及重庆市“十三五”挥发性有机物大气污染防治工作实施方案要求，采用低毒、低挥发性原辅材料，进行工艺改造，并对原辅材料储运、加工生产、废弃物处置等环节实施全过程控制；鼓励水泥、玻璃制品等行业在已达标的基础上深度治理，并持续实行水泥行业错峰生产</w:t>
                  </w:r>
                </w:p>
              </w:tc>
              <w:tc>
                <w:tcPr>
                  <w:tcW w:w="1498" w:type="dxa"/>
                  <w:tcBorders>
                    <w:tl2br w:val="nil"/>
                    <w:tr2bl w:val="nil"/>
                  </w:tcBorders>
                  <w:noWrap w:val="0"/>
                  <w:vAlign w:val="center"/>
                </w:tcPr>
                <w:p w14:paraId="454ACDC8">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本项目采用低毒、低挥发性的原辅材料，并对原辅材料储运、加工生产、废弃物处置等环节实施全过程控制，不属于水泥、玻璃制品等行业</w:t>
                  </w:r>
                </w:p>
              </w:tc>
              <w:tc>
                <w:tcPr>
                  <w:tcW w:w="554" w:type="dxa"/>
                  <w:tcBorders>
                    <w:tl2br w:val="nil"/>
                    <w:tr2bl w:val="nil"/>
                  </w:tcBorders>
                  <w:noWrap w:val="0"/>
                  <w:vAlign w:val="center"/>
                </w:tcPr>
                <w:p w14:paraId="67E6E433">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756C6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 w:type="dxa"/>
                  <w:vMerge w:val="continue"/>
                  <w:tcBorders>
                    <w:tl2br w:val="nil"/>
                    <w:tr2bl w:val="nil"/>
                  </w:tcBorders>
                  <w:noWrap w:val="0"/>
                  <w:vAlign w:val="center"/>
                </w:tcPr>
                <w:p w14:paraId="3245672A">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p>
              </w:tc>
              <w:tc>
                <w:tcPr>
                  <w:tcW w:w="707" w:type="dxa"/>
                  <w:gridSpan w:val="2"/>
                  <w:tcBorders>
                    <w:tl2br w:val="nil"/>
                    <w:tr2bl w:val="nil"/>
                  </w:tcBorders>
                  <w:noWrap w:val="0"/>
                  <w:vAlign w:val="center"/>
                </w:tcPr>
                <w:p w14:paraId="7681D19D">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固体废物处置措施</w:t>
                  </w:r>
                </w:p>
              </w:tc>
              <w:tc>
                <w:tcPr>
                  <w:tcW w:w="3087" w:type="dxa"/>
                  <w:tcBorders>
                    <w:tl2br w:val="nil"/>
                    <w:tr2bl w:val="nil"/>
                  </w:tcBorders>
                  <w:noWrap w:val="0"/>
                  <w:vAlign w:val="center"/>
                </w:tcPr>
                <w:p w14:paraId="4931DBE3">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工业固体废物综合利用率达到95.5%</w:t>
                  </w:r>
                </w:p>
              </w:tc>
              <w:tc>
                <w:tcPr>
                  <w:tcW w:w="1498" w:type="dxa"/>
                  <w:tcBorders>
                    <w:tl2br w:val="nil"/>
                    <w:tr2bl w:val="nil"/>
                  </w:tcBorders>
                  <w:noWrap w:val="0"/>
                  <w:vAlign w:val="center"/>
                </w:tcPr>
                <w:p w14:paraId="04B04157">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本项目工业固体废物综合处置率达到100%</w:t>
                  </w:r>
                </w:p>
              </w:tc>
              <w:tc>
                <w:tcPr>
                  <w:tcW w:w="554" w:type="dxa"/>
                  <w:tcBorders>
                    <w:tl2br w:val="nil"/>
                    <w:tr2bl w:val="nil"/>
                  </w:tcBorders>
                  <w:noWrap w:val="0"/>
                  <w:vAlign w:val="center"/>
                </w:tcPr>
                <w:p w14:paraId="09AA463C">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5ACB4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3" w:type="dxa"/>
                  <w:gridSpan w:val="3"/>
                  <w:tcBorders>
                    <w:tl2br w:val="nil"/>
                    <w:tr2bl w:val="nil"/>
                  </w:tcBorders>
                  <w:noWrap w:val="0"/>
                  <w:vAlign w:val="center"/>
                </w:tcPr>
                <w:p w14:paraId="242CF4B5">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环境风险防控</w:t>
                  </w:r>
                </w:p>
              </w:tc>
              <w:tc>
                <w:tcPr>
                  <w:tcW w:w="3087" w:type="dxa"/>
                  <w:tcBorders>
                    <w:tl2br w:val="nil"/>
                    <w:tr2bl w:val="nil"/>
                  </w:tcBorders>
                  <w:noWrap w:val="0"/>
                  <w:vAlign w:val="center"/>
                </w:tcPr>
                <w:p w14:paraId="0F2D6010">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规划区建设三级（车间、厂区、规划区）环境风险防控体系；督促规划区内各企业加强环境风险防控，建设防止环境风险物质泄漏扩散的封堵、围栏、喷淋、吸收、收集、处理等应急设施</w:t>
                  </w:r>
                </w:p>
              </w:tc>
              <w:tc>
                <w:tcPr>
                  <w:tcW w:w="1498" w:type="dxa"/>
                  <w:tcBorders>
                    <w:tl2br w:val="nil"/>
                    <w:tr2bl w:val="nil"/>
                  </w:tcBorders>
                  <w:noWrap w:val="0"/>
                  <w:vAlign w:val="center"/>
                </w:tcPr>
                <w:p w14:paraId="72FDDEAB">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本项目环境风险较低，采取了车间风险防控措施，</w:t>
                  </w:r>
                  <w:r>
                    <w:rPr>
                      <w:rFonts w:hint="eastAsia" w:cs="Times New Roman"/>
                      <w:color w:val="auto"/>
                      <w:kern w:val="2"/>
                      <w:sz w:val="18"/>
                      <w:szCs w:val="18"/>
                      <w:lang w:val="en-US" w:eastAsia="zh-CN" w:bidi="ar-SA"/>
                    </w:rPr>
                    <w:t>厂区建立完善的风险管理制度，</w:t>
                  </w:r>
                  <w:r>
                    <w:rPr>
                      <w:rFonts w:hint="default" w:ascii="Times New Roman" w:hAnsi="Times New Roman" w:eastAsia="宋体" w:cs="Times New Roman"/>
                      <w:color w:val="auto"/>
                      <w:kern w:val="2"/>
                      <w:sz w:val="18"/>
                      <w:szCs w:val="18"/>
                      <w:lang w:val="en-US" w:eastAsia="zh-CN" w:bidi="ar-SA"/>
                    </w:rPr>
                    <w:t>同时依托园区风险防控体系</w:t>
                  </w:r>
                  <w:r>
                    <w:rPr>
                      <w:rFonts w:hint="eastAsia" w:cs="Times New Roman"/>
                      <w:color w:val="auto"/>
                      <w:kern w:val="2"/>
                      <w:sz w:val="18"/>
                      <w:szCs w:val="18"/>
                      <w:lang w:val="en-US" w:eastAsia="zh-CN" w:bidi="ar-SA"/>
                    </w:rPr>
                    <w:t>，且本项目危废间、液体物料暂存区采取了托盘、围堰等设施防止风险物质泄漏扩散。</w:t>
                  </w:r>
                </w:p>
              </w:tc>
              <w:tc>
                <w:tcPr>
                  <w:tcW w:w="554" w:type="dxa"/>
                  <w:tcBorders>
                    <w:tl2br w:val="nil"/>
                    <w:tr2bl w:val="nil"/>
                  </w:tcBorders>
                  <w:noWrap w:val="0"/>
                  <w:vAlign w:val="center"/>
                </w:tcPr>
                <w:p w14:paraId="23AC1F83">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68275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3" w:type="dxa"/>
                  <w:gridSpan w:val="3"/>
                  <w:tcBorders>
                    <w:tl2br w:val="nil"/>
                    <w:tr2bl w:val="nil"/>
                  </w:tcBorders>
                  <w:noWrap w:val="0"/>
                  <w:vAlign w:val="center"/>
                </w:tcPr>
                <w:p w14:paraId="70243F70">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资源利用效率</w:t>
                  </w:r>
                </w:p>
              </w:tc>
              <w:tc>
                <w:tcPr>
                  <w:tcW w:w="3087" w:type="dxa"/>
                  <w:tcBorders>
                    <w:tl2br w:val="nil"/>
                    <w:tr2bl w:val="nil"/>
                  </w:tcBorders>
                  <w:noWrap w:val="0"/>
                  <w:vAlign w:val="center"/>
                </w:tcPr>
                <w:p w14:paraId="2D5D8BE0">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新建和改造的工业项目清洁生产水平不得低于国家清洁生产标准的国内先进水平。新建高耗能项目单位产品（产值）能耗要达到国际先进水平</w:t>
                  </w:r>
                </w:p>
              </w:tc>
              <w:tc>
                <w:tcPr>
                  <w:tcW w:w="1498" w:type="dxa"/>
                  <w:tcBorders>
                    <w:tl2br w:val="nil"/>
                    <w:tr2bl w:val="nil"/>
                  </w:tcBorders>
                  <w:noWrap w:val="0"/>
                  <w:vAlign w:val="center"/>
                </w:tcPr>
                <w:p w14:paraId="7FDB13E1">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本项目清洁生产水平达到国内先进水平；本项目不属于高耗能项目</w:t>
                  </w:r>
                </w:p>
              </w:tc>
              <w:tc>
                <w:tcPr>
                  <w:tcW w:w="554" w:type="dxa"/>
                  <w:tcBorders>
                    <w:tl2br w:val="nil"/>
                    <w:tr2bl w:val="nil"/>
                  </w:tcBorders>
                  <w:noWrap w:val="0"/>
                  <w:vAlign w:val="center"/>
                </w:tcPr>
                <w:p w14:paraId="25162F07">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7B6BE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3" w:type="dxa"/>
                  <w:gridSpan w:val="3"/>
                  <w:vMerge w:val="restart"/>
                  <w:tcBorders>
                    <w:tl2br w:val="nil"/>
                    <w:tr2bl w:val="nil"/>
                  </w:tcBorders>
                  <w:noWrap w:val="0"/>
                  <w:vAlign w:val="center"/>
                </w:tcPr>
                <w:p w14:paraId="60E14BCE">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禁止准入产业</w:t>
                  </w:r>
                </w:p>
              </w:tc>
              <w:tc>
                <w:tcPr>
                  <w:tcW w:w="3087" w:type="dxa"/>
                  <w:tcBorders>
                    <w:tl2br w:val="nil"/>
                    <w:tr2bl w:val="nil"/>
                  </w:tcBorders>
                  <w:noWrap w:val="0"/>
                  <w:vAlign w:val="center"/>
                </w:tcPr>
                <w:p w14:paraId="1EA17ECB">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禁止《市场准入负面清单》、《关于发布长江经济带发展负面清单（指南）的通知》、《重庆市长江经济带发展负面清单实施细则（试行）》、《重庆市产业投资准入工作手册》（渝发改投</w:t>
                  </w:r>
                  <w:r>
                    <w:rPr>
                      <w:rFonts w:hint="eastAsia" w:ascii="Times New Roman" w:hAnsi="Times New Roman" w:eastAsia="宋体" w:cs="Times New Roman"/>
                      <w:color w:val="auto"/>
                      <w:kern w:val="2"/>
                      <w:sz w:val="18"/>
                      <w:szCs w:val="18"/>
                      <w:lang w:val="en-US" w:eastAsia="zh-CN" w:bidi="ar-SA"/>
                    </w:rPr>
                    <w:t>〔2018〕541号</w:t>
                  </w:r>
                  <w:r>
                    <w:rPr>
                      <w:rFonts w:hint="default" w:ascii="Times New Roman" w:hAnsi="Times New Roman" w:eastAsia="宋体" w:cs="Times New Roman"/>
                      <w:color w:val="auto"/>
                      <w:kern w:val="2"/>
                      <w:sz w:val="18"/>
                      <w:szCs w:val="18"/>
                      <w:lang w:val="en-US" w:eastAsia="zh-CN" w:bidi="ar-SA"/>
                    </w:rPr>
                    <w:t>）、《重庆市关于严格工业布局和准入的通知》（渝发改投</w:t>
                  </w:r>
                  <w:r>
                    <w:rPr>
                      <w:rFonts w:hint="eastAsia" w:ascii="Times New Roman" w:hAnsi="Times New Roman" w:eastAsia="宋体" w:cs="Times New Roman"/>
                      <w:color w:val="auto"/>
                      <w:kern w:val="2"/>
                      <w:sz w:val="18"/>
                      <w:szCs w:val="18"/>
                      <w:lang w:val="en-US" w:eastAsia="zh-CN" w:bidi="ar-SA"/>
                    </w:rPr>
                    <w:t>〔2018〕781号</w:t>
                  </w:r>
                  <w:r>
                    <w:rPr>
                      <w:rFonts w:hint="default" w:ascii="Times New Roman" w:hAnsi="Times New Roman" w:eastAsia="宋体" w:cs="Times New Roman"/>
                      <w:color w:val="auto"/>
                      <w:kern w:val="2"/>
                      <w:sz w:val="18"/>
                      <w:szCs w:val="18"/>
                      <w:lang w:val="en-US" w:eastAsia="zh-CN" w:bidi="ar-SA"/>
                    </w:rPr>
                    <w:t>）中提出的负面清单以及不予准入类项目；禁止引入资源环境绩效水平超过《重庆市工业项目环境准入规定》限值以及不符合生态建设和环境保护规划区域布局规定的工业项目</w:t>
                  </w:r>
                </w:p>
              </w:tc>
              <w:tc>
                <w:tcPr>
                  <w:tcW w:w="1498" w:type="dxa"/>
                  <w:tcBorders>
                    <w:tl2br w:val="nil"/>
                    <w:tr2bl w:val="nil"/>
                  </w:tcBorders>
                  <w:noWrap w:val="0"/>
                  <w:vAlign w:val="center"/>
                </w:tcPr>
                <w:p w14:paraId="08D63E16">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本项目不属于负面清单及不予准入类项目</w:t>
                  </w:r>
                </w:p>
              </w:tc>
              <w:tc>
                <w:tcPr>
                  <w:tcW w:w="554" w:type="dxa"/>
                  <w:tcBorders>
                    <w:tl2br w:val="nil"/>
                    <w:tr2bl w:val="nil"/>
                  </w:tcBorders>
                  <w:noWrap w:val="0"/>
                  <w:vAlign w:val="center"/>
                </w:tcPr>
                <w:p w14:paraId="6EEA99DF">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39D9C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3" w:type="dxa"/>
                  <w:gridSpan w:val="3"/>
                  <w:vMerge w:val="continue"/>
                  <w:tcBorders>
                    <w:tl2br w:val="nil"/>
                    <w:tr2bl w:val="nil"/>
                  </w:tcBorders>
                  <w:noWrap w:val="0"/>
                  <w:vAlign w:val="center"/>
                </w:tcPr>
                <w:p w14:paraId="7E49A8E5">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p>
              </w:tc>
              <w:tc>
                <w:tcPr>
                  <w:tcW w:w="3087" w:type="dxa"/>
                  <w:tcBorders>
                    <w:tl2br w:val="nil"/>
                    <w:tr2bl w:val="nil"/>
                  </w:tcBorders>
                  <w:noWrap w:val="0"/>
                  <w:vAlign w:val="center"/>
                </w:tcPr>
                <w:p w14:paraId="1E7FB93B">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禁止新建、扩建造纸、印染、化学原料药、电镀、铅酸电池、危险废物利用和处置、排放重金属以及存在严重环境安全风险的工业项目</w:t>
                  </w:r>
                </w:p>
              </w:tc>
              <w:tc>
                <w:tcPr>
                  <w:tcW w:w="1498" w:type="dxa"/>
                  <w:tcBorders>
                    <w:tl2br w:val="nil"/>
                    <w:tr2bl w:val="nil"/>
                  </w:tcBorders>
                  <w:noWrap w:val="0"/>
                  <w:vAlign w:val="center"/>
                </w:tcPr>
                <w:p w14:paraId="7A6E42CD">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本项目属于</w:t>
                  </w:r>
                  <w:r>
                    <w:rPr>
                      <w:rFonts w:hint="eastAsia" w:ascii="Times New Roman" w:hAnsi="Times New Roman" w:eastAsia="宋体" w:cs="Times New Roman"/>
                      <w:color w:val="auto"/>
                      <w:kern w:val="2"/>
                      <w:sz w:val="18"/>
                      <w:szCs w:val="18"/>
                      <w:lang w:val="en-US" w:eastAsia="zh-CN" w:bidi="ar-SA"/>
                    </w:rPr>
                    <w:t>塑料零件制造生产项目</w:t>
                  </w:r>
                  <w:r>
                    <w:rPr>
                      <w:rFonts w:hint="default" w:ascii="Times New Roman" w:hAnsi="Times New Roman" w:eastAsia="宋体" w:cs="Times New Roman"/>
                      <w:color w:val="auto"/>
                      <w:kern w:val="2"/>
                      <w:sz w:val="18"/>
                      <w:szCs w:val="18"/>
                      <w:lang w:val="en-US" w:eastAsia="zh-CN" w:bidi="ar-SA"/>
                    </w:rPr>
                    <w:t>，不属于上述禁止类项目，无重金属排放，环境风险小。</w:t>
                  </w:r>
                </w:p>
              </w:tc>
              <w:tc>
                <w:tcPr>
                  <w:tcW w:w="554" w:type="dxa"/>
                  <w:tcBorders>
                    <w:tl2br w:val="nil"/>
                    <w:tr2bl w:val="nil"/>
                  </w:tcBorders>
                  <w:noWrap w:val="0"/>
                  <w:vAlign w:val="center"/>
                </w:tcPr>
                <w:p w14:paraId="0041FC56">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1E359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3" w:type="dxa"/>
                  <w:gridSpan w:val="3"/>
                  <w:vMerge w:val="continue"/>
                  <w:tcBorders>
                    <w:tl2br w:val="nil"/>
                    <w:tr2bl w:val="nil"/>
                  </w:tcBorders>
                  <w:noWrap w:val="0"/>
                  <w:vAlign w:val="center"/>
                </w:tcPr>
                <w:p w14:paraId="7FD1F901">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p>
              </w:tc>
              <w:tc>
                <w:tcPr>
                  <w:tcW w:w="3087" w:type="dxa"/>
                  <w:tcBorders>
                    <w:tl2br w:val="nil"/>
                    <w:tr2bl w:val="nil"/>
                  </w:tcBorders>
                  <w:noWrap w:val="0"/>
                  <w:vAlign w:val="center"/>
                </w:tcPr>
                <w:p w14:paraId="4BD63772">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长江及主要支流1km范围内新建重化工、纺织、造纸等存在污染风险的工业项目</w:t>
                  </w:r>
                </w:p>
              </w:tc>
              <w:tc>
                <w:tcPr>
                  <w:tcW w:w="1498" w:type="dxa"/>
                  <w:tcBorders>
                    <w:tl2br w:val="nil"/>
                    <w:tr2bl w:val="nil"/>
                  </w:tcBorders>
                  <w:noWrap w:val="0"/>
                  <w:vAlign w:val="center"/>
                </w:tcPr>
                <w:p w14:paraId="58AB9288">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本项目不属于重化工、纺织、造纸等存在污染风险的工业项目。</w:t>
                  </w:r>
                </w:p>
              </w:tc>
              <w:tc>
                <w:tcPr>
                  <w:tcW w:w="554" w:type="dxa"/>
                  <w:tcBorders>
                    <w:tl2br w:val="nil"/>
                    <w:tr2bl w:val="nil"/>
                  </w:tcBorders>
                  <w:noWrap w:val="0"/>
                  <w:vAlign w:val="center"/>
                </w:tcPr>
                <w:p w14:paraId="39D9D0B1">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4AF8F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3" w:type="dxa"/>
                  <w:gridSpan w:val="3"/>
                  <w:vMerge w:val="continue"/>
                  <w:tcBorders>
                    <w:tl2br w:val="nil"/>
                    <w:tr2bl w:val="nil"/>
                  </w:tcBorders>
                  <w:noWrap w:val="0"/>
                  <w:vAlign w:val="center"/>
                </w:tcPr>
                <w:p w14:paraId="54C4105C">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p>
              </w:tc>
              <w:tc>
                <w:tcPr>
                  <w:tcW w:w="3087" w:type="dxa"/>
                  <w:tcBorders>
                    <w:tl2br w:val="nil"/>
                    <w:tr2bl w:val="nil"/>
                  </w:tcBorders>
                  <w:noWrap w:val="0"/>
                  <w:vAlign w:val="center"/>
                </w:tcPr>
                <w:p w14:paraId="3B6DD62B">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在嘉陵江及其一级支流汇入口上游20公里、集中式饮用水水源取水口上游20公里范围内的沿岸地区（江河50年一遇洪水位向陆域一侧1公里范围内），禁止新建、扩建排放重金属（铬、镉、汞、砷、铅等五类重金属）、剧毒物质和持久性有机污染物的工业项目</w:t>
                  </w:r>
                </w:p>
              </w:tc>
              <w:tc>
                <w:tcPr>
                  <w:tcW w:w="1498" w:type="dxa"/>
                  <w:tcBorders>
                    <w:tl2br w:val="nil"/>
                    <w:tr2bl w:val="nil"/>
                  </w:tcBorders>
                  <w:noWrap w:val="0"/>
                  <w:vAlign w:val="center"/>
                </w:tcPr>
                <w:p w14:paraId="3F93945A">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本项目不排放重金属、剧毒物质和持久性有机污染物。</w:t>
                  </w:r>
                </w:p>
              </w:tc>
              <w:tc>
                <w:tcPr>
                  <w:tcW w:w="554" w:type="dxa"/>
                  <w:tcBorders>
                    <w:tl2br w:val="nil"/>
                    <w:tr2bl w:val="nil"/>
                  </w:tcBorders>
                  <w:noWrap w:val="0"/>
                  <w:vAlign w:val="center"/>
                </w:tcPr>
                <w:p w14:paraId="08EE83CE">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5CB2E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3" w:type="dxa"/>
                  <w:gridSpan w:val="3"/>
                  <w:vMerge w:val="continue"/>
                  <w:tcBorders>
                    <w:tl2br w:val="nil"/>
                    <w:tr2bl w:val="nil"/>
                  </w:tcBorders>
                  <w:noWrap w:val="0"/>
                  <w:vAlign w:val="center"/>
                </w:tcPr>
                <w:p w14:paraId="408AD661">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p>
              </w:tc>
              <w:tc>
                <w:tcPr>
                  <w:tcW w:w="3087" w:type="dxa"/>
                  <w:tcBorders>
                    <w:tl2br w:val="nil"/>
                    <w:tr2bl w:val="nil"/>
                  </w:tcBorders>
                  <w:noWrap w:val="0"/>
                  <w:vAlign w:val="center"/>
                </w:tcPr>
                <w:p w14:paraId="5CC7B9E4">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禁止新建、扩建化工项目（为园区主导产业配套必需的、对环境影响小、风险可控的化工项目除外）</w:t>
                  </w:r>
                </w:p>
              </w:tc>
              <w:tc>
                <w:tcPr>
                  <w:tcW w:w="1498" w:type="dxa"/>
                  <w:tcBorders>
                    <w:tl2br w:val="nil"/>
                    <w:tr2bl w:val="nil"/>
                  </w:tcBorders>
                  <w:noWrap w:val="0"/>
                  <w:vAlign w:val="center"/>
                </w:tcPr>
                <w:p w14:paraId="4594349E">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本项目不属于化工项目，对周边环境影响小，风险可控。</w:t>
                  </w:r>
                </w:p>
              </w:tc>
              <w:tc>
                <w:tcPr>
                  <w:tcW w:w="554" w:type="dxa"/>
                  <w:tcBorders>
                    <w:tl2br w:val="nil"/>
                    <w:tr2bl w:val="nil"/>
                  </w:tcBorders>
                  <w:noWrap w:val="0"/>
                  <w:vAlign w:val="center"/>
                </w:tcPr>
                <w:p w14:paraId="0D7EC044">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10909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dxa"/>
                  <w:gridSpan w:val="2"/>
                  <w:vMerge w:val="restart"/>
                  <w:tcBorders>
                    <w:tl2br w:val="nil"/>
                    <w:tr2bl w:val="nil"/>
                  </w:tcBorders>
                  <w:noWrap w:val="0"/>
                  <w:vAlign w:val="center"/>
                </w:tcPr>
                <w:p w14:paraId="373FE2D5">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限制准入产业</w:t>
                  </w:r>
                </w:p>
              </w:tc>
              <w:tc>
                <w:tcPr>
                  <w:tcW w:w="600" w:type="dxa"/>
                  <w:vMerge w:val="restart"/>
                  <w:tcBorders>
                    <w:tl2br w:val="nil"/>
                    <w:tr2bl w:val="nil"/>
                  </w:tcBorders>
                  <w:noWrap w:val="0"/>
                  <w:vAlign w:val="center"/>
                </w:tcPr>
                <w:p w14:paraId="54DF540D">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总体</w:t>
                  </w:r>
                </w:p>
              </w:tc>
              <w:tc>
                <w:tcPr>
                  <w:tcW w:w="3087" w:type="dxa"/>
                  <w:tcBorders>
                    <w:tl2br w:val="nil"/>
                    <w:tr2bl w:val="nil"/>
                  </w:tcBorders>
                  <w:noWrap w:val="0"/>
                  <w:vAlign w:val="center"/>
                </w:tcPr>
                <w:p w14:paraId="6C2F1CC6">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严格控制过剩产能和“两高一资”项目，严格限制造纸、印染、煤电、传统化工、传统燃油汽车、涉及重金属以及有毒有害和持久性有机污染物排放的项目</w:t>
                  </w:r>
                </w:p>
              </w:tc>
              <w:tc>
                <w:tcPr>
                  <w:tcW w:w="1498" w:type="dxa"/>
                  <w:tcBorders>
                    <w:tl2br w:val="nil"/>
                    <w:tr2bl w:val="nil"/>
                  </w:tcBorders>
                  <w:noWrap w:val="0"/>
                  <w:vAlign w:val="center"/>
                </w:tcPr>
                <w:p w14:paraId="68649B65">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本项目不属于过剩产能和“两高一资”项目，不涉及重金属及有毒有害和持久性有机污染物排放。</w:t>
                  </w:r>
                </w:p>
              </w:tc>
              <w:tc>
                <w:tcPr>
                  <w:tcW w:w="554" w:type="dxa"/>
                  <w:tcBorders>
                    <w:tl2br w:val="nil"/>
                    <w:tr2bl w:val="nil"/>
                  </w:tcBorders>
                  <w:noWrap w:val="0"/>
                  <w:vAlign w:val="center"/>
                </w:tcPr>
                <w:p w14:paraId="55938D6E">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6BF82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dxa"/>
                  <w:gridSpan w:val="2"/>
                  <w:vMerge w:val="continue"/>
                  <w:tcBorders>
                    <w:tl2br w:val="nil"/>
                    <w:tr2bl w:val="nil"/>
                  </w:tcBorders>
                  <w:noWrap w:val="0"/>
                  <w:vAlign w:val="center"/>
                </w:tcPr>
                <w:p w14:paraId="64D00165">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p>
              </w:tc>
              <w:tc>
                <w:tcPr>
                  <w:tcW w:w="600" w:type="dxa"/>
                  <w:vMerge w:val="continue"/>
                  <w:tcBorders>
                    <w:tl2br w:val="nil"/>
                    <w:tr2bl w:val="nil"/>
                  </w:tcBorders>
                  <w:noWrap w:val="0"/>
                  <w:vAlign w:val="center"/>
                </w:tcPr>
                <w:p w14:paraId="03303B32">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p>
              </w:tc>
              <w:tc>
                <w:tcPr>
                  <w:tcW w:w="3087" w:type="dxa"/>
                  <w:tcBorders>
                    <w:tl2br w:val="nil"/>
                    <w:tr2bl w:val="nil"/>
                  </w:tcBorders>
                  <w:noWrap w:val="0"/>
                  <w:vAlign w:val="center"/>
                </w:tcPr>
                <w:p w14:paraId="1AB2AB61">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在合川区、江津区、长寿区、</w:t>
                  </w:r>
                  <w:r>
                    <w:rPr>
                      <w:rFonts w:hint="eastAsia" w:ascii="Times New Roman" w:hAnsi="Times New Roman" w:eastAsia="宋体" w:cs="Times New Roman"/>
                      <w:color w:val="auto"/>
                      <w:kern w:val="2"/>
                      <w:sz w:val="18"/>
                      <w:szCs w:val="18"/>
                      <w:lang w:val="en-US" w:eastAsia="zh-CN" w:bidi="ar-SA"/>
                    </w:rPr>
                    <w:t>璧山区</w:t>
                  </w:r>
                  <w:r>
                    <w:rPr>
                      <w:rFonts w:hint="default" w:ascii="Times New Roman" w:hAnsi="Times New Roman" w:eastAsia="宋体" w:cs="Times New Roman"/>
                      <w:color w:val="auto"/>
                      <w:kern w:val="2"/>
                      <w:sz w:val="18"/>
                      <w:szCs w:val="18"/>
                      <w:lang w:val="en-US" w:eastAsia="zh-CN" w:bidi="ar-SA"/>
                    </w:rPr>
                    <w:t>等地区严格限制新建、扩建可能对主城区大气产生影响的燃煤、重油等</w:t>
                  </w:r>
                  <w:r>
                    <w:rPr>
                      <w:rFonts w:hint="eastAsia" w:ascii="Times New Roman" w:hAnsi="Times New Roman" w:eastAsia="宋体" w:cs="Times New Roman"/>
                      <w:color w:val="auto"/>
                      <w:kern w:val="2"/>
                      <w:sz w:val="18"/>
                      <w:szCs w:val="18"/>
                      <w:lang w:val="en-US" w:eastAsia="zh-CN" w:bidi="ar-SA"/>
                    </w:rPr>
                    <w:t>高污染</w:t>
                  </w:r>
                  <w:r>
                    <w:rPr>
                      <w:rFonts w:hint="default" w:ascii="Times New Roman" w:hAnsi="Times New Roman" w:eastAsia="宋体" w:cs="Times New Roman"/>
                      <w:color w:val="auto"/>
                      <w:kern w:val="2"/>
                      <w:sz w:val="18"/>
                      <w:szCs w:val="18"/>
                      <w:lang w:val="en-US" w:eastAsia="zh-CN" w:bidi="ar-SA"/>
                    </w:rPr>
                    <w:t>工业项目</w:t>
                  </w:r>
                </w:p>
              </w:tc>
              <w:tc>
                <w:tcPr>
                  <w:tcW w:w="1498" w:type="dxa"/>
                  <w:tcBorders>
                    <w:tl2br w:val="nil"/>
                    <w:tr2bl w:val="nil"/>
                  </w:tcBorders>
                  <w:noWrap w:val="0"/>
                  <w:vAlign w:val="center"/>
                </w:tcPr>
                <w:p w14:paraId="36926E0D">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本项目不属于燃煤、重油等高污染工业项目。</w:t>
                  </w:r>
                </w:p>
              </w:tc>
              <w:tc>
                <w:tcPr>
                  <w:tcW w:w="554" w:type="dxa"/>
                  <w:tcBorders>
                    <w:tl2br w:val="nil"/>
                    <w:tr2bl w:val="nil"/>
                  </w:tcBorders>
                  <w:noWrap w:val="0"/>
                  <w:vAlign w:val="center"/>
                </w:tcPr>
                <w:p w14:paraId="369A0AB6">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1E9F4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dxa"/>
                  <w:gridSpan w:val="2"/>
                  <w:vMerge w:val="continue"/>
                  <w:tcBorders>
                    <w:tl2br w:val="nil"/>
                    <w:tr2bl w:val="nil"/>
                  </w:tcBorders>
                  <w:noWrap w:val="0"/>
                  <w:vAlign w:val="center"/>
                </w:tcPr>
                <w:p w14:paraId="0691E571">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p>
              </w:tc>
              <w:tc>
                <w:tcPr>
                  <w:tcW w:w="600" w:type="dxa"/>
                  <w:vMerge w:val="continue"/>
                  <w:tcBorders>
                    <w:tl2br w:val="nil"/>
                    <w:tr2bl w:val="nil"/>
                  </w:tcBorders>
                  <w:noWrap w:val="0"/>
                  <w:vAlign w:val="center"/>
                </w:tcPr>
                <w:p w14:paraId="1C77960D">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p>
              </w:tc>
              <w:tc>
                <w:tcPr>
                  <w:tcW w:w="3087" w:type="dxa"/>
                  <w:tcBorders>
                    <w:tl2br w:val="nil"/>
                    <w:tr2bl w:val="nil"/>
                  </w:tcBorders>
                  <w:noWrap w:val="0"/>
                  <w:vAlign w:val="center"/>
                </w:tcPr>
                <w:p w14:paraId="0FFD0771">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严格限制高耗排水的工业项目，可能对饮用水源带来安全隐患的项目</w:t>
                  </w:r>
                </w:p>
              </w:tc>
              <w:tc>
                <w:tcPr>
                  <w:tcW w:w="1498" w:type="dxa"/>
                  <w:tcBorders>
                    <w:tl2br w:val="nil"/>
                    <w:tr2bl w:val="nil"/>
                  </w:tcBorders>
                  <w:noWrap w:val="0"/>
                  <w:vAlign w:val="center"/>
                </w:tcPr>
                <w:p w14:paraId="2EF8584F">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w:t>
                  </w:r>
                  <w:r>
                    <w:rPr>
                      <w:rFonts w:hint="eastAsia" w:cs="Times New Roman"/>
                      <w:color w:val="auto"/>
                      <w:kern w:val="2"/>
                      <w:sz w:val="18"/>
                      <w:szCs w:val="18"/>
                      <w:lang w:val="en-US" w:eastAsia="zh-CN" w:bidi="ar-SA"/>
                    </w:rPr>
                    <w:t>年用水量0.1316万t</w:t>
                  </w:r>
                  <w:r>
                    <w:rPr>
                      <w:rFonts w:hint="default" w:ascii="Times New Roman" w:hAnsi="Times New Roman" w:eastAsia="宋体" w:cs="Times New Roman"/>
                      <w:color w:val="auto"/>
                      <w:kern w:val="2"/>
                      <w:sz w:val="18"/>
                      <w:szCs w:val="18"/>
                      <w:lang w:val="en-US" w:eastAsia="zh-CN" w:bidi="ar-SA"/>
                    </w:rPr>
                    <w:t>、</w:t>
                  </w:r>
                  <w:r>
                    <w:rPr>
                      <w:rFonts w:hint="eastAsia" w:cs="Times New Roman"/>
                      <w:color w:val="auto"/>
                      <w:kern w:val="2"/>
                      <w:sz w:val="18"/>
                      <w:szCs w:val="18"/>
                      <w:lang w:val="en-US" w:eastAsia="zh-CN" w:bidi="ar-SA"/>
                    </w:rPr>
                    <w:t>废水</w:t>
                  </w:r>
                  <w:r>
                    <w:rPr>
                      <w:rFonts w:hint="default" w:ascii="Times New Roman" w:hAnsi="Times New Roman" w:eastAsia="宋体" w:cs="Times New Roman"/>
                      <w:color w:val="auto"/>
                      <w:kern w:val="2"/>
                      <w:sz w:val="18"/>
                      <w:szCs w:val="18"/>
                      <w:lang w:val="en-US" w:eastAsia="zh-CN" w:bidi="ar-SA"/>
                    </w:rPr>
                    <w:t>排水量</w:t>
                  </w:r>
                  <w:r>
                    <w:rPr>
                      <w:rFonts w:hint="eastAsia" w:cs="Times New Roman"/>
                      <w:color w:val="auto"/>
                      <w:kern w:val="2"/>
                      <w:sz w:val="18"/>
                      <w:szCs w:val="18"/>
                      <w:lang w:val="en-US" w:eastAsia="zh-CN" w:bidi="ar-SA"/>
                    </w:rPr>
                    <w:t>0.0148万t</w:t>
                  </w:r>
                  <w:r>
                    <w:rPr>
                      <w:rFonts w:hint="default" w:ascii="Times New Roman" w:hAnsi="Times New Roman" w:eastAsia="宋体" w:cs="Times New Roman"/>
                      <w:color w:val="auto"/>
                      <w:kern w:val="2"/>
                      <w:sz w:val="18"/>
                      <w:szCs w:val="18"/>
                      <w:lang w:val="en-US" w:eastAsia="zh-CN" w:bidi="ar-SA"/>
                    </w:rPr>
                    <w:t>，项目排放的废水最终排至园区污水处理厂处理，</w:t>
                  </w:r>
                  <w:r>
                    <w:rPr>
                      <w:rFonts w:hint="eastAsia" w:cs="Times New Roman"/>
                      <w:color w:val="auto"/>
                      <w:kern w:val="2"/>
                      <w:sz w:val="18"/>
                      <w:szCs w:val="18"/>
                      <w:lang w:val="en-US" w:eastAsia="zh-CN" w:bidi="ar-SA"/>
                    </w:rPr>
                    <w:t>且废水</w:t>
                  </w:r>
                  <w:r>
                    <w:rPr>
                      <w:rFonts w:hint="default" w:ascii="Times New Roman" w:hAnsi="Times New Roman" w:eastAsia="宋体" w:cs="Times New Roman"/>
                      <w:color w:val="auto"/>
                      <w:kern w:val="2"/>
                      <w:sz w:val="18"/>
                      <w:szCs w:val="18"/>
                      <w:lang w:val="en-US" w:eastAsia="zh-CN" w:bidi="ar-SA"/>
                    </w:rPr>
                    <w:t>达标率为100%</w:t>
                  </w:r>
                </w:p>
              </w:tc>
              <w:tc>
                <w:tcPr>
                  <w:tcW w:w="554" w:type="dxa"/>
                  <w:tcBorders>
                    <w:tl2br w:val="nil"/>
                    <w:tr2bl w:val="nil"/>
                  </w:tcBorders>
                  <w:noWrap w:val="0"/>
                  <w:vAlign w:val="center"/>
                </w:tcPr>
                <w:p w14:paraId="3C2296A4">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13F9E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3" w:type="dxa"/>
                  <w:gridSpan w:val="2"/>
                  <w:vMerge w:val="continue"/>
                  <w:tcBorders>
                    <w:tl2br w:val="nil"/>
                    <w:tr2bl w:val="nil"/>
                  </w:tcBorders>
                  <w:noWrap w:val="0"/>
                  <w:vAlign w:val="center"/>
                </w:tcPr>
                <w:p w14:paraId="41144293">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p>
              </w:tc>
              <w:tc>
                <w:tcPr>
                  <w:tcW w:w="600" w:type="dxa"/>
                  <w:vMerge w:val="continue"/>
                  <w:tcBorders>
                    <w:tl2br w:val="nil"/>
                    <w:tr2bl w:val="nil"/>
                  </w:tcBorders>
                  <w:noWrap w:val="0"/>
                  <w:vAlign w:val="center"/>
                </w:tcPr>
                <w:p w14:paraId="732FC103">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p>
              </w:tc>
              <w:tc>
                <w:tcPr>
                  <w:tcW w:w="3087" w:type="dxa"/>
                  <w:tcBorders>
                    <w:tl2br w:val="nil"/>
                    <w:tr2bl w:val="nil"/>
                  </w:tcBorders>
                  <w:noWrap w:val="0"/>
                  <w:vAlign w:val="center"/>
                </w:tcPr>
                <w:p w14:paraId="3B0AE34B">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严格限制在声环境2类区附近建设产生噪声污染的工业项目</w:t>
                  </w:r>
                </w:p>
              </w:tc>
              <w:tc>
                <w:tcPr>
                  <w:tcW w:w="1498" w:type="dxa"/>
                  <w:tcBorders>
                    <w:tl2br w:val="nil"/>
                    <w:tr2bl w:val="nil"/>
                  </w:tcBorders>
                  <w:noWrap w:val="0"/>
                  <w:vAlign w:val="center"/>
                </w:tcPr>
                <w:p w14:paraId="45C83FC0">
                  <w:pPr>
                    <w:widowControl w:val="0"/>
                    <w:adjustRightInd w:val="0"/>
                    <w:snapToGrid w:val="0"/>
                    <w:spacing w:line="240" w:lineRule="auto"/>
                    <w:ind w:firstLine="0" w:firstLineChars="0"/>
                    <w:jc w:val="left"/>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本项目所在区属于声环境3类区，周边50m区域内无声环境敏感点。</w:t>
                  </w:r>
                </w:p>
              </w:tc>
              <w:tc>
                <w:tcPr>
                  <w:tcW w:w="554" w:type="dxa"/>
                  <w:tcBorders>
                    <w:tl2br w:val="nil"/>
                    <w:tr2bl w:val="nil"/>
                  </w:tcBorders>
                  <w:noWrap w:val="0"/>
                  <w:vAlign w:val="center"/>
                </w:tcPr>
                <w:p w14:paraId="193D3C4D">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bl>
          <w:p w14:paraId="4D39D416">
            <w:pPr>
              <w:widowControl w:val="0"/>
              <w:adjustRightInd w:val="0"/>
              <w:snapToGrid w:val="0"/>
              <w:spacing w:line="360" w:lineRule="auto"/>
              <w:ind w:firstLine="420" w:firstLineChars="20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本项目符合《合川工业园区南溪组团、渭沱组团B区规划环境影响报告书》要求。</w:t>
            </w:r>
          </w:p>
          <w:p w14:paraId="6230F935">
            <w:pPr>
              <w:widowControl w:val="0"/>
              <w:adjustRightInd w:val="0"/>
              <w:snapToGrid w:val="0"/>
              <w:spacing w:after="0" w:line="360" w:lineRule="auto"/>
              <w:ind w:firstLine="0" w:firstLineChars="0"/>
              <w:jc w:val="center"/>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eastAsia="宋体" w:cs="Times New Roman"/>
                <w:b/>
                <w:color w:val="auto"/>
                <w:kern w:val="2"/>
                <w:sz w:val="21"/>
                <w:szCs w:val="21"/>
                <w:lang w:val="en-US" w:eastAsia="zh-CN" w:bidi="ar-SA"/>
              </w:rPr>
              <w:t>表1-</w:t>
            </w:r>
            <w:r>
              <w:rPr>
                <w:rFonts w:hint="eastAsia" w:ascii="Times New Roman" w:hAnsi="Times New Roman" w:eastAsia="宋体" w:cs="Times New Roman"/>
                <w:b/>
                <w:color w:val="auto"/>
                <w:kern w:val="2"/>
                <w:sz w:val="21"/>
                <w:szCs w:val="21"/>
                <w:lang w:val="en-US" w:eastAsia="zh-CN" w:bidi="ar-SA"/>
              </w:rPr>
              <w:t>3</w:t>
            </w:r>
            <w:r>
              <w:rPr>
                <w:rFonts w:hint="default" w:ascii="Times New Roman" w:hAnsi="Times New Roman" w:eastAsia="宋体" w:cs="Times New Roman"/>
                <w:b/>
                <w:color w:val="auto"/>
                <w:kern w:val="2"/>
                <w:sz w:val="21"/>
                <w:szCs w:val="21"/>
                <w:lang w:val="en-US" w:eastAsia="zh-CN" w:bidi="ar-SA"/>
              </w:rPr>
              <w:t xml:space="preserve">   与审查意见符合性分析</w:t>
            </w:r>
          </w:p>
          <w:tbl>
            <w:tblPr>
              <w:tblStyle w:val="30"/>
              <w:tblW w:w="493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3589"/>
              <w:gridCol w:w="1484"/>
              <w:gridCol w:w="649"/>
            </w:tblGrid>
            <w:tr w14:paraId="1EC38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dxa"/>
                  <w:tcBorders>
                    <w:tl2br w:val="nil"/>
                    <w:tr2bl w:val="nil"/>
                  </w:tcBorders>
                  <w:noWrap w:val="0"/>
                  <w:vAlign w:val="center"/>
                </w:tcPr>
                <w:p w14:paraId="2A217789">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序号</w:t>
                  </w:r>
                </w:p>
              </w:tc>
              <w:tc>
                <w:tcPr>
                  <w:tcW w:w="3589" w:type="dxa"/>
                  <w:tcBorders>
                    <w:tl2br w:val="nil"/>
                    <w:tr2bl w:val="nil"/>
                  </w:tcBorders>
                  <w:noWrap w:val="0"/>
                  <w:vAlign w:val="center"/>
                </w:tcPr>
                <w:p w14:paraId="22BBC631">
                  <w:pPr>
                    <w:widowControl w:val="0"/>
                    <w:adjustRightInd w:val="0"/>
                    <w:snapToGrid w:val="0"/>
                    <w:spacing w:line="240" w:lineRule="auto"/>
                    <w:ind w:firstLine="0" w:firstLineChars="0"/>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渝环函</w:t>
                  </w:r>
                  <w:r>
                    <w:rPr>
                      <w:rFonts w:hint="eastAsia" w:ascii="Times New Roman" w:hAnsi="Times New Roman" w:eastAsia="宋体" w:cs="Times New Roman"/>
                      <w:color w:val="auto"/>
                      <w:kern w:val="0"/>
                      <w:sz w:val="18"/>
                      <w:szCs w:val="18"/>
                      <w:lang w:val="en-US" w:eastAsia="zh-CN" w:bidi="ar-SA"/>
                    </w:rPr>
                    <w:t>〔2019〕1169号</w:t>
                  </w:r>
                </w:p>
              </w:tc>
              <w:tc>
                <w:tcPr>
                  <w:tcW w:w="1484" w:type="dxa"/>
                  <w:tcBorders>
                    <w:tl2br w:val="nil"/>
                    <w:tr2bl w:val="nil"/>
                  </w:tcBorders>
                  <w:noWrap w:val="0"/>
                  <w:vAlign w:val="center"/>
                </w:tcPr>
                <w:p w14:paraId="6F1A56E2">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项目情况</w:t>
                  </w:r>
                </w:p>
              </w:tc>
              <w:tc>
                <w:tcPr>
                  <w:tcW w:w="649" w:type="dxa"/>
                  <w:tcBorders>
                    <w:tl2br w:val="nil"/>
                    <w:tr2bl w:val="nil"/>
                  </w:tcBorders>
                  <w:noWrap w:val="0"/>
                  <w:vAlign w:val="center"/>
                </w:tcPr>
                <w:p w14:paraId="131D668D">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符合性</w:t>
                  </w:r>
                </w:p>
              </w:tc>
            </w:tr>
            <w:tr w14:paraId="3EFB2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61" w:type="dxa"/>
                  <w:gridSpan w:val="4"/>
                  <w:tcBorders>
                    <w:tl2br w:val="nil"/>
                    <w:tr2bl w:val="nil"/>
                  </w:tcBorders>
                  <w:noWrap w:val="0"/>
                  <w:vAlign w:val="center"/>
                </w:tcPr>
                <w:p w14:paraId="1C4BC75B">
                  <w:pPr>
                    <w:pStyle w:val="123"/>
                    <w:spacing w:line="240" w:lineRule="auto"/>
                    <w:ind w:firstLine="0" w:firstLineChars="0"/>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b w:val="0"/>
                      <w:bCs/>
                      <w:color w:val="auto"/>
                      <w:sz w:val="18"/>
                      <w:szCs w:val="18"/>
                      <w:lang w:eastAsia="zh-CN"/>
                    </w:rPr>
                    <w:t>（一）</w:t>
                  </w:r>
                  <w:r>
                    <w:rPr>
                      <w:rFonts w:ascii="Times New Roman" w:hAnsi="Times New Roman" w:cs="Times New Roman"/>
                      <w:b w:val="0"/>
                      <w:bCs/>
                      <w:color w:val="auto"/>
                      <w:sz w:val="18"/>
                      <w:szCs w:val="18"/>
                    </w:rPr>
                    <w:t>加强空间管制</w:t>
                  </w:r>
                </w:p>
              </w:tc>
            </w:tr>
            <w:tr w14:paraId="53041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dxa"/>
                  <w:tcBorders>
                    <w:tl2br w:val="nil"/>
                    <w:tr2bl w:val="nil"/>
                  </w:tcBorders>
                  <w:noWrap w:val="0"/>
                  <w:vAlign w:val="center"/>
                </w:tcPr>
                <w:p w14:paraId="77E0B424">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1</w:t>
                  </w:r>
                </w:p>
              </w:tc>
              <w:tc>
                <w:tcPr>
                  <w:tcW w:w="3589" w:type="dxa"/>
                  <w:tcBorders>
                    <w:tl2br w:val="nil"/>
                    <w:tr2bl w:val="nil"/>
                  </w:tcBorders>
                  <w:noWrap w:val="0"/>
                  <w:vAlign w:val="center"/>
                </w:tcPr>
                <w:p w14:paraId="200995C5">
                  <w:pPr>
                    <w:pStyle w:val="123"/>
                    <w:spacing w:line="240" w:lineRule="auto"/>
                    <w:ind w:firstLine="0" w:firstLineChars="0"/>
                    <w:rPr>
                      <w:rFonts w:hint="default" w:ascii="Times New Roman" w:hAnsi="Times New Roman" w:eastAsia="宋体" w:cs="Times New Roman"/>
                      <w:color w:val="auto"/>
                      <w:kern w:val="2"/>
                      <w:sz w:val="18"/>
                      <w:szCs w:val="18"/>
                      <w:lang w:val="en-US" w:eastAsia="zh-CN" w:bidi="ar-SA"/>
                    </w:rPr>
                  </w:pPr>
                  <w:r>
                    <w:rPr>
                      <w:rFonts w:ascii="Times New Roman" w:hAnsi="Times New Roman" w:cs="Times New Roman"/>
                      <w:color w:val="auto"/>
                      <w:sz w:val="18"/>
                      <w:szCs w:val="18"/>
                    </w:rPr>
                    <w:t>规划区后续开发建设时应在嘉陵江沿岸布置不少于50米的绿化缓冲带。嘉陵江及其一级支流汇入口上游20公里、集中式饮用水水源取水口上游20公里范围内的沿岸地区（江河50年一遇洪水位向陆域一侧1公里范围内），禁止新建、扩建排放重金属（铬、镉、汞、砷、铅）、剧毒物质和持久性有机污染物的工业项目。南溪组团A区、C区环境空气质量一类区（缙云山风景名胜区、九峰山市级森林公园）300米缓冲带内现有企业大气污染物排放量不得增加，规划未实施的地块不得引进有工艺废气排放的企业。规划区内企业环境防护距离应优化控制在规划区边界或用地红线以内。南溪组团A区、C区超出城市总体规划建设用地范围的地块暂不开发，未来按照国土空间规划的建设用地范围进行开发管理。</w:t>
                  </w:r>
                </w:p>
              </w:tc>
              <w:tc>
                <w:tcPr>
                  <w:tcW w:w="1484" w:type="dxa"/>
                  <w:tcBorders>
                    <w:tl2br w:val="nil"/>
                    <w:tr2bl w:val="nil"/>
                  </w:tcBorders>
                  <w:noWrap w:val="0"/>
                  <w:vAlign w:val="center"/>
                </w:tcPr>
                <w:p w14:paraId="3A91DCCF">
                  <w:pPr>
                    <w:pStyle w:val="123"/>
                    <w:spacing w:line="240" w:lineRule="auto"/>
                    <w:ind w:firstLine="0" w:firstLineChars="0"/>
                    <w:rPr>
                      <w:rFonts w:hint="default" w:ascii="Times New Roman" w:hAnsi="Times New Roman" w:eastAsia="宋体" w:cs="Times New Roman"/>
                      <w:color w:val="auto"/>
                      <w:kern w:val="2"/>
                      <w:sz w:val="18"/>
                      <w:szCs w:val="18"/>
                      <w:lang w:val="en-US" w:eastAsia="zh-CN" w:bidi="ar-SA"/>
                    </w:rPr>
                  </w:pPr>
                  <w:r>
                    <w:rPr>
                      <w:rFonts w:ascii="Times New Roman" w:hAnsi="Times New Roman" w:cs="Times New Roman"/>
                      <w:color w:val="auto"/>
                      <w:sz w:val="18"/>
                      <w:szCs w:val="18"/>
                    </w:rPr>
                    <w:t>本项目位于南溪组团A区，</w:t>
                  </w:r>
                  <w:r>
                    <w:rPr>
                      <w:rFonts w:hint="eastAsia" w:cs="Times New Roman"/>
                      <w:color w:val="auto"/>
                      <w:sz w:val="18"/>
                      <w:szCs w:val="18"/>
                      <w:lang w:val="en-US" w:eastAsia="zh-CN"/>
                    </w:rPr>
                    <w:t>不在</w:t>
                  </w:r>
                  <w:r>
                    <w:rPr>
                      <w:rFonts w:ascii="Times New Roman" w:hAnsi="Times New Roman" w:cs="Times New Roman"/>
                      <w:color w:val="auto"/>
                      <w:sz w:val="18"/>
                      <w:szCs w:val="18"/>
                    </w:rPr>
                    <w:t>嘉陵江沿岸50米</w:t>
                  </w:r>
                  <w:r>
                    <w:rPr>
                      <w:rFonts w:hint="eastAsia" w:cs="Times New Roman"/>
                      <w:color w:val="auto"/>
                      <w:sz w:val="18"/>
                      <w:szCs w:val="18"/>
                      <w:lang w:val="en-US" w:eastAsia="zh-CN"/>
                    </w:rPr>
                    <w:t>范围内</w:t>
                  </w:r>
                  <w:r>
                    <w:rPr>
                      <w:rFonts w:hint="eastAsia" w:cs="Times New Roman"/>
                      <w:color w:val="auto"/>
                      <w:sz w:val="18"/>
                      <w:szCs w:val="18"/>
                      <w:lang w:eastAsia="zh-CN"/>
                    </w:rPr>
                    <w:t>，</w:t>
                  </w:r>
                  <w:r>
                    <w:rPr>
                      <w:rFonts w:hint="eastAsia" w:cs="Times New Roman"/>
                      <w:color w:val="auto"/>
                      <w:sz w:val="18"/>
                      <w:szCs w:val="18"/>
                      <w:lang w:val="en-US" w:eastAsia="zh-CN"/>
                    </w:rPr>
                    <w:t>不在</w:t>
                  </w:r>
                  <w:r>
                    <w:rPr>
                      <w:rFonts w:ascii="Times New Roman" w:hAnsi="Times New Roman" w:cs="Times New Roman"/>
                      <w:color w:val="auto"/>
                      <w:sz w:val="18"/>
                      <w:szCs w:val="18"/>
                    </w:rPr>
                    <w:t>嘉陵江及其一级支流汇入口上游20公里</w:t>
                  </w:r>
                  <w:r>
                    <w:rPr>
                      <w:rFonts w:hint="eastAsia" w:cs="Times New Roman"/>
                      <w:color w:val="auto"/>
                      <w:sz w:val="18"/>
                      <w:szCs w:val="18"/>
                      <w:lang w:val="en-US" w:eastAsia="zh-CN"/>
                    </w:rPr>
                    <w:t>范围内，不在</w:t>
                  </w:r>
                  <w:r>
                    <w:rPr>
                      <w:rFonts w:ascii="Times New Roman" w:hAnsi="Times New Roman" w:cs="Times New Roman"/>
                      <w:color w:val="auto"/>
                      <w:sz w:val="18"/>
                      <w:szCs w:val="18"/>
                    </w:rPr>
                    <w:t>集中式饮用水水源取水口上游20公里</w:t>
                  </w:r>
                  <w:r>
                    <w:rPr>
                      <w:rFonts w:hint="eastAsia" w:cs="Times New Roman"/>
                      <w:color w:val="auto"/>
                      <w:sz w:val="18"/>
                      <w:szCs w:val="18"/>
                      <w:lang w:val="en-US" w:eastAsia="zh-CN"/>
                    </w:rPr>
                    <w:t>沿岸以内</w:t>
                  </w:r>
                  <w:r>
                    <w:rPr>
                      <w:rFonts w:ascii="Times New Roman" w:hAnsi="Times New Roman" w:cs="Times New Roman"/>
                      <w:color w:val="auto"/>
                      <w:sz w:val="18"/>
                      <w:szCs w:val="18"/>
                    </w:rPr>
                    <w:t>，不属于排放重金属（铬、镉、汞、砷、铅）、剧毒物质和持久性有机污染物的工业项目，本项目位于缙云山风景名胜区、九峰山市级森林公园及其外围300m缓冲带之外。</w:t>
                  </w:r>
                </w:p>
              </w:tc>
              <w:tc>
                <w:tcPr>
                  <w:tcW w:w="649" w:type="dxa"/>
                  <w:tcBorders>
                    <w:tl2br w:val="nil"/>
                    <w:tr2bl w:val="nil"/>
                  </w:tcBorders>
                  <w:noWrap w:val="0"/>
                  <w:vAlign w:val="center"/>
                </w:tcPr>
                <w:p w14:paraId="69EE6DFD">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符合</w:t>
                  </w:r>
                </w:p>
              </w:tc>
            </w:tr>
            <w:tr w14:paraId="543EE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6161" w:type="dxa"/>
                  <w:gridSpan w:val="4"/>
                  <w:tcBorders>
                    <w:tl2br w:val="nil"/>
                    <w:tr2bl w:val="nil"/>
                  </w:tcBorders>
                  <w:noWrap w:val="0"/>
                  <w:vAlign w:val="center"/>
                </w:tcPr>
                <w:p w14:paraId="0B0FBBA0">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（二）严格环境准入</w:t>
                  </w:r>
                </w:p>
              </w:tc>
            </w:tr>
            <w:tr w14:paraId="3C813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dxa"/>
                  <w:tcBorders>
                    <w:tl2br w:val="nil"/>
                    <w:tr2bl w:val="nil"/>
                  </w:tcBorders>
                  <w:noWrap w:val="0"/>
                  <w:vAlign w:val="center"/>
                </w:tcPr>
                <w:p w14:paraId="7AF7C489">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2</w:t>
                  </w:r>
                </w:p>
              </w:tc>
              <w:tc>
                <w:tcPr>
                  <w:tcW w:w="3589" w:type="dxa"/>
                  <w:tcBorders>
                    <w:tl2br w:val="nil"/>
                    <w:tr2bl w:val="nil"/>
                  </w:tcBorders>
                  <w:noWrap w:val="0"/>
                  <w:vAlign w:val="center"/>
                </w:tcPr>
                <w:p w14:paraId="26D501A1">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强化规划环评与合川区“三线一单”</w:t>
                  </w:r>
                  <w:r>
                    <w:rPr>
                      <w:rFonts w:hint="eastAsia" w:ascii="Times New Roman" w:hAnsi="Times New Roman" w:eastAsia="宋体" w:cs="Times New Roman"/>
                      <w:color w:val="auto"/>
                      <w:kern w:val="2"/>
                      <w:sz w:val="18"/>
                      <w:szCs w:val="18"/>
                      <w:lang w:val="en-US" w:eastAsia="zh-CN" w:bidi="ar-SA"/>
                    </w:rPr>
                    <w:t>（</w:t>
                  </w:r>
                  <w:r>
                    <w:rPr>
                      <w:rFonts w:hint="default" w:ascii="Times New Roman" w:hAnsi="Times New Roman" w:eastAsia="宋体" w:cs="Times New Roman"/>
                      <w:color w:val="auto"/>
                      <w:kern w:val="2"/>
                      <w:sz w:val="18"/>
                      <w:szCs w:val="18"/>
                      <w:lang w:val="en-US" w:eastAsia="zh-CN" w:bidi="ar-SA"/>
                    </w:rPr>
                    <w:t>生态保护红线、环境质量底线、资源利用上线，生态环境准入清单）的联动，主要管控措施应符合合川区“三线一单”要求。规划区应优化产业发展方向，落实生态环境准入清单，严格建设项目环境准入。坚持源头防控，倡导循环经济，提高清洁生产水平，从源头控制和减少污染物的产排量，按照清洁生产的要求，不断提升现有工业企业清洁生产水平，新建、本项目清洁生产水平不得低于国内先进水平。</w:t>
                  </w:r>
                </w:p>
              </w:tc>
              <w:tc>
                <w:tcPr>
                  <w:tcW w:w="1484" w:type="dxa"/>
                  <w:tcBorders>
                    <w:tl2br w:val="nil"/>
                    <w:tr2bl w:val="nil"/>
                  </w:tcBorders>
                  <w:noWrap w:val="0"/>
                  <w:vAlign w:val="center"/>
                </w:tcPr>
                <w:p w14:paraId="48A82B3B">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本项目符合合川区“三线一单”要求，满足生态环境准入清单要求，主要能源为电，清洁</w:t>
                  </w:r>
                  <w:r>
                    <w:rPr>
                      <w:rFonts w:hint="eastAsia" w:cs="Times New Roman"/>
                      <w:color w:val="auto"/>
                      <w:kern w:val="2"/>
                      <w:sz w:val="18"/>
                      <w:szCs w:val="18"/>
                      <w:lang w:val="en-US" w:eastAsia="zh-CN" w:bidi="ar-SA"/>
                    </w:rPr>
                    <w:t>生产</w:t>
                  </w:r>
                  <w:r>
                    <w:rPr>
                      <w:rFonts w:hint="default" w:ascii="Times New Roman" w:hAnsi="Times New Roman" w:eastAsia="宋体" w:cs="Times New Roman"/>
                      <w:color w:val="auto"/>
                      <w:kern w:val="2"/>
                      <w:sz w:val="18"/>
                      <w:szCs w:val="18"/>
                      <w:lang w:val="en-US" w:eastAsia="zh-CN" w:bidi="ar-SA"/>
                    </w:rPr>
                    <w:t>水平</w:t>
                  </w:r>
                  <w:r>
                    <w:rPr>
                      <w:rFonts w:hint="eastAsia" w:cs="Times New Roman"/>
                      <w:color w:val="auto"/>
                      <w:kern w:val="2"/>
                      <w:sz w:val="18"/>
                      <w:szCs w:val="18"/>
                      <w:lang w:val="en-US" w:eastAsia="zh-CN" w:bidi="ar-SA"/>
                    </w:rPr>
                    <w:t>能</w:t>
                  </w:r>
                  <w:r>
                    <w:rPr>
                      <w:rFonts w:hint="default" w:ascii="Times New Roman" w:hAnsi="Times New Roman" w:eastAsia="宋体" w:cs="Times New Roman"/>
                      <w:color w:val="auto"/>
                      <w:kern w:val="2"/>
                      <w:sz w:val="18"/>
                      <w:szCs w:val="18"/>
                      <w:lang w:val="en-US" w:eastAsia="zh-CN" w:bidi="ar-SA"/>
                    </w:rPr>
                    <w:t>达到国内先进水平。</w:t>
                  </w:r>
                </w:p>
              </w:tc>
              <w:tc>
                <w:tcPr>
                  <w:tcW w:w="649" w:type="dxa"/>
                  <w:tcBorders>
                    <w:tl2br w:val="nil"/>
                    <w:tr2bl w:val="nil"/>
                  </w:tcBorders>
                  <w:noWrap w:val="0"/>
                  <w:vAlign w:val="center"/>
                </w:tcPr>
                <w:p w14:paraId="217408D8">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29190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61" w:type="dxa"/>
                  <w:gridSpan w:val="4"/>
                  <w:tcBorders>
                    <w:tl2br w:val="nil"/>
                    <w:tr2bl w:val="nil"/>
                  </w:tcBorders>
                  <w:noWrap w:val="0"/>
                  <w:vAlign w:val="center"/>
                </w:tcPr>
                <w:p w14:paraId="0235E009">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（三）加强大气污染防治</w:t>
                  </w:r>
                </w:p>
              </w:tc>
            </w:tr>
            <w:tr w14:paraId="545C04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dxa"/>
                  <w:tcBorders>
                    <w:tl2br w:val="nil"/>
                    <w:tr2bl w:val="nil"/>
                  </w:tcBorders>
                  <w:noWrap w:val="0"/>
                  <w:vAlign w:val="center"/>
                </w:tcPr>
                <w:p w14:paraId="158A77DA">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3</w:t>
                  </w:r>
                </w:p>
              </w:tc>
              <w:tc>
                <w:tcPr>
                  <w:tcW w:w="3589" w:type="dxa"/>
                  <w:tcBorders>
                    <w:tl2br w:val="nil"/>
                    <w:tr2bl w:val="nil"/>
                  </w:tcBorders>
                  <w:noWrap w:val="0"/>
                  <w:vAlign w:val="top"/>
                </w:tcPr>
                <w:p w14:paraId="7E4CD8C3">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加强现有企业大气污染治理和监管，确保各类大气污染物持续稳定达标排放。通过工艺改进、清洁生产、完善措施等手段减少废气无组织排放。鼓励规划区内企业以天然气、电等为能源，除现有的水泥厂、合川盐化外禁止燃煤；规划区内水泥生产等企业应当按照市政府及有关部门关于错峰生产的调度要求，限产停产；排放挥发性有机物的企业其废气收集和处理必须满足国家及重庆市“十三五”挥发性有机物污染防治工作方案的相关要求。南溪组团B区应控制砷化镓芯片外延工序生产规模，采取严格的废气收集及处理措施，最大程度减少重金属废气排放对周边环境的影响。</w:t>
                  </w:r>
                </w:p>
              </w:tc>
              <w:tc>
                <w:tcPr>
                  <w:tcW w:w="1484" w:type="dxa"/>
                  <w:tcBorders>
                    <w:tl2br w:val="nil"/>
                    <w:tr2bl w:val="nil"/>
                  </w:tcBorders>
                  <w:noWrap w:val="0"/>
                  <w:vAlign w:val="center"/>
                </w:tcPr>
                <w:p w14:paraId="6DF37145">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本项目将按照要求提出污染防治措施；主要能源为电，无燃煤</w:t>
                  </w:r>
                  <w:r>
                    <w:rPr>
                      <w:rFonts w:hint="eastAsia" w:cs="Times New Roman"/>
                      <w:color w:val="auto"/>
                      <w:kern w:val="2"/>
                      <w:sz w:val="18"/>
                      <w:szCs w:val="18"/>
                      <w:lang w:val="en-US" w:eastAsia="zh-CN" w:bidi="ar-SA"/>
                    </w:rPr>
                    <w:t>、燃</w:t>
                  </w:r>
                  <w:r>
                    <w:rPr>
                      <w:rFonts w:hint="default" w:ascii="Times New Roman" w:hAnsi="Times New Roman" w:eastAsia="宋体" w:cs="Times New Roman"/>
                      <w:color w:val="auto"/>
                      <w:kern w:val="2"/>
                      <w:sz w:val="18"/>
                      <w:szCs w:val="18"/>
                      <w:lang w:val="en-US" w:eastAsia="zh-CN" w:bidi="ar-SA"/>
                    </w:rPr>
                    <w:t>气锅炉，不属于水泥生产等企业，挥发性有机物收集及处理满足国家及重庆市“十三五”挥发性有机物污染防治工作方案的要求。</w:t>
                  </w:r>
                </w:p>
              </w:tc>
              <w:tc>
                <w:tcPr>
                  <w:tcW w:w="649" w:type="dxa"/>
                  <w:tcBorders>
                    <w:tl2br w:val="nil"/>
                    <w:tr2bl w:val="nil"/>
                  </w:tcBorders>
                  <w:noWrap w:val="0"/>
                  <w:vAlign w:val="center"/>
                </w:tcPr>
                <w:p w14:paraId="2F201387">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02D98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161" w:type="dxa"/>
                  <w:gridSpan w:val="4"/>
                  <w:tcBorders>
                    <w:tl2br w:val="nil"/>
                    <w:tr2bl w:val="nil"/>
                  </w:tcBorders>
                  <w:noWrap w:val="0"/>
                  <w:vAlign w:val="center"/>
                </w:tcPr>
                <w:p w14:paraId="6AB723B1">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（四）加强水环境保护</w:t>
                  </w:r>
                </w:p>
              </w:tc>
            </w:tr>
            <w:tr w14:paraId="00781D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dxa"/>
                  <w:tcBorders>
                    <w:tl2br w:val="nil"/>
                    <w:tr2bl w:val="nil"/>
                  </w:tcBorders>
                  <w:noWrap w:val="0"/>
                  <w:vAlign w:val="center"/>
                </w:tcPr>
                <w:p w14:paraId="09A93E84">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4</w:t>
                  </w:r>
                </w:p>
              </w:tc>
              <w:tc>
                <w:tcPr>
                  <w:tcW w:w="3589" w:type="dxa"/>
                  <w:tcBorders>
                    <w:tl2br w:val="nil"/>
                    <w:tr2bl w:val="nil"/>
                  </w:tcBorders>
                  <w:noWrap w:val="0"/>
                  <w:vAlign w:val="center"/>
                </w:tcPr>
                <w:p w14:paraId="339A58F9">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提高废水回用率，减少废水污染物排放。加强现有企业废水排放监管，确保规划区废水经污水处理厂处理达标后排放。规划区禁止含重金属</w:t>
                  </w:r>
                  <w:r>
                    <w:rPr>
                      <w:rFonts w:hint="eastAsia" w:ascii="Times New Roman" w:hAnsi="Times New Roman" w:eastAsia="宋体" w:cs="Times New Roman"/>
                      <w:color w:val="auto"/>
                      <w:kern w:val="2"/>
                      <w:sz w:val="18"/>
                      <w:szCs w:val="18"/>
                      <w:lang w:val="en-US" w:eastAsia="zh-CN" w:bidi="ar-SA"/>
                    </w:rPr>
                    <w:t>（</w:t>
                  </w:r>
                  <w:r>
                    <w:rPr>
                      <w:rFonts w:hint="default" w:ascii="Times New Roman" w:hAnsi="Times New Roman" w:eastAsia="宋体" w:cs="Times New Roman"/>
                      <w:color w:val="auto"/>
                      <w:kern w:val="2"/>
                      <w:sz w:val="18"/>
                      <w:szCs w:val="18"/>
                      <w:lang w:val="en-US" w:eastAsia="zh-CN" w:bidi="ar-SA"/>
                    </w:rPr>
                    <w:t>汞、铬、镉、铅、砷</w:t>
                  </w:r>
                  <w:r>
                    <w:rPr>
                      <w:rFonts w:hint="eastAsia" w:ascii="Times New Roman" w:hAnsi="Times New Roman" w:eastAsia="宋体" w:cs="Times New Roman"/>
                      <w:color w:val="auto"/>
                      <w:kern w:val="2"/>
                      <w:sz w:val="18"/>
                      <w:szCs w:val="18"/>
                      <w:lang w:val="en-US" w:eastAsia="zh-CN" w:bidi="ar-SA"/>
                    </w:rPr>
                    <w:t>）</w:t>
                  </w:r>
                  <w:r>
                    <w:rPr>
                      <w:rFonts w:hint="default" w:ascii="Times New Roman" w:hAnsi="Times New Roman" w:eastAsia="宋体" w:cs="Times New Roman"/>
                      <w:color w:val="auto"/>
                      <w:kern w:val="2"/>
                      <w:sz w:val="18"/>
                      <w:szCs w:val="18"/>
                      <w:lang w:val="en-US" w:eastAsia="zh-CN" w:bidi="ar-SA"/>
                    </w:rPr>
                    <w:t>废水排放。南溪组团B区污水处理厂应尽快进行提标改造，增设电子工业特征水污染物处理工艺。渭沱组团污水处理厂加快建设进度，确保渭沱组团B区生产废水、生活污水能进入污水处理厂集中处理达标后外排。</w:t>
                  </w:r>
                </w:p>
              </w:tc>
              <w:tc>
                <w:tcPr>
                  <w:tcW w:w="1484" w:type="dxa"/>
                  <w:tcBorders>
                    <w:tl2br w:val="nil"/>
                    <w:tr2bl w:val="nil"/>
                  </w:tcBorders>
                  <w:noWrap w:val="0"/>
                  <w:vAlign w:val="center"/>
                </w:tcPr>
                <w:p w14:paraId="5FA81340">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本项目不排放五类重点重金属、剧毒物质和持久性有机污染物，生活污水经化粪池处理后排入园区污水处理厂集中处理达标后外排。</w:t>
                  </w:r>
                </w:p>
              </w:tc>
              <w:tc>
                <w:tcPr>
                  <w:tcW w:w="649" w:type="dxa"/>
                  <w:tcBorders>
                    <w:tl2br w:val="nil"/>
                    <w:tr2bl w:val="nil"/>
                  </w:tcBorders>
                  <w:noWrap w:val="0"/>
                  <w:vAlign w:val="center"/>
                </w:tcPr>
                <w:p w14:paraId="35420413">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5F8F8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161" w:type="dxa"/>
                  <w:gridSpan w:val="4"/>
                  <w:tcBorders>
                    <w:tl2br w:val="nil"/>
                    <w:tr2bl w:val="nil"/>
                  </w:tcBorders>
                  <w:noWrap w:val="0"/>
                  <w:vAlign w:val="center"/>
                </w:tcPr>
                <w:p w14:paraId="6EB2E2AE">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（五）重视地下水污染防控</w:t>
                  </w:r>
                </w:p>
              </w:tc>
            </w:tr>
            <w:tr w14:paraId="00F2C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dxa"/>
                  <w:tcBorders>
                    <w:tl2br w:val="nil"/>
                    <w:tr2bl w:val="nil"/>
                  </w:tcBorders>
                  <w:noWrap w:val="0"/>
                  <w:vAlign w:val="center"/>
                </w:tcPr>
                <w:p w14:paraId="6AAB3AF7">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5</w:t>
                  </w:r>
                </w:p>
              </w:tc>
              <w:tc>
                <w:tcPr>
                  <w:tcW w:w="3589" w:type="dxa"/>
                  <w:tcBorders>
                    <w:tl2br w:val="nil"/>
                    <w:tr2bl w:val="nil"/>
                  </w:tcBorders>
                  <w:noWrap w:val="0"/>
                  <w:vAlign w:val="center"/>
                </w:tcPr>
                <w:p w14:paraId="462F3818">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采取源头控制为主的原则，落实分区、分级防渗措施，防止规划实施对区域地下水环境的污染。按监测计划，应定期开展地下水跟踪监测工作，根据监测结果，督促相关企业完善相应的地下水污染防控措施。</w:t>
                  </w:r>
                </w:p>
              </w:tc>
              <w:tc>
                <w:tcPr>
                  <w:tcW w:w="1484" w:type="dxa"/>
                  <w:tcBorders>
                    <w:tl2br w:val="nil"/>
                    <w:tr2bl w:val="nil"/>
                  </w:tcBorders>
                  <w:noWrap w:val="0"/>
                  <w:vAlign w:val="center"/>
                </w:tcPr>
                <w:p w14:paraId="24D18168">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本项目可能存在的地下水污染的区域为危废贮存库和液体物料暂存区，以上区域拟按照相关规范文件采取防腐防渗处理、设置围堰等地下水污染防控措施。</w:t>
                  </w:r>
                </w:p>
              </w:tc>
              <w:tc>
                <w:tcPr>
                  <w:tcW w:w="649" w:type="dxa"/>
                  <w:tcBorders>
                    <w:tl2br w:val="nil"/>
                    <w:tr2bl w:val="nil"/>
                  </w:tcBorders>
                  <w:noWrap w:val="0"/>
                  <w:vAlign w:val="center"/>
                </w:tcPr>
                <w:p w14:paraId="2252EF7A">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7581A3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6161" w:type="dxa"/>
                  <w:gridSpan w:val="4"/>
                  <w:tcBorders>
                    <w:tl2br w:val="nil"/>
                    <w:tr2bl w:val="nil"/>
                  </w:tcBorders>
                  <w:noWrap w:val="0"/>
                  <w:vAlign w:val="center"/>
                </w:tcPr>
                <w:p w14:paraId="3E5BFC89">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（六）强化噪声污染防控</w:t>
                  </w:r>
                </w:p>
              </w:tc>
            </w:tr>
            <w:tr w14:paraId="5E2DF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dxa"/>
                  <w:tcBorders>
                    <w:tl2br w:val="nil"/>
                    <w:tr2bl w:val="nil"/>
                  </w:tcBorders>
                  <w:noWrap w:val="0"/>
                  <w:vAlign w:val="center"/>
                </w:tcPr>
                <w:p w14:paraId="22BB46B8">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6</w:t>
                  </w:r>
                </w:p>
              </w:tc>
              <w:tc>
                <w:tcPr>
                  <w:tcW w:w="3589" w:type="dxa"/>
                  <w:tcBorders>
                    <w:tl2br w:val="nil"/>
                    <w:tr2bl w:val="nil"/>
                  </w:tcBorders>
                  <w:noWrap w:val="0"/>
                  <w:vAlign w:val="center"/>
                </w:tcPr>
                <w:p w14:paraId="48EB0B94">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合理布局噪声源，高噪声源应尽量远离居住区布置。加强规划区现有企业噪声治理，采用低噪声设备，采取消声、隔声、减震等措施，确保厂界噪声达标，尽量减少对周边居民的影响。</w:t>
                  </w:r>
                </w:p>
              </w:tc>
              <w:tc>
                <w:tcPr>
                  <w:tcW w:w="1484" w:type="dxa"/>
                  <w:tcBorders>
                    <w:tl2br w:val="nil"/>
                    <w:tr2bl w:val="nil"/>
                  </w:tcBorders>
                  <w:noWrap w:val="0"/>
                  <w:vAlign w:val="center"/>
                </w:tcPr>
                <w:p w14:paraId="58832950">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本项目通过合理布局、</w:t>
                  </w:r>
                  <w:r>
                    <w:rPr>
                      <w:rFonts w:hint="eastAsia" w:cs="Times New Roman"/>
                      <w:color w:val="auto"/>
                      <w:kern w:val="2"/>
                      <w:sz w:val="18"/>
                      <w:szCs w:val="18"/>
                      <w:lang w:val="en-US" w:eastAsia="zh-CN" w:bidi="ar-SA"/>
                    </w:rPr>
                    <w:t>减振</w:t>
                  </w:r>
                  <w:r>
                    <w:rPr>
                      <w:rFonts w:hint="default" w:ascii="Times New Roman" w:hAnsi="Times New Roman" w:eastAsia="宋体" w:cs="Times New Roman"/>
                      <w:color w:val="auto"/>
                      <w:kern w:val="2"/>
                      <w:sz w:val="18"/>
                      <w:szCs w:val="18"/>
                      <w:lang w:val="en-US" w:eastAsia="zh-CN" w:bidi="ar-SA"/>
                    </w:rPr>
                    <w:t>隔声等措施后，经预测厂界噪声能够达标。</w:t>
                  </w:r>
                </w:p>
              </w:tc>
              <w:tc>
                <w:tcPr>
                  <w:tcW w:w="649" w:type="dxa"/>
                  <w:tcBorders>
                    <w:tl2br w:val="nil"/>
                    <w:tr2bl w:val="nil"/>
                  </w:tcBorders>
                  <w:noWrap w:val="0"/>
                  <w:vAlign w:val="center"/>
                </w:tcPr>
                <w:p w14:paraId="0803D680">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38D1A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161" w:type="dxa"/>
                  <w:gridSpan w:val="4"/>
                  <w:tcBorders>
                    <w:tl2br w:val="nil"/>
                    <w:tr2bl w:val="nil"/>
                  </w:tcBorders>
                  <w:noWrap w:val="0"/>
                  <w:vAlign w:val="center"/>
                </w:tcPr>
                <w:p w14:paraId="08AB1DFB">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（七）加强土壤和固体废物污染防治</w:t>
                  </w:r>
                </w:p>
              </w:tc>
            </w:tr>
            <w:tr w14:paraId="5C10E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dxa"/>
                  <w:tcBorders>
                    <w:tl2br w:val="nil"/>
                    <w:tr2bl w:val="nil"/>
                  </w:tcBorders>
                  <w:noWrap w:val="0"/>
                  <w:vAlign w:val="center"/>
                </w:tcPr>
                <w:p w14:paraId="63BB2571">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7</w:t>
                  </w:r>
                </w:p>
              </w:tc>
              <w:tc>
                <w:tcPr>
                  <w:tcW w:w="3589" w:type="dxa"/>
                  <w:tcBorders>
                    <w:tl2br w:val="nil"/>
                    <w:tr2bl w:val="nil"/>
                  </w:tcBorders>
                  <w:noWrap w:val="0"/>
                  <w:vAlign w:val="center"/>
                </w:tcPr>
                <w:p w14:paraId="4BD1A804">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按照《重庆市贯彻落实土壤污染防治行动计划工作方案》和土壤污染防治目标责任</w:t>
                  </w:r>
                  <w:r>
                    <w:rPr>
                      <w:rFonts w:hint="eastAsia" w:cs="Times New Roman"/>
                      <w:color w:val="auto"/>
                      <w:kern w:val="2"/>
                      <w:sz w:val="18"/>
                      <w:szCs w:val="18"/>
                      <w:lang w:val="en-US" w:eastAsia="zh-CN" w:bidi="ar-SA"/>
                    </w:rPr>
                    <w:t>书等</w:t>
                  </w:r>
                  <w:r>
                    <w:rPr>
                      <w:rFonts w:hint="default" w:ascii="Times New Roman" w:hAnsi="Times New Roman" w:eastAsia="宋体" w:cs="Times New Roman"/>
                      <w:color w:val="auto"/>
                      <w:kern w:val="2"/>
                      <w:sz w:val="18"/>
                      <w:szCs w:val="18"/>
                      <w:lang w:val="en-US" w:eastAsia="zh-CN" w:bidi="ar-SA"/>
                    </w:rPr>
                    <w:t>相关要求，有效防控土壤环境风险，防范建设用地新增污染。加强工业固体废物综合利用和处置，统筹解决好一般工业固体废物处置配套不足的问题，结合工业园区各组团发展需求，科学论证，加紧规划设置一般工业固体废物处置场或工业固体废物综合利用和处置设施。规划区内土地利用性质调整，应按相关规定要求开展土壤调查和风险评估</w:t>
                  </w:r>
                  <w:r>
                    <w:rPr>
                      <w:rFonts w:hint="eastAsia" w:ascii="Times New Roman" w:hAnsi="Times New Roman" w:eastAsia="宋体" w:cs="Times New Roman"/>
                      <w:color w:val="auto"/>
                      <w:kern w:val="2"/>
                      <w:sz w:val="18"/>
                      <w:szCs w:val="18"/>
                      <w:lang w:val="en-US" w:eastAsia="zh-CN" w:bidi="ar-SA"/>
                    </w:rPr>
                    <w:t>，</w:t>
                  </w:r>
                  <w:r>
                    <w:rPr>
                      <w:rFonts w:hint="default" w:ascii="Times New Roman" w:hAnsi="Times New Roman" w:eastAsia="宋体" w:cs="Times New Roman"/>
                      <w:color w:val="auto"/>
                      <w:kern w:val="2"/>
                      <w:sz w:val="18"/>
                      <w:szCs w:val="18"/>
                      <w:lang w:val="en-US" w:eastAsia="zh-CN" w:bidi="ar-SA"/>
                    </w:rPr>
                    <w:t>经评估确定为污染地块的，应当在土地转让前开展治理修复。</w:t>
                  </w:r>
                </w:p>
              </w:tc>
              <w:tc>
                <w:tcPr>
                  <w:tcW w:w="1484" w:type="dxa"/>
                  <w:tcBorders>
                    <w:tl2br w:val="nil"/>
                    <w:tr2bl w:val="nil"/>
                  </w:tcBorders>
                  <w:noWrap w:val="0"/>
                  <w:vAlign w:val="center"/>
                </w:tcPr>
                <w:p w14:paraId="2F273511">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本项目危险废物收集后定期交有资质的单位处置</w:t>
                  </w:r>
                  <w:r>
                    <w:rPr>
                      <w:rFonts w:hint="default" w:ascii="Times New Roman" w:hAnsi="Times New Roman" w:eastAsia="宋体" w:cs="Times New Roman"/>
                      <w:color w:val="auto"/>
                      <w:kern w:val="2"/>
                      <w:sz w:val="18"/>
                      <w:szCs w:val="18"/>
                      <w:lang w:val="en-US" w:eastAsia="zh-CN" w:bidi="ar-SA"/>
                    </w:rPr>
                    <w:t>，一般固体废物交物资回收单位</w:t>
                  </w:r>
                  <w:r>
                    <w:rPr>
                      <w:rFonts w:hint="eastAsia" w:cs="Times New Roman"/>
                      <w:color w:val="auto"/>
                      <w:kern w:val="2"/>
                      <w:sz w:val="18"/>
                      <w:szCs w:val="18"/>
                      <w:lang w:val="en-US" w:eastAsia="zh-CN" w:bidi="ar-SA"/>
                    </w:rPr>
                    <w:t>处置</w:t>
                  </w:r>
                  <w:r>
                    <w:rPr>
                      <w:rFonts w:hint="default" w:ascii="Times New Roman" w:hAnsi="Times New Roman" w:eastAsia="宋体" w:cs="Times New Roman"/>
                      <w:color w:val="auto"/>
                      <w:kern w:val="2"/>
                      <w:sz w:val="18"/>
                      <w:szCs w:val="18"/>
                      <w:lang w:val="en-US" w:eastAsia="zh-CN" w:bidi="ar-SA"/>
                    </w:rPr>
                    <w:t>，</w:t>
                  </w:r>
                  <w:r>
                    <w:rPr>
                      <w:rFonts w:hint="eastAsia" w:cs="Times New Roman"/>
                      <w:color w:val="auto"/>
                      <w:kern w:val="2"/>
                      <w:sz w:val="18"/>
                      <w:szCs w:val="18"/>
                      <w:lang w:val="en-US" w:eastAsia="zh-CN" w:bidi="ar-SA"/>
                    </w:rPr>
                    <w:t>本项目固体废物将得到有效、合理地处置</w:t>
                  </w:r>
                  <w:r>
                    <w:rPr>
                      <w:rFonts w:hint="default" w:ascii="Times New Roman" w:hAnsi="Times New Roman" w:eastAsia="宋体" w:cs="Times New Roman"/>
                      <w:color w:val="auto"/>
                      <w:kern w:val="2"/>
                      <w:sz w:val="18"/>
                      <w:szCs w:val="18"/>
                      <w:lang w:val="en-US" w:eastAsia="zh-CN" w:bidi="ar-SA"/>
                    </w:rPr>
                    <w:t>。</w:t>
                  </w:r>
                </w:p>
              </w:tc>
              <w:tc>
                <w:tcPr>
                  <w:tcW w:w="649" w:type="dxa"/>
                  <w:tcBorders>
                    <w:tl2br w:val="nil"/>
                    <w:tr2bl w:val="nil"/>
                  </w:tcBorders>
                  <w:noWrap w:val="0"/>
                  <w:vAlign w:val="center"/>
                </w:tcPr>
                <w:p w14:paraId="59606C3A">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r w14:paraId="0A8D5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161" w:type="dxa"/>
                  <w:gridSpan w:val="4"/>
                  <w:tcBorders>
                    <w:tl2br w:val="nil"/>
                    <w:tr2bl w:val="nil"/>
                  </w:tcBorders>
                  <w:noWrap w:val="0"/>
                  <w:vAlign w:val="center"/>
                </w:tcPr>
                <w:p w14:paraId="5A663540">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（八）</w:t>
                  </w:r>
                  <w:r>
                    <w:rPr>
                      <w:rFonts w:hint="default" w:ascii="Times New Roman" w:hAnsi="Times New Roman" w:eastAsia="宋体" w:cs="Times New Roman"/>
                      <w:color w:val="auto"/>
                      <w:kern w:val="2"/>
                      <w:sz w:val="18"/>
                      <w:szCs w:val="18"/>
                      <w:lang w:val="en-US" w:eastAsia="zh-CN" w:bidi="ar-SA"/>
                    </w:rPr>
                    <w:t>强化环境风险防范</w:t>
                  </w:r>
                </w:p>
              </w:tc>
            </w:tr>
            <w:tr w14:paraId="51E50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9" w:type="dxa"/>
                  <w:tcBorders>
                    <w:tl2br w:val="nil"/>
                    <w:tr2bl w:val="nil"/>
                  </w:tcBorders>
                  <w:noWrap w:val="0"/>
                  <w:vAlign w:val="center"/>
                </w:tcPr>
                <w:p w14:paraId="6DAA7C87">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8</w:t>
                  </w:r>
                </w:p>
              </w:tc>
              <w:tc>
                <w:tcPr>
                  <w:tcW w:w="3589" w:type="dxa"/>
                  <w:tcBorders>
                    <w:tl2br w:val="nil"/>
                    <w:tr2bl w:val="nil"/>
                  </w:tcBorders>
                  <w:noWrap w:val="0"/>
                  <w:vAlign w:val="center"/>
                </w:tcPr>
                <w:p w14:paraId="404B5E48">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进一步完善环境风险防范体系建设，相关企业尤其是涉及危化品的企业应严格落实各项环境风险防范措施，防范突发性环境风险事故。建立健全园区级风险防控体系，完善环境风险应急预案，加强对企业环境风险源的监督管理。强化事故废水应急收集及处理措施，完善园区“三级”环境风险防控体系，确保事故废水不对大口蛉县级自然保护区造成影响。应加快实施盐井水厂、方溪水厂</w:t>
                  </w:r>
                  <w:r>
                    <w:rPr>
                      <w:rFonts w:hint="eastAsia" w:ascii="Times New Roman" w:hAnsi="Times New Roman" w:eastAsia="宋体" w:cs="Times New Roman"/>
                      <w:color w:val="auto"/>
                      <w:kern w:val="2"/>
                      <w:sz w:val="18"/>
                      <w:szCs w:val="18"/>
                      <w:lang w:val="en-US" w:eastAsia="zh-CN" w:bidi="ar-SA"/>
                    </w:rPr>
                    <w:t>拆迁</w:t>
                  </w:r>
                  <w:r>
                    <w:rPr>
                      <w:rFonts w:hint="default" w:ascii="Times New Roman" w:hAnsi="Times New Roman" w:eastAsia="宋体" w:cs="Times New Roman"/>
                      <w:color w:val="auto"/>
                      <w:kern w:val="2"/>
                      <w:sz w:val="18"/>
                      <w:szCs w:val="18"/>
                      <w:lang w:val="en-US" w:eastAsia="zh-CN" w:bidi="ar-SA"/>
                    </w:rPr>
                    <w:t>关闭进度，确保居民饮用水安全</w:t>
                  </w:r>
                </w:p>
              </w:tc>
              <w:tc>
                <w:tcPr>
                  <w:tcW w:w="1484" w:type="dxa"/>
                  <w:tcBorders>
                    <w:tl2br w:val="nil"/>
                    <w:tr2bl w:val="nil"/>
                  </w:tcBorders>
                  <w:noWrap w:val="0"/>
                  <w:vAlign w:val="center"/>
                </w:tcPr>
                <w:p w14:paraId="4E653A8D">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w:t>
                  </w:r>
                  <w:r>
                    <w:rPr>
                      <w:rFonts w:hint="eastAsia" w:ascii="Times New Roman" w:hAnsi="Times New Roman" w:eastAsia="宋体" w:cs="Times New Roman"/>
                      <w:color w:val="auto"/>
                      <w:kern w:val="2"/>
                      <w:sz w:val="18"/>
                      <w:szCs w:val="18"/>
                      <w:lang w:val="en-US" w:eastAsia="zh-CN" w:bidi="ar-SA"/>
                    </w:rPr>
                    <w:t>塑料零件制造生产项目</w:t>
                  </w:r>
                  <w:r>
                    <w:rPr>
                      <w:rFonts w:hint="default" w:ascii="Times New Roman" w:hAnsi="Times New Roman" w:eastAsia="宋体" w:cs="Times New Roman"/>
                      <w:color w:val="auto"/>
                      <w:kern w:val="2"/>
                      <w:sz w:val="18"/>
                      <w:szCs w:val="18"/>
                      <w:lang w:val="en-US" w:eastAsia="zh-CN" w:bidi="ar-SA"/>
                    </w:rPr>
                    <w:t>，风险物质的使用量和存储量比较小，项目按照本环评文件落实了环境风险防范措施后，能够有效</w:t>
                  </w:r>
                  <w:r>
                    <w:rPr>
                      <w:rFonts w:hint="eastAsia" w:ascii="Times New Roman" w:hAnsi="Times New Roman" w:eastAsia="宋体" w:cs="Times New Roman"/>
                      <w:color w:val="auto"/>
                      <w:kern w:val="2"/>
                      <w:sz w:val="18"/>
                      <w:szCs w:val="18"/>
                      <w:lang w:val="en-US" w:eastAsia="zh-CN" w:bidi="ar-SA"/>
                    </w:rPr>
                    <w:t>地</w:t>
                  </w:r>
                  <w:r>
                    <w:rPr>
                      <w:rFonts w:hint="default" w:ascii="Times New Roman" w:hAnsi="Times New Roman" w:eastAsia="宋体" w:cs="Times New Roman"/>
                      <w:color w:val="auto"/>
                      <w:kern w:val="2"/>
                      <w:sz w:val="18"/>
                      <w:szCs w:val="18"/>
                      <w:lang w:val="en-US" w:eastAsia="zh-CN" w:bidi="ar-SA"/>
                    </w:rPr>
                    <w:t>防范突发性环境风险事故。</w:t>
                  </w:r>
                </w:p>
              </w:tc>
              <w:tc>
                <w:tcPr>
                  <w:tcW w:w="649" w:type="dxa"/>
                  <w:tcBorders>
                    <w:tl2br w:val="nil"/>
                    <w:tr2bl w:val="nil"/>
                  </w:tcBorders>
                  <w:noWrap w:val="0"/>
                  <w:vAlign w:val="center"/>
                </w:tcPr>
                <w:p w14:paraId="447E2C65">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符合</w:t>
                  </w:r>
                </w:p>
              </w:tc>
            </w:tr>
          </w:tbl>
          <w:p w14:paraId="50B66271">
            <w:pPr>
              <w:pStyle w:val="54"/>
              <w:ind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本项目符合《重庆市合川区工业园区南溪组团、渭沱组团规划环境影响报告书》审查意见（渝环函</w:t>
            </w:r>
            <w:r>
              <w:rPr>
                <w:rFonts w:hint="eastAsia" w:ascii="Times New Roman" w:hAnsi="Times New Roman" w:eastAsia="宋体" w:cs="Times New Roman"/>
                <w:color w:val="auto"/>
                <w:kern w:val="2"/>
                <w:sz w:val="21"/>
                <w:szCs w:val="21"/>
                <w:lang w:val="en-US" w:eastAsia="zh-CN" w:bidi="ar-SA"/>
              </w:rPr>
              <w:t>〔2019〕1169号</w:t>
            </w:r>
            <w:r>
              <w:rPr>
                <w:rFonts w:hint="default" w:ascii="Times New Roman" w:hAnsi="Times New Roman" w:eastAsia="宋体" w:cs="Times New Roman"/>
                <w:color w:val="auto"/>
                <w:kern w:val="2"/>
                <w:sz w:val="21"/>
                <w:szCs w:val="21"/>
                <w:lang w:val="en-US" w:eastAsia="zh-CN" w:bidi="ar-SA"/>
              </w:rPr>
              <w:t>）要求。</w:t>
            </w:r>
          </w:p>
          <w:p w14:paraId="59617628">
            <w:pPr>
              <w:pStyle w:val="6"/>
              <w:rPr>
                <w:rFonts w:hint="default" w:ascii="Times New Roman" w:hAnsi="Times New Roman" w:eastAsia="宋体" w:cs="Times New Roman"/>
                <w:color w:val="auto"/>
                <w:kern w:val="2"/>
                <w:sz w:val="21"/>
                <w:szCs w:val="21"/>
                <w:lang w:val="en-US" w:eastAsia="zh-CN" w:bidi="ar-SA"/>
              </w:rPr>
            </w:pPr>
          </w:p>
          <w:p w14:paraId="769FD762">
            <w:pPr>
              <w:rPr>
                <w:rFonts w:hint="default" w:ascii="Times New Roman" w:hAnsi="Times New Roman" w:eastAsia="宋体" w:cs="Times New Roman"/>
                <w:color w:val="auto"/>
                <w:kern w:val="2"/>
                <w:sz w:val="21"/>
                <w:szCs w:val="21"/>
                <w:lang w:val="en-US" w:eastAsia="zh-CN" w:bidi="ar-SA"/>
              </w:rPr>
            </w:pPr>
          </w:p>
          <w:p w14:paraId="46DAF6CA">
            <w:pPr>
              <w:rPr>
                <w:rFonts w:hint="default" w:ascii="Times New Roman" w:hAnsi="Times New Roman" w:eastAsia="宋体" w:cs="Times New Roman"/>
                <w:color w:val="auto"/>
                <w:kern w:val="2"/>
                <w:sz w:val="21"/>
                <w:szCs w:val="21"/>
                <w:lang w:val="en-US" w:eastAsia="zh-CN" w:bidi="ar-SA"/>
              </w:rPr>
            </w:pPr>
          </w:p>
        </w:tc>
      </w:tr>
      <w:tr w14:paraId="09289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87" w:hRule="atLeast"/>
          <w:jc w:val="center"/>
        </w:trPr>
        <w:tc>
          <w:tcPr>
            <w:tcW w:w="685" w:type="dxa"/>
            <w:gridSpan w:val="2"/>
            <w:noWrap w:val="0"/>
            <w:vAlign w:val="center"/>
          </w:tcPr>
          <w:p w14:paraId="2E26A61A">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其他符合性分析</w:t>
            </w:r>
          </w:p>
        </w:tc>
        <w:tc>
          <w:tcPr>
            <w:tcW w:w="8375" w:type="dxa"/>
            <w:gridSpan w:val="5"/>
            <w:noWrap w:val="0"/>
            <w:vAlign w:val="center"/>
          </w:tcPr>
          <w:p w14:paraId="23399CFE">
            <w:pPr>
              <w:autoSpaceDE w:val="0"/>
              <w:autoSpaceDN w:val="0"/>
              <w:adjustRightInd w:val="0"/>
              <w:snapToGrid w:val="0"/>
              <w:spacing w:line="360" w:lineRule="auto"/>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一、与“三线一单”符合性分析</w:t>
            </w:r>
          </w:p>
          <w:p w14:paraId="119B12B0">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通过在重庆市“三线一单”智检服务平台进行调查分析，项目所在区域位于</w:t>
            </w:r>
            <w:r>
              <w:rPr>
                <w:rFonts w:hint="eastAsia" w:ascii="Times New Roman" w:hAnsi="Times New Roman" w:cs="Times New Roman"/>
                <w:color w:val="auto"/>
                <w:szCs w:val="21"/>
                <w:lang w:eastAsia="zh-CN"/>
              </w:rPr>
              <w:t>合川区工业城镇重点管控单元－南溪片区</w:t>
            </w:r>
            <w:r>
              <w:rPr>
                <w:rFonts w:hint="default" w:ascii="Times New Roman" w:hAnsi="Times New Roman" w:cs="Times New Roman"/>
                <w:color w:val="auto"/>
                <w:szCs w:val="21"/>
              </w:rPr>
              <w:t>，环境管控单元编码：</w:t>
            </w:r>
            <w:r>
              <w:rPr>
                <w:rFonts w:hint="eastAsia" w:ascii="Times New Roman" w:hAnsi="Times New Roman" w:cs="Times New Roman"/>
                <w:color w:val="auto"/>
                <w:szCs w:val="21"/>
                <w:lang w:eastAsia="zh-CN"/>
              </w:rPr>
              <w:t>ZH50011720002</w:t>
            </w:r>
            <w:r>
              <w:rPr>
                <w:rFonts w:hint="default" w:ascii="Times New Roman" w:hAnsi="Times New Roman" w:cs="Times New Roman"/>
                <w:color w:val="auto"/>
                <w:szCs w:val="21"/>
              </w:rPr>
              <w:t>，</w:t>
            </w:r>
            <w:r>
              <w:rPr>
                <w:rFonts w:hint="eastAsia" w:cs="Times New Roman"/>
                <w:color w:val="auto"/>
                <w:szCs w:val="21"/>
                <w:lang w:eastAsia="zh-CN"/>
              </w:rPr>
              <w:t>“三线一单”</w:t>
            </w:r>
            <w:r>
              <w:rPr>
                <w:rFonts w:hint="default" w:ascii="Times New Roman" w:hAnsi="Times New Roman" w:cs="Times New Roman"/>
                <w:color w:val="auto"/>
                <w:szCs w:val="21"/>
              </w:rPr>
              <w:t>检测分析报告见附件，建设项目与“三线一单”管控要求的符合性分析见下表：</w:t>
            </w:r>
          </w:p>
          <w:p w14:paraId="6591BD53">
            <w:pPr>
              <w:adjustRightInd w:val="0"/>
              <w:snapToGrid w:val="0"/>
              <w:spacing w:line="360" w:lineRule="auto"/>
              <w:jc w:val="center"/>
              <w:rPr>
                <w:rFonts w:hint="default" w:ascii="Times New Roman" w:hAnsi="Times New Roman" w:cs="Times New Roman"/>
                <w:b/>
                <w:bCs/>
                <w:color w:val="auto"/>
                <w:szCs w:val="21"/>
              </w:rPr>
            </w:pPr>
            <w:r>
              <w:rPr>
                <w:rFonts w:hint="default" w:ascii="Times New Roman" w:hAnsi="Times New Roman" w:cs="Times New Roman"/>
                <w:b/>
                <w:color w:val="auto"/>
                <w:szCs w:val="21"/>
              </w:rPr>
              <w:t>表1-</w:t>
            </w:r>
            <w:r>
              <w:rPr>
                <w:rFonts w:hint="eastAsia" w:ascii="Times New Roman" w:hAnsi="Times New Roman" w:cs="Times New Roman"/>
                <w:b/>
                <w:color w:val="auto"/>
                <w:szCs w:val="21"/>
                <w:lang w:val="en-US" w:eastAsia="zh-CN"/>
              </w:rPr>
              <w:t>4</w:t>
            </w:r>
            <w:r>
              <w:rPr>
                <w:rFonts w:hint="default" w:ascii="Times New Roman" w:hAnsi="Times New Roman" w:cs="Times New Roman"/>
                <w:b/>
                <w:color w:val="auto"/>
                <w:szCs w:val="21"/>
              </w:rPr>
              <w:t xml:space="preserve">  </w:t>
            </w:r>
            <w:r>
              <w:rPr>
                <w:rFonts w:hint="default" w:ascii="Times New Roman" w:hAnsi="Times New Roman" w:cs="Times New Roman"/>
                <w:b/>
                <w:bCs/>
                <w:color w:val="auto"/>
                <w:szCs w:val="21"/>
              </w:rPr>
              <w:t>建设项目与“三线一单”管控要求的符合性分析表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663"/>
              <w:gridCol w:w="714"/>
              <w:gridCol w:w="3791"/>
              <w:gridCol w:w="1615"/>
              <w:gridCol w:w="649"/>
            </w:tblGrid>
            <w:tr w14:paraId="3A97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pct"/>
                  <w:gridSpan w:val="3"/>
                  <w:tcBorders>
                    <w:top w:val="single" w:color="auto" w:sz="4" w:space="0"/>
                    <w:left w:val="single" w:color="auto" w:sz="4" w:space="0"/>
                    <w:bottom w:val="single" w:color="auto" w:sz="4" w:space="0"/>
                    <w:right w:val="single" w:color="auto" w:sz="4" w:space="0"/>
                  </w:tcBorders>
                  <w:noWrap w:val="0"/>
                  <w:vAlign w:val="center"/>
                </w:tcPr>
                <w:p w14:paraId="78F76234">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bCs/>
                      <w:color w:val="auto"/>
                      <w:sz w:val="18"/>
                      <w:szCs w:val="18"/>
                      <w:lang w:val="en-US"/>
                    </w:rPr>
                  </w:pPr>
                  <w:r>
                    <w:rPr>
                      <w:rFonts w:hint="default" w:ascii="Times New Roman" w:hAnsi="Times New Roman" w:eastAsia="宋体" w:cs="Times New Roman"/>
                      <w:bCs/>
                      <w:color w:val="auto"/>
                      <w:kern w:val="2"/>
                      <w:sz w:val="18"/>
                      <w:szCs w:val="18"/>
                      <w:lang w:val="en-US" w:eastAsia="zh-CN" w:bidi="ar"/>
                    </w:rPr>
                    <w:t>环境管控单元编码</w:t>
                  </w:r>
                </w:p>
              </w:tc>
              <w:tc>
                <w:tcPr>
                  <w:tcW w:w="2326" w:type="pct"/>
                  <w:tcBorders>
                    <w:top w:val="single" w:color="auto" w:sz="4" w:space="0"/>
                    <w:left w:val="single" w:color="auto" w:sz="4" w:space="0"/>
                    <w:bottom w:val="single" w:color="auto" w:sz="4" w:space="0"/>
                    <w:right w:val="single" w:color="auto" w:sz="4" w:space="0"/>
                  </w:tcBorders>
                  <w:noWrap w:val="0"/>
                  <w:vAlign w:val="center"/>
                </w:tcPr>
                <w:p w14:paraId="2BF7ACCC">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bCs/>
                      <w:color w:val="auto"/>
                      <w:sz w:val="18"/>
                      <w:szCs w:val="18"/>
                      <w:lang w:val="en-US"/>
                    </w:rPr>
                  </w:pPr>
                  <w:r>
                    <w:rPr>
                      <w:rFonts w:hint="default" w:ascii="Times New Roman" w:hAnsi="Times New Roman" w:eastAsia="宋体" w:cs="Times New Roman"/>
                      <w:bCs/>
                      <w:color w:val="auto"/>
                      <w:kern w:val="2"/>
                      <w:sz w:val="18"/>
                      <w:szCs w:val="18"/>
                      <w:lang w:val="en-US" w:eastAsia="zh-CN" w:bidi="ar"/>
                    </w:rPr>
                    <w:t>环境管控单元名称</w:t>
                  </w:r>
                </w:p>
              </w:tc>
              <w:tc>
                <w:tcPr>
                  <w:tcW w:w="1389" w:type="pct"/>
                  <w:gridSpan w:val="2"/>
                  <w:tcBorders>
                    <w:top w:val="single" w:color="auto" w:sz="4" w:space="0"/>
                    <w:left w:val="single" w:color="auto" w:sz="4" w:space="0"/>
                    <w:bottom w:val="single" w:color="auto" w:sz="4" w:space="0"/>
                    <w:right w:val="single" w:color="auto" w:sz="4" w:space="0"/>
                  </w:tcBorders>
                  <w:noWrap w:val="0"/>
                  <w:vAlign w:val="center"/>
                </w:tcPr>
                <w:p w14:paraId="10A62D4F">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bCs/>
                      <w:color w:val="auto"/>
                      <w:sz w:val="18"/>
                      <w:szCs w:val="18"/>
                      <w:lang w:val="en-US"/>
                    </w:rPr>
                  </w:pPr>
                  <w:r>
                    <w:rPr>
                      <w:rFonts w:hint="default" w:ascii="Times New Roman" w:hAnsi="Times New Roman" w:eastAsia="宋体" w:cs="Times New Roman"/>
                      <w:bCs/>
                      <w:color w:val="auto"/>
                      <w:kern w:val="2"/>
                      <w:sz w:val="18"/>
                      <w:szCs w:val="18"/>
                      <w:lang w:val="en-US" w:eastAsia="zh-CN" w:bidi="ar"/>
                    </w:rPr>
                    <w:t>环境管控单元类型</w:t>
                  </w:r>
                </w:p>
              </w:tc>
            </w:tr>
            <w:tr w14:paraId="5C27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83" w:type="pct"/>
                  <w:gridSpan w:val="3"/>
                  <w:tcBorders>
                    <w:top w:val="single" w:color="auto" w:sz="4" w:space="0"/>
                    <w:left w:val="single" w:color="auto" w:sz="4" w:space="0"/>
                    <w:bottom w:val="single" w:color="auto" w:sz="4" w:space="0"/>
                    <w:right w:val="single" w:color="auto" w:sz="4" w:space="0"/>
                  </w:tcBorders>
                  <w:noWrap w:val="0"/>
                  <w:vAlign w:val="center"/>
                </w:tcPr>
                <w:p w14:paraId="23C89734">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eastAsia" w:ascii="Times New Roman" w:hAnsi="Times New Roman" w:eastAsia="宋体" w:cs="Times New Roman"/>
                      <w:bCs/>
                      <w:color w:val="auto"/>
                      <w:sz w:val="18"/>
                      <w:szCs w:val="18"/>
                      <w:lang w:val="en-US" w:eastAsia="zh-CN"/>
                    </w:rPr>
                  </w:pPr>
                  <w:r>
                    <w:rPr>
                      <w:rFonts w:hint="eastAsia" w:ascii="Times New Roman" w:hAnsi="Times New Roman" w:eastAsia="宋体" w:cs="Times New Roman"/>
                      <w:bCs/>
                      <w:color w:val="auto"/>
                      <w:sz w:val="18"/>
                      <w:szCs w:val="18"/>
                      <w:lang w:val="en-US" w:eastAsia="zh-CN"/>
                    </w:rPr>
                    <w:t>ZH50011720002</w:t>
                  </w:r>
                </w:p>
              </w:tc>
              <w:tc>
                <w:tcPr>
                  <w:tcW w:w="2326" w:type="pct"/>
                  <w:tcBorders>
                    <w:top w:val="single" w:color="auto" w:sz="4" w:space="0"/>
                    <w:left w:val="single" w:color="auto" w:sz="4" w:space="0"/>
                    <w:bottom w:val="single" w:color="auto" w:sz="4" w:space="0"/>
                    <w:right w:val="single" w:color="auto" w:sz="4" w:space="0"/>
                  </w:tcBorders>
                  <w:noWrap w:val="0"/>
                  <w:vAlign w:val="center"/>
                </w:tcPr>
                <w:p w14:paraId="0CAF4F03">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bCs/>
                      <w:color w:val="auto"/>
                      <w:sz w:val="18"/>
                      <w:szCs w:val="18"/>
                      <w:lang w:val="en-US"/>
                    </w:rPr>
                  </w:pPr>
                  <w:r>
                    <w:rPr>
                      <w:rFonts w:hint="default" w:ascii="Times New Roman" w:hAnsi="Times New Roman" w:eastAsia="宋体" w:cs="Times New Roman"/>
                      <w:bCs/>
                      <w:color w:val="auto"/>
                      <w:sz w:val="18"/>
                      <w:szCs w:val="18"/>
                      <w:lang w:val="en-US" w:eastAsia="zh-CN"/>
                    </w:rPr>
                    <w:t>合川区工业城镇重点管控单元</w:t>
                  </w:r>
                  <w:r>
                    <w:rPr>
                      <w:rFonts w:hint="eastAsia" w:cs="Times New Roman"/>
                      <w:bCs/>
                      <w:color w:val="auto"/>
                      <w:sz w:val="18"/>
                      <w:szCs w:val="18"/>
                      <w:lang w:val="en-US" w:eastAsia="zh-CN"/>
                    </w:rPr>
                    <w:t>－</w:t>
                  </w:r>
                  <w:r>
                    <w:rPr>
                      <w:rFonts w:hint="default" w:ascii="Times New Roman" w:hAnsi="Times New Roman" w:eastAsia="宋体" w:cs="Times New Roman"/>
                      <w:bCs/>
                      <w:color w:val="auto"/>
                      <w:sz w:val="18"/>
                      <w:szCs w:val="18"/>
                      <w:lang w:val="en-US" w:eastAsia="zh-CN"/>
                    </w:rPr>
                    <w:t>南溪片区</w:t>
                  </w:r>
                </w:p>
              </w:tc>
              <w:tc>
                <w:tcPr>
                  <w:tcW w:w="1389" w:type="pct"/>
                  <w:gridSpan w:val="2"/>
                  <w:tcBorders>
                    <w:top w:val="single" w:color="auto" w:sz="4" w:space="0"/>
                    <w:left w:val="single" w:color="auto" w:sz="4" w:space="0"/>
                    <w:bottom w:val="single" w:color="auto" w:sz="4" w:space="0"/>
                    <w:right w:val="single" w:color="auto" w:sz="4" w:space="0"/>
                  </w:tcBorders>
                  <w:noWrap w:val="0"/>
                  <w:vAlign w:val="center"/>
                </w:tcPr>
                <w:p w14:paraId="633BBCB5">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bCs/>
                      <w:color w:val="auto"/>
                      <w:sz w:val="18"/>
                      <w:szCs w:val="18"/>
                      <w:lang w:val="en-US"/>
                    </w:rPr>
                  </w:pPr>
                  <w:r>
                    <w:rPr>
                      <w:rFonts w:hint="default" w:ascii="Times New Roman" w:hAnsi="Times New Roman" w:eastAsia="宋体" w:cs="Times New Roman"/>
                      <w:bCs/>
                      <w:color w:val="auto"/>
                      <w:kern w:val="2"/>
                      <w:sz w:val="18"/>
                      <w:szCs w:val="18"/>
                      <w:lang w:val="en-US" w:eastAsia="zh-CN" w:bidi="ar"/>
                    </w:rPr>
                    <w:t>重点管控单元</w:t>
                  </w:r>
                  <w:r>
                    <w:rPr>
                      <w:rFonts w:hint="eastAsia" w:cs="Times New Roman"/>
                      <w:bCs/>
                      <w:color w:val="auto"/>
                      <w:kern w:val="2"/>
                      <w:sz w:val="18"/>
                      <w:szCs w:val="18"/>
                      <w:lang w:val="en-US" w:eastAsia="zh-CN" w:bidi="ar"/>
                    </w:rPr>
                    <w:t>2</w:t>
                  </w:r>
                </w:p>
              </w:tc>
            </w:tr>
            <w:tr w14:paraId="3B6C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op w:val="single" w:color="auto" w:sz="4" w:space="0"/>
                    <w:left w:val="single" w:color="auto" w:sz="4" w:space="0"/>
                    <w:bottom w:val="single" w:color="auto" w:sz="4" w:space="0"/>
                    <w:right w:val="single" w:color="auto" w:sz="4" w:space="0"/>
                  </w:tcBorders>
                  <w:noWrap w:val="0"/>
                  <w:vAlign w:val="center"/>
                </w:tcPr>
                <w:p w14:paraId="644199D3">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bCs/>
                      <w:color w:val="auto"/>
                      <w:sz w:val="18"/>
                      <w:szCs w:val="18"/>
                      <w:lang w:val="en-US"/>
                    </w:rPr>
                  </w:pPr>
                  <w:r>
                    <w:rPr>
                      <w:rFonts w:hint="default" w:ascii="Times New Roman" w:hAnsi="Times New Roman" w:eastAsia="宋体" w:cs="Times New Roman"/>
                      <w:bCs/>
                      <w:color w:val="auto"/>
                      <w:kern w:val="2"/>
                      <w:sz w:val="18"/>
                      <w:szCs w:val="18"/>
                      <w:lang w:val="en-US" w:eastAsia="zh-CN" w:bidi="ar"/>
                    </w:rPr>
                    <w:t>管控要求层级</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34B4E93F">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bCs/>
                      <w:color w:val="auto"/>
                      <w:sz w:val="18"/>
                      <w:szCs w:val="18"/>
                      <w:lang w:val="en-US"/>
                    </w:rPr>
                  </w:pPr>
                  <w:r>
                    <w:rPr>
                      <w:rFonts w:hint="default" w:ascii="Times New Roman" w:hAnsi="Times New Roman" w:eastAsia="宋体" w:cs="Times New Roman"/>
                      <w:bCs/>
                      <w:color w:val="auto"/>
                      <w:kern w:val="2"/>
                      <w:sz w:val="18"/>
                      <w:szCs w:val="18"/>
                      <w:lang w:val="en-US" w:eastAsia="zh-CN" w:bidi="ar"/>
                    </w:rPr>
                    <w:t>管控类型</w:t>
                  </w: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6C4951F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bCs/>
                      <w:color w:val="auto"/>
                      <w:sz w:val="18"/>
                      <w:szCs w:val="18"/>
                      <w:lang w:val="en-US"/>
                    </w:rPr>
                  </w:pPr>
                  <w:r>
                    <w:rPr>
                      <w:rFonts w:hint="default" w:ascii="Times New Roman" w:hAnsi="Times New Roman" w:eastAsia="宋体" w:cs="Times New Roman"/>
                      <w:bCs/>
                      <w:color w:val="auto"/>
                      <w:kern w:val="2"/>
                      <w:sz w:val="18"/>
                      <w:szCs w:val="18"/>
                      <w:lang w:val="en-US" w:eastAsia="zh-CN" w:bidi="ar"/>
                    </w:rPr>
                    <w:t>管控要求</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58366DB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bCs/>
                      <w:color w:val="auto"/>
                      <w:sz w:val="18"/>
                      <w:szCs w:val="18"/>
                      <w:lang w:val="en-US"/>
                    </w:rPr>
                  </w:pPr>
                  <w:r>
                    <w:rPr>
                      <w:rFonts w:hint="default" w:ascii="Times New Roman" w:hAnsi="Times New Roman" w:eastAsia="宋体" w:cs="Times New Roman"/>
                      <w:bCs/>
                      <w:color w:val="auto"/>
                      <w:kern w:val="2"/>
                      <w:sz w:val="18"/>
                      <w:szCs w:val="18"/>
                      <w:lang w:val="en-US" w:eastAsia="zh-CN" w:bidi="ar"/>
                    </w:rPr>
                    <w:t>建设项目相关情况</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74429F22">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bCs/>
                      <w:color w:val="auto"/>
                      <w:sz w:val="18"/>
                      <w:szCs w:val="18"/>
                      <w:lang w:val="en-US"/>
                    </w:rPr>
                  </w:pPr>
                  <w:r>
                    <w:rPr>
                      <w:rFonts w:hint="default" w:ascii="Times New Roman" w:hAnsi="Times New Roman" w:eastAsia="宋体" w:cs="Times New Roman"/>
                      <w:bCs/>
                      <w:color w:val="auto"/>
                      <w:kern w:val="2"/>
                      <w:sz w:val="18"/>
                      <w:szCs w:val="18"/>
                      <w:lang w:val="en-US" w:eastAsia="zh-CN" w:bidi="ar"/>
                    </w:rPr>
                    <w:t>符合性分析结论</w:t>
                  </w:r>
                </w:p>
              </w:tc>
            </w:tr>
            <w:tr w14:paraId="6890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38" w:type="pct"/>
                  <w:vMerge w:val="restart"/>
                  <w:tcBorders>
                    <w:top w:val="single" w:color="auto" w:sz="4" w:space="0"/>
                    <w:left w:val="single" w:color="auto" w:sz="4" w:space="0"/>
                    <w:right w:val="single" w:color="auto" w:sz="4" w:space="0"/>
                  </w:tcBorders>
                  <w:noWrap w:val="0"/>
                  <w:vAlign w:val="center"/>
                </w:tcPr>
                <w:p w14:paraId="4353023C">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重庆市总体管控要求</w:t>
                  </w:r>
                </w:p>
              </w:tc>
              <w:tc>
                <w:tcPr>
                  <w:tcW w:w="407" w:type="pct"/>
                  <w:vMerge w:val="restart"/>
                  <w:tcBorders>
                    <w:top w:val="single" w:color="auto" w:sz="4" w:space="0"/>
                    <w:left w:val="single" w:color="auto" w:sz="4" w:space="0"/>
                    <w:right w:val="single" w:color="auto" w:sz="4" w:space="0"/>
                  </w:tcBorders>
                  <w:noWrap w:val="0"/>
                  <w:vAlign w:val="center"/>
                </w:tcPr>
                <w:p w14:paraId="795C3194">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空间布局约束</w:t>
                  </w:r>
                </w:p>
              </w:tc>
              <w:tc>
                <w:tcPr>
                  <w:tcW w:w="2764" w:type="pct"/>
                  <w:gridSpan w:val="2"/>
                  <w:tcBorders>
                    <w:top w:val="single" w:color="auto" w:sz="4" w:space="0"/>
                    <w:left w:val="single" w:color="auto" w:sz="4" w:space="0"/>
                    <w:right w:val="single" w:color="auto" w:sz="4" w:space="0"/>
                  </w:tcBorders>
                  <w:noWrap w:val="0"/>
                  <w:vAlign w:val="center"/>
                </w:tcPr>
                <w:p w14:paraId="6C9A576A">
                  <w:pPr>
                    <w:keepNext w:val="0"/>
                    <w:keepLines w:val="0"/>
                    <w:pageBreakBefore w:val="0"/>
                    <w:widowControl w:val="0"/>
                    <w:numPr>
                      <w:ilvl w:val="0"/>
                      <w:numId w:val="0"/>
                    </w:numPr>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rPr>
                    <w:t>第一条  深入贯彻习近平生态文明思想，筑牢长江上游重要生态屏障，推动优势区域重点发展、生态功能区重点保护、</w:t>
                  </w:r>
                  <w:r>
                    <w:rPr>
                      <w:rFonts w:hint="default" w:ascii="Times New Roman" w:hAnsi="Times New Roman" w:eastAsia="宋体" w:cs="Times New Roman"/>
                      <w:color w:val="auto"/>
                      <w:sz w:val="18"/>
                      <w:szCs w:val="18"/>
                      <w:lang w:val="en-US"/>
                    </w:rPr>
                    <w:fldChar w:fldCharType="begin"/>
                  </w:r>
                  <w:r>
                    <w:rPr>
                      <w:rFonts w:hint="default" w:ascii="Times New Roman" w:hAnsi="Times New Roman" w:eastAsia="宋体" w:cs="Times New Roman"/>
                      <w:color w:val="auto"/>
                      <w:sz w:val="18"/>
                      <w:szCs w:val="18"/>
                      <w:lang w:val="en-US"/>
                    </w:rPr>
                    <w:instrText xml:space="preserve"> HYPERLINK "http://guihuayun.com/baike/%E5%9F%8E%E4%B9%A1%E8%9E%8D%E5%90%88%E5%8F%91%E5%B1%95" \t "http://www.gui-hua.com/post/_blank" </w:instrText>
                  </w:r>
                  <w:r>
                    <w:rPr>
                      <w:rFonts w:hint="default" w:ascii="Times New Roman" w:hAnsi="Times New Roman" w:eastAsia="宋体" w:cs="Times New Roman"/>
                      <w:color w:val="auto"/>
                      <w:sz w:val="18"/>
                      <w:szCs w:val="18"/>
                      <w:lang w:val="en-US"/>
                    </w:rPr>
                    <w:fldChar w:fldCharType="separate"/>
                  </w:r>
                  <w:r>
                    <w:rPr>
                      <w:rFonts w:hint="default" w:ascii="Times New Roman" w:hAnsi="Times New Roman" w:eastAsia="宋体" w:cs="Times New Roman"/>
                      <w:color w:val="auto"/>
                      <w:sz w:val="18"/>
                      <w:szCs w:val="18"/>
                      <w:lang w:val="en-US"/>
                    </w:rPr>
                    <w:t>城乡融合发展</w:t>
                  </w:r>
                  <w:r>
                    <w:rPr>
                      <w:rFonts w:hint="default" w:ascii="Times New Roman" w:hAnsi="Times New Roman" w:eastAsia="宋体" w:cs="Times New Roman"/>
                      <w:color w:val="auto"/>
                      <w:sz w:val="18"/>
                      <w:szCs w:val="18"/>
                      <w:lang w:val="en-US"/>
                    </w:rPr>
                    <w:fldChar w:fldCharType="end"/>
                  </w:r>
                  <w:r>
                    <w:rPr>
                      <w:rFonts w:hint="default" w:ascii="Times New Roman" w:hAnsi="Times New Roman" w:eastAsia="宋体" w:cs="Times New Roman"/>
                      <w:color w:val="auto"/>
                      <w:sz w:val="18"/>
                      <w:szCs w:val="18"/>
                      <w:lang w:val="en-US"/>
                    </w:rPr>
                    <w:t>，优化重点区域、流域、产业的空间布局。</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7D3E998C">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项目位于</w:t>
                  </w:r>
                  <w:r>
                    <w:rPr>
                      <w:rFonts w:hint="eastAsia" w:ascii="Times New Roman" w:hAnsi="Times New Roman" w:cs="Times New Roman"/>
                      <w:color w:val="auto"/>
                      <w:sz w:val="18"/>
                      <w:szCs w:val="18"/>
                      <w:lang w:val="en-US" w:eastAsia="zh-CN"/>
                    </w:rPr>
                    <w:t>合川工业园区南溪组团A区且与</w:t>
                  </w:r>
                  <w:r>
                    <w:rPr>
                      <w:rFonts w:hint="default" w:ascii="Times New Roman" w:hAnsi="Times New Roman" w:eastAsia="宋体" w:cs="Times New Roman"/>
                      <w:color w:val="auto"/>
                      <w:sz w:val="18"/>
                      <w:szCs w:val="18"/>
                      <w:lang w:val="en-US" w:eastAsia="zh-CN"/>
                    </w:rPr>
                    <w:t>园区规划</w:t>
                  </w:r>
                  <w:r>
                    <w:rPr>
                      <w:rFonts w:hint="eastAsia" w:ascii="Times New Roman" w:hAnsi="Times New Roman" w:cs="Times New Roman"/>
                      <w:color w:val="auto"/>
                      <w:sz w:val="18"/>
                      <w:szCs w:val="18"/>
                      <w:lang w:val="en-US" w:eastAsia="zh-CN"/>
                    </w:rPr>
                    <w:t>不相冲突。</w:t>
                  </w:r>
                </w:p>
              </w:tc>
              <w:tc>
                <w:tcPr>
                  <w:tcW w:w="397" w:type="pct"/>
                  <w:tcBorders>
                    <w:top w:val="single" w:color="auto" w:sz="4" w:space="0"/>
                    <w:left w:val="single" w:color="auto" w:sz="4" w:space="0"/>
                    <w:right w:val="single" w:color="auto" w:sz="4" w:space="0"/>
                  </w:tcBorders>
                  <w:noWrap w:val="0"/>
                  <w:vAlign w:val="center"/>
                </w:tcPr>
                <w:p w14:paraId="79AF6067">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符合</w:t>
                  </w:r>
                </w:p>
              </w:tc>
            </w:tr>
            <w:tr w14:paraId="09C7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38" w:type="pct"/>
                  <w:vMerge w:val="continue"/>
                  <w:tcBorders>
                    <w:left w:val="single" w:color="auto" w:sz="4" w:space="0"/>
                    <w:right w:val="single" w:color="auto" w:sz="4" w:space="0"/>
                  </w:tcBorders>
                  <w:noWrap w:val="0"/>
                  <w:vAlign w:val="center"/>
                </w:tcPr>
                <w:p w14:paraId="0842EDC4">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color w:val="auto"/>
                      <w:sz w:val="18"/>
                      <w:szCs w:val="18"/>
                    </w:rPr>
                  </w:pPr>
                </w:p>
              </w:tc>
              <w:tc>
                <w:tcPr>
                  <w:tcW w:w="407" w:type="pct"/>
                  <w:vMerge w:val="continue"/>
                  <w:tcBorders>
                    <w:left w:val="single" w:color="auto" w:sz="4" w:space="0"/>
                    <w:right w:val="single" w:color="auto" w:sz="4" w:space="0"/>
                  </w:tcBorders>
                  <w:noWrap w:val="0"/>
                  <w:vAlign w:val="center"/>
                </w:tcPr>
                <w:p w14:paraId="196C0BD2">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color w:val="auto"/>
                      <w:sz w:val="18"/>
                      <w:szCs w:val="18"/>
                    </w:rPr>
                  </w:pPr>
                </w:p>
              </w:tc>
              <w:tc>
                <w:tcPr>
                  <w:tcW w:w="2764" w:type="pct"/>
                  <w:gridSpan w:val="2"/>
                  <w:tcBorders>
                    <w:left w:val="single" w:color="auto" w:sz="4" w:space="0"/>
                    <w:right w:val="single" w:color="auto" w:sz="4" w:space="0"/>
                  </w:tcBorders>
                  <w:noWrap w:val="0"/>
                  <w:vAlign w:val="center"/>
                </w:tcPr>
                <w:p w14:paraId="2FBA17DA">
                  <w:pPr>
                    <w:keepNext w:val="0"/>
                    <w:keepLines w:val="0"/>
                    <w:pageBreakBefore w:val="0"/>
                    <w:widowControl w:val="0"/>
                    <w:numPr>
                      <w:ilvl w:val="0"/>
                      <w:numId w:val="0"/>
                    </w:numPr>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2"/>
                      <w:sz w:val="18"/>
                      <w:szCs w:val="18"/>
                      <w:lang w:val="en-US" w:eastAsia="zh-CN" w:bidi="ar"/>
                    </w:rPr>
                  </w:pPr>
                  <w:r>
                    <w:rPr>
                      <w:rFonts w:hint="default" w:ascii="Times New Roman" w:hAnsi="Times New Roman" w:eastAsia="宋体" w:cs="Times New Roman"/>
                      <w:color w:val="auto"/>
                      <w:kern w:val="2"/>
                      <w:sz w:val="18"/>
                      <w:szCs w:val="18"/>
                      <w:lang w:val="en-US" w:eastAsia="zh-CN" w:bidi="ar"/>
                    </w:rPr>
                    <w:t>第二条  禁止在长江干支流、重要湖泊岸线一公里范围内新建、扩建化工园区和化工项目。禁止在长江干流岸线三公里范围内和重要支流岸线一公里范围内新建、改建、扩建尾矿库、冶炼渣库、磷石膏库，以提升安全、生态环境保护水平为目的的改建除外。禁止在长江、嘉陵江、乌江岸线一公里范围内布局新建重化工、纸浆制造、印染等存在环境风险的项目。</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5E45F155">
                  <w:pPr>
                    <w:keepNext w:val="0"/>
                    <w:keepLines w:val="0"/>
                    <w:pageBreakBefore w:val="0"/>
                    <w:widowControl w:val="0"/>
                    <w:numPr>
                      <w:ilvl w:val="0"/>
                      <w:numId w:val="0"/>
                    </w:numPr>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2"/>
                      <w:sz w:val="18"/>
                      <w:szCs w:val="18"/>
                      <w:lang w:val="en-US" w:eastAsia="zh-CN" w:bidi="ar"/>
                    </w:rPr>
                  </w:pPr>
                  <w:r>
                    <w:rPr>
                      <w:rFonts w:hint="eastAsia" w:ascii="Times New Roman" w:hAnsi="Times New Roman" w:eastAsia="宋体" w:cs="Times New Roman"/>
                      <w:color w:val="auto"/>
                      <w:kern w:val="2"/>
                      <w:sz w:val="18"/>
                      <w:szCs w:val="18"/>
                      <w:lang w:val="en-US" w:eastAsia="zh-CN" w:bidi="ar"/>
                    </w:rPr>
                    <w:t>项目位于</w:t>
                  </w:r>
                  <w:r>
                    <w:rPr>
                      <w:rFonts w:hint="eastAsia" w:ascii="Times New Roman" w:hAnsi="Times New Roman" w:cs="Times New Roman"/>
                      <w:color w:val="auto"/>
                      <w:kern w:val="2"/>
                      <w:sz w:val="18"/>
                      <w:szCs w:val="18"/>
                      <w:lang w:val="en-US" w:eastAsia="zh-CN" w:bidi="ar"/>
                    </w:rPr>
                    <w:t>合川工业园区南溪组团A区</w:t>
                  </w:r>
                  <w:r>
                    <w:rPr>
                      <w:rFonts w:hint="eastAsia" w:ascii="Times New Roman" w:hAnsi="Times New Roman" w:eastAsia="宋体" w:cs="Times New Roman"/>
                      <w:color w:val="auto"/>
                      <w:kern w:val="2"/>
                      <w:sz w:val="18"/>
                      <w:szCs w:val="18"/>
                      <w:lang w:val="en-US" w:eastAsia="zh-CN" w:bidi="ar"/>
                    </w:rPr>
                    <w:t>，</w:t>
                  </w:r>
                  <w:r>
                    <w:rPr>
                      <w:rFonts w:hint="eastAsia" w:cs="Times New Roman"/>
                      <w:color w:val="auto"/>
                      <w:kern w:val="2"/>
                      <w:sz w:val="18"/>
                      <w:szCs w:val="18"/>
                      <w:lang w:val="en-US" w:eastAsia="zh-CN" w:bidi="ar"/>
                    </w:rPr>
                    <w:t>行业类别为C2929塑料零件及其他塑料制品制造</w:t>
                  </w:r>
                  <w:r>
                    <w:rPr>
                      <w:rFonts w:hint="eastAsia" w:ascii="Times New Roman" w:hAnsi="Times New Roman" w:cs="Times New Roman"/>
                      <w:color w:val="auto"/>
                      <w:kern w:val="2"/>
                      <w:sz w:val="18"/>
                      <w:szCs w:val="18"/>
                      <w:lang w:val="en-US" w:eastAsia="zh-CN" w:bidi="ar"/>
                    </w:rPr>
                    <w:t>，不属于</w:t>
                  </w:r>
                  <w:r>
                    <w:rPr>
                      <w:rFonts w:hint="eastAsia" w:cs="Times New Roman"/>
                      <w:color w:val="auto"/>
                      <w:kern w:val="2"/>
                      <w:sz w:val="18"/>
                      <w:szCs w:val="18"/>
                      <w:lang w:val="en-US" w:eastAsia="zh-CN" w:bidi="ar"/>
                    </w:rPr>
                    <w:t>上述</w:t>
                  </w:r>
                  <w:r>
                    <w:rPr>
                      <w:rFonts w:hint="eastAsia" w:ascii="Times New Roman" w:hAnsi="Times New Roman" w:cs="Times New Roman"/>
                      <w:color w:val="auto"/>
                      <w:kern w:val="2"/>
                      <w:sz w:val="18"/>
                      <w:szCs w:val="18"/>
                      <w:lang w:val="en-US" w:eastAsia="zh-CN" w:bidi="ar"/>
                    </w:rPr>
                    <w:t>项目。</w:t>
                  </w:r>
                </w:p>
              </w:tc>
              <w:tc>
                <w:tcPr>
                  <w:tcW w:w="397" w:type="pct"/>
                  <w:tcBorders>
                    <w:left w:val="single" w:color="auto" w:sz="4" w:space="0"/>
                    <w:right w:val="single" w:color="auto" w:sz="4" w:space="0"/>
                  </w:tcBorders>
                  <w:noWrap w:val="0"/>
                  <w:vAlign w:val="center"/>
                </w:tcPr>
                <w:p w14:paraId="656918F8">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符合</w:t>
                  </w:r>
                </w:p>
              </w:tc>
            </w:tr>
            <w:tr w14:paraId="0513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38" w:type="pct"/>
                  <w:vMerge w:val="continue"/>
                  <w:tcBorders>
                    <w:left w:val="single" w:color="auto" w:sz="4" w:space="0"/>
                    <w:right w:val="single" w:color="auto" w:sz="4" w:space="0"/>
                  </w:tcBorders>
                  <w:noWrap w:val="0"/>
                  <w:vAlign w:val="center"/>
                </w:tcPr>
                <w:p w14:paraId="05E0692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eastAsia" w:ascii="Times New Roman" w:hAnsi="Times New Roman" w:eastAsia="宋体" w:cs="Times New Roman"/>
                      <w:color w:val="auto"/>
                      <w:sz w:val="18"/>
                      <w:szCs w:val="18"/>
                      <w:lang w:val="en-US" w:eastAsia="zh-CN"/>
                    </w:rPr>
                  </w:pPr>
                </w:p>
              </w:tc>
              <w:tc>
                <w:tcPr>
                  <w:tcW w:w="407" w:type="pct"/>
                  <w:vMerge w:val="continue"/>
                  <w:tcBorders>
                    <w:left w:val="single" w:color="auto" w:sz="4" w:space="0"/>
                    <w:right w:val="single" w:color="auto" w:sz="4" w:space="0"/>
                  </w:tcBorders>
                  <w:noWrap w:val="0"/>
                  <w:vAlign w:val="center"/>
                </w:tcPr>
                <w:p w14:paraId="25ECDE6F">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eastAsia" w:ascii="Times New Roman" w:hAnsi="Times New Roman" w:eastAsia="宋体" w:cs="Times New Roman"/>
                      <w:color w:val="auto"/>
                      <w:sz w:val="18"/>
                      <w:szCs w:val="18"/>
                      <w:lang w:val="en-US" w:eastAsia="zh-CN"/>
                    </w:rPr>
                  </w:pPr>
                </w:p>
              </w:tc>
              <w:tc>
                <w:tcPr>
                  <w:tcW w:w="2764" w:type="pct"/>
                  <w:gridSpan w:val="2"/>
                  <w:tcBorders>
                    <w:left w:val="single" w:color="auto" w:sz="4" w:space="0"/>
                    <w:right w:val="single" w:color="auto" w:sz="4" w:space="0"/>
                  </w:tcBorders>
                  <w:noWrap w:val="0"/>
                  <w:vAlign w:val="center"/>
                </w:tcPr>
                <w:p w14:paraId="6293B6D4">
                  <w:pPr>
                    <w:keepNext w:val="0"/>
                    <w:keepLines w:val="0"/>
                    <w:pageBreakBefore w:val="0"/>
                    <w:widowControl w:val="0"/>
                    <w:numPr>
                      <w:ilvl w:val="0"/>
                      <w:numId w:val="0"/>
                    </w:numPr>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第三条  禁止在合规园区外新建、扩建钢铁、石化、化工、焦化、建材、有色、制浆造纸等高污染项目（高污染项目严格按照《环境保护综合名录》“高污染”产品名录执行）。禁止新建、扩建不符合国家石化、现代煤化工等产业布局规划的项目。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7262E76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kern w:val="2"/>
                      <w:sz w:val="18"/>
                      <w:szCs w:val="18"/>
                      <w:lang w:val="en-US" w:eastAsia="zh-CN" w:bidi="ar"/>
                    </w:rPr>
                    <w:t>项目位于</w:t>
                  </w:r>
                  <w:r>
                    <w:rPr>
                      <w:rFonts w:hint="eastAsia" w:ascii="Times New Roman" w:hAnsi="Times New Roman" w:cs="Times New Roman"/>
                      <w:color w:val="auto"/>
                      <w:kern w:val="2"/>
                      <w:sz w:val="18"/>
                      <w:szCs w:val="18"/>
                      <w:lang w:val="en-US" w:eastAsia="zh-CN" w:bidi="ar"/>
                    </w:rPr>
                    <w:t>合川工业园区南溪组团A区</w:t>
                  </w:r>
                  <w:r>
                    <w:rPr>
                      <w:rFonts w:hint="eastAsia" w:ascii="Times New Roman" w:hAnsi="Times New Roman" w:eastAsia="宋体" w:cs="Times New Roman"/>
                      <w:color w:val="auto"/>
                      <w:kern w:val="2"/>
                      <w:sz w:val="18"/>
                      <w:szCs w:val="18"/>
                      <w:lang w:val="en-US" w:eastAsia="zh-CN" w:bidi="ar"/>
                    </w:rPr>
                    <w:t>，</w:t>
                  </w:r>
                  <w:r>
                    <w:rPr>
                      <w:rFonts w:hint="eastAsia" w:cs="Times New Roman"/>
                      <w:color w:val="auto"/>
                      <w:kern w:val="2"/>
                      <w:sz w:val="18"/>
                      <w:szCs w:val="18"/>
                      <w:lang w:val="en-US" w:eastAsia="zh-CN" w:bidi="ar"/>
                    </w:rPr>
                    <w:t>行业类别为C2929塑料零件及其他塑料制品制造</w:t>
                  </w:r>
                  <w:r>
                    <w:rPr>
                      <w:rFonts w:hint="eastAsia" w:ascii="Times New Roman" w:hAnsi="Times New Roman" w:cs="Times New Roman"/>
                      <w:color w:val="auto"/>
                      <w:kern w:val="2"/>
                      <w:sz w:val="18"/>
                      <w:szCs w:val="18"/>
                      <w:lang w:val="en-US" w:eastAsia="zh-CN" w:bidi="ar"/>
                    </w:rPr>
                    <w:t>，不属于两高项目</w:t>
                  </w:r>
                  <w:r>
                    <w:rPr>
                      <w:rFonts w:hint="eastAsia" w:cs="Times New Roman"/>
                      <w:color w:val="auto"/>
                      <w:kern w:val="2"/>
                      <w:sz w:val="18"/>
                      <w:szCs w:val="18"/>
                      <w:lang w:val="en-US" w:eastAsia="zh-CN" w:bidi="ar"/>
                    </w:rPr>
                    <w:t>；项目满足污染物总量控制要求，符合园区规划环评相关要求。</w:t>
                  </w:r>
                </w:p>
              </w:tc>
              <w:tc>
                <w:tcPr>
                  <w:tcW w:w="397" w:type="pct"/>
                  <w:tcBorders>
                    <w:left w:val="single" w:color="auto" w:sz="4" w:space="0"/>
                    <w:right w:val="single" w:color="auto" w:sz="4" w:space="0"/>
                  </w:tcBorders>
                  <w:noWrap w:val="0"/>
                  <w:vAlign w:val="center"/>
                </w:tcPr>
                <w:p w14:paraId="10DC0B42">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符合</w:t>
                  </w:r>
                </w:p>
              </w:tc>
            </w:tr>
            <w:tr w14:paraId="3A16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38" w:type="pct"/>
                  <w:vMerge w:val="continue"/>
                  <w:tcBorders>
                    <w:left w:val="single" w:color="auto" w:sz="4" w:space="0"/>
                    <w:right w:val="single" w:color="auto" w:sz="4" w:space="0"/>
                  </w:tcBorders>
                  <w:noWrap w:val="0"/>
                  <w:vAlign w:val="center"/>
                </w:tcPr>
                <w:p w14:paraId="12710284">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eastAsia" w:ascii="Times New Roman" w:hAnsi="Times New Roman" w:eastAsia="宋体" w:cs="Times New Roman"/>
                      <w:color w:val="auto"/>
                      <w:sz w:val="18"/>
                      <w:szCs w:val="18"/>
                      <w:lang w:val="en-US" w:eastAsia="zh-CN"/>
                    </w:rPr>
                  </w:pPr>
                </w:p>
              </w:tc>
              <w:tc>
                <w:tcPr>
                  <w:tcW w:w="407" w:type="pct"/>
                  <w:vMerge w:val="continue"/>
                  <w:tcBorders>
                    <w:left w:val="single" w:color="auto" w:sz="4" w:space="0"/>
                    <w:right w:val="single" w:color="auto" w:sz="4" w:space="0"/>
                  </w:tcBorders>
                  <w:noWrap w:val="0"/>
                  <w:vAlign w:val="center"/>
                </w:tcPr>
                <w:p w14:paraId="20CDB94B">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eastAsia" w:ascii="Times New Roman" w:hAnsi="Times New Roman" w:eastAsia="宋体" w:cs="Times New Roman"/>
                      <w:color w:val="auto"/>
                      <w:sz w:val="18"/>
                      <w:szCs w:val="18"/>
                      <w:lang w:val="en-US" w:eastAsia="zh-CN"/>
                    </w:rPr>
                  </w:pPr>
                </w:p>
              </w:tc>
              <w:tc>
                <w:tcPr>
                  <w:tcW w:w="2764" w:type="pct"/>
                  <w:gridSpan w:val="2"/>
                  <w:tcBorders>
                    <w:left w:val="single" w:color="auto" w:sz="4" w:space="0"/>
                    <w:right w:val="single" w:color="auto" w:sz="4" w:space="0"/>
                  </w:tcBorders>
                  <w:noWrap w:val="0"/>
                  <w:vAlign w:val="center"/>
                </w:tcPr>
                <w:p w14:paraId="74F3280B">
                  <w:pPr>
                    <w:keepNext w:val="0"/>
                    <w:keepLines w:val="0"/>
                    <w:pageBreakBefore w:val="0"/>
                    <w:widowControl w:val="0"/>
                    <w:numPr>
                      <w:ilvl w:val="0"/>
                      <w:numId w:val="0"/>
                    </w:numPr>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第四条  严把项目准入关口，对不符合要求的高耗能、高排放、低水平项目坚决不予准入。除在安全或者产业布局等方面有特殊要求的项目外，新建有污染物排放的工业项目应当进入工业集聚区。新建化工项目应当进入全市统一布局的化工产业集聚区。鼓励现有工业项目、化工项目分别搬入工业集聚区、化工产业集聚区。</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633F49A6">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项目位于</w:t>
                  </w:r>
                  <w:r>
                    <w:rPr>
                      <w:rFonts w:hint="eastAsia" w:ascii="Times New Roman" w:hAnsi="Times New Roman" w:cs="Times New Roman"/>
                      <w:color w:val="auto"/>
                      <w:sz w:val="18"/>
                      <w:szCs w:val="18"/>
                      <w:lang w:val="en-US" w:eastAsia="zh-CN"/>
                    </w:rPr>
                    <w:t>合川工业园区南溪组团A区</w:t>
                  </w:r>
                  <w:r>
                    <w:rPr>
                      <w:rFonts w:hint="eastAsia" w:ascii="Times New Roman" w:hAnsi="Times New Roman" w:eastAsia="宋体" w:cs="Times New Roman"/>
                      <w:color w:val="auto"/>
                      <w:sz w:val="18"/>
                      <w:szCs w:val="18"/>
                      <w:lang w:val="en-US" w:eastAsia="zh-CN"/>
                    </w:rPr>
                    <w:t>，</w:t>
                  </w:r>
                  <w:r>
                    <w:rPr>
                      <w:rFonts w:hint="eastAsia" w:cs="Times New Roman"/>
                      <w:color w:val="auto"/>
                      <w:sz w:val="18"/>
                      <w:szCs w:val="18"/>
                      <w:lang w:val="en-US" w:eastAsia="zh-CN"/>
                    </w:rPr>
                    <w:t>行业类别为C2929塑料零件及其他塑料制品制造</w:t>
                  </w:r>
                  <w:r>
                    <w:rPr>
                      <w:rFonts w:hint="eastAsia" w:ascii="Times New Roman" w:hAnsi="Times New Roman" w:eastAsia="宋体" w:cs="Times New Roman"/>
                      <w:color w:val="auto"/>
                      <w:sz w:val="18"/>
                      <w:szCs w:val="18"/>
                      <w:lang w:val="en-US" w:eastAsia="zh-CN"/>
                    </w:rPr>
                    <w:t>，不属于高耗能、高排放、低水平项目。</w:t>
                  </w:r>
                </w:p>
              </w:tc>
              <w:tc>
                <w:tcPr>
                  <w:tcW w:w="397" w:type="pct"/>
                  <w:tcBorders>
                    <w:left w:val="single" w:color="auto" w:sz="4" w:space="0"/>
                    <w:right w:val="single" w:color="auto" w:sz="4" w:space="0"/>
                  </w:tcBorders>
                  <w:noWrap w:val="0"/>
                  <w:vAlign w:val="center"/>
                </w:tcPr>
                <w:p w14:paraId="3267A27A">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符合</w:t>
                  </w:r>
                </w:p>
              </w:tc>
            </w:tr>
            <w:tr w14:paraId="3FF6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38" w:type="pct"/>
                  <w:vMerge w:val="continue"/>
                  <w:tcBorders>
                    <w:left w:val="single" w:color="auto" w:sz="4" w:space="0"/>
                    <w:right w:val="single" w:color="auto" w:sz="4" w:space="0"/>
                  </w:tcBorders>
                  <w:noWrap w:val="0"/>
                  <w:vAlign w:val="center"/>
                </w:tcPr>
                <w:p w14:paraId="52E06EBF">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eastAsia" w:ascii="Times New Roman" w:hAnsi="Times New Roman" w:eastAsia="宋体" w:cs="Times New Roman"/>
                      <w:color w:val="auto"/>
                      <w:sz w:val="18"/>
                      <w:szCs w:val="18"/>
                      <w:lang w:val="en-US" w:eastAsia="zh-CN"/>
                    </w:rPr>
                  </w:pPr>
                </w:p>
              </w:tc>
              <w:tc>
                <w:tcPr>
                  <w:tcW w:w="407" w:type="pct"/>
                  <w:vMerge w:val="continue"/>
                  <w:tcBorders>
                    <w:left w:val="single" w:color="auto" w:sz="4" w:space="0"/>
                    <w:right w:val="single" w:color="auto" w:sz="4" w:space="0"/>
                  </w:tcBorders>
                  <w:noWrap w:val="0"/>
                  <w:vAlign w:val="center"/>
                </w:tcPr>
                <w:p w14:paraId="1CCBE586">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eastAsia" w:ascii="Times New Roman" w:hAnsi="Times New Roman" w:eastAsia="宋体" w:cs="Times New Roman"/>
                      <w:color w:val="auto"/>
                      <w:sz w:val="18"/>
                      <w:szCs w:val="18"/>
                      <w:lang w:val="en-US" w:eastAsia="zh-CN"/>
                    </w:rPr>
                  </w:pPr>
                </w:p>
              </w:tc>
              <w:tc>
                <w:tcPr>
                  <w:tcW w:w="2764" w:type="pct"/>
                  <w:gridSpan w:val="2"/>
                  <w:tcBorders>
                    <w:left w:val="single" w:color="auto" w:sz="4" w:space="0"/>
                    <w:right w:val="single" w:color="auto" w:sz="4" w:space="0"/>
                  </w:tcBorders>
                  <w:noWrap w:val="0"/>
                  <w:vAlign w:val="center"/>
                </w:tcPr>
                <w:p w14:paraId="73F007C8">
                  <w:pPr>
                    <w:keepNext w:val="0"/>
                    <w:keepLines w:val="0"/>
                    <w:pageBreakBefore w:val="0"/>
                    <w:widowControl w:val="0"/>
                    <w:numPr>
                      <w:ilvl w:val="0"/>
                      <w:numId w:val="0"/>
                    </w:numPr>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第五条  新建、扩建有色金属冶炼、电镀、铅蓄电池等企业应布设在依法合规设立并经过规划环评的产业园区。</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0200F751">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项目</w:t>
                  </w:r>
                  <w:r>
                    <w:rPr>
                      <w:rFonts w:hint="eastAsia" w:cs="Times New Roman"/>
                      <w:color w:val="auto"/>
                      <w:sz w:val="18"/>
                      <w:szCs w:val="18"/>
                      <w:lang w:val="en-US" w:eastAsia="zh-CN"/>
                    </w:rPr>
                    <w:t>行业类别为C2929塑料零件及其他塑料制品制造</w:t>
                  </w:r>
                  <w:r>
                    <w:rPr>
                      <w:rFonts w:hint="eastAsia" w:ascii="Times New Roman" w:hAnsi="Times New Roman" w:eastAsia="宋体" w:cs="Times New Roman"/>
                      <w:color w:val="auto"/>
                      <w:sz w:val="18"/>
                      <w:szCs w:val="18"/>
                      <w:lang w:val="en-US" w:eastAsia="zh-CN"/>
                    </w:rPr>
                    <w:t>，不属于有色金属冶炼、电镀、铅蓄电池项目。</w:t>
                  </w:r>
                </w:p>
              </w:tc>
              <w:tc>
                <w:tcPr>
                  <w:tcW w:w="397" w:type="pct"/>
                  <w:tcBorders>
                    <w:left w:val="single" w:color="auto" w:sz="4" w:space="0"/>
                    <w:right w:val="single" w:color="auto" w:sz="4" w:space="0"/>
                  </w:tcBorders>
                  <w:noWrap w:val="0"/>
                  <w:vAlign w:val="center"/>
                </w:tcPr>
                <w:p w14:paraId="0D4D250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符合</w:t>
                  </w:r>
                </w:p>
              </w:tc>
            </w:tr>
            <w:tr w14:paraId="7584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38" w:type="pct"/>
                  <w:vMerge w:val="continue"/>
                  <w:tcBorders>
                    <w:left w:val="single" w:color="auto" w:sz="4" w:space="0"/>
                    <w:right w:val="single" w:color="auto" w:sz="4" w:space="0"/>
                  </w:tcBorders>
                  <w:noWrap w:val="0"/>
                  <w:vAlign w:val="center"/>
                </w:tcPr>
                <w:p w14:paraId="6C8E406E">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eastAsia" w:ascii="Times New Roman" w:hAnsi="Times New Roman" w:eastAsia="宋体" w:cs="Times New Roman"/>
                      <w:color w:val="auto"/>
                      <w:sz w:val="18"/>
                      <w:szCs w:val="18"/>
                      <w:lang w:val="en-US" w:eastAsia="zh-CN"/>
                    </w:rPr>
                  </w:pPr>
                </w:p>
              </w:tc>
              <w:tc>
                <w:tcPr>
                  <w:tcW w:w="407" w:type="pct"/>
                  <w:vMerge w:val="continue"/>
                  <w:tcBorders>
                    <w:left w:val="single" w:color="auto" w:sz="4" w:space="0"/>
                    <w:right w:val="single" w:color="auto" w:sz="4" w:space="0"/>
                  </w:tcBorders>
                  <w:noWrap w:val="0"/>
                  <w:vAlign w:val="center"/>
                </w:tcPr>
                <w:p w14:paraId="3A22A124">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eastAsia" w:ascii="Times New Roman" w:hAnsi="Times New Roman" w:eastAsia="宋体" w:cs="Times New Roman"/>
                      <w:color w:val="auto"/>
                      <w:sz w:val="18"/>
                      <w:szCs w:val="18"/>
                      <w:lang w:val="en-US" w:eastAsia="zh-CN"/>
                    </w:rPr>
                  </w:pPr>
                </w:p>
              </w:tc>
              <w:tc>
                <w:tcPr>
                  <w:tcW w:w="2764" w:type="pct"/>
                  <w:gridSpan w:val="2"/>
                  <w:tcBorders>
                    <w:left w:val="single" w:color="auto" w:sz="4" w:space="0"/>
                    <w:right w:val="single" w:color="auto" w:sz="4" w:space="0"/>
                  </w:tcBorders>
                  <w:noWrap w:val="0"/>
                  <w:vAlign w:val="center"/>
                </w:tcPr>
                <w:p w14:paraId="5AE15627">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第六条  涉及环境防护距离的工业企业或项目应通过选址或调整布局原则上将环境防护距离控制在园区边界或用地红线内，提前合理规划项目地块布置、预防环境风险。</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6C7796D7">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项目不需设置环境防护距离</w:t>
                  </w:r>
                  <w:r>
                    <w:rPr>
                      <w:rFonts w:hint="eastAsia" w:ascii="Times New Roman" w:hAnsi="Times New Roman" w:cs="Times New Roman"/>
                      <w:color w:val="auto"/>
                      <w:sz w:val="18"/>
                      <w:szCs w:val="18"/>
                      <w:lang w:val="en-US" w:eastAsia="zh-CN"/>
                    </w:rPr>
                    <w:t>。</w:t>
                  </w:r>
                </w:p>
              </w:tc>
              <w:tc>
                <w:tcPr>
                  <w:tcW w:w="397" w:type="pct"/>
                  <w:tcBorders>
                    <w:left w:val="single" w:color="auto" w:sz="4" w:space="0"/>
                    <w:right w:val="single" w:color="auto" w:sz="4" w:space="0"/>
                  </w:tcBorders>
                  <w:noWrap w:val="0"/>
                  <w:vAlign w:val="center"/>
                </w:tcPr>
                <w:p w14:paraId="6316C454">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符合</w:t>
                  </w:r>
                </w:p>
              </w:tc>
            </w:tr>
            <w:tr w14:paraId="0361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38" w:type="pct"/>
                  <w:vMerge w:val="continue"/>
                  <w:tcBorders>
                    <w:left w:val="single" w:color="auto" w:sz="4" w:space="0"/>
                    <w:bottom w:val="single" w:color="auto" w:sz="4" w:space="0"/>
                    <w:right w:val="single" w:color="auto" w:sz="4" w:space="0"/>
                  </w:tcBorders>
                  <w:noWrap w:val="0"/>
                  <w:vAlign w:val="center"/>
                </w:tcPr>
                <w:p w14:paraId="6D712566">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eastAsia" w:ascii="Times New Roman" w:hAnsi="Times New Roman" w:eastAsia="宋体" w:cs="Times New Roman"/>
                      <w:color w:val="auto"/>
                      <w:sz w:val="18"/>
                      <w:szCs w:val="18"/>
                      <w:lang w:val="en-US" w:eastAsia="zh-CN"/>
                    </w:rPr>
                  </w:pPr>
                </w:p>
              </w:tc>
              <w:tc>
                <w:tcPr>
                  <w:tcW w:w="407" w:type="pct"/>
                  <w:vMerge w:val="continue"/>
                  <w:tcBorders>
                    <w:left w:val="single" w:color="auto" w:sz="4" w:space="0"/>
                    <w:bottom w:val="single" w:color="auto" w:sz="4" w:space="0"/>
                    <w:right w:val="single" w:color="auto" w:sz="4" w:space="0"/>
                  </w:tcBorders>
                  <w:noWrap w:val="0"/>
                  <w:vAlign w:val="center"/>
                </w:tcPr>
                <w:p w14:paraId="40B100F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eastAsia" w:ascii="Times New Roman" w:hAnsi="Times New Roman" w:eastAsia="宋体" w:cs="Times New Roman"/>
                      <w:color w:val="auto"/>
                      <w:sz w:val="18"/>
                      <w:szCs w:val="18"/>
                      <w:lang w:val="en-US" w:eastAsia="zh-CN"/>
                    </w:rPr>
                  </w:pPr>
                </w:p>
              </w:tc>
              <w:tc>
                <w:tcPr>
                  <w:tcW w:w="2764" w:type="pct"/>
                  <w:gridSpan w:val="2"/>
                  <w:tcBorders>
                    <w:left w:val="single" w:color="auto" w:sz="4" w:space="0"/>
                    <w:bottom w:val="single" w:color="auto" w:sz="4" w:space="0"/>
                    <w:right w:val="single" w:color="auto" w:sz="4" w:space="0"/>
                  </w:tcBorders>
                  <w:noWrap w:val="0"/>
                  <w:vAlign w:val="center"/>
                </w:tcPr>
                <w:p w14:paraId="7925B14C">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第七条  有效规范空间开发秩序，合理控制空间开发强度，切实将各类开发活动限制在资源环境承载能力之内，为构建高效协调可持续的国土空间开发格局奠定坚实基础。</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56D44C55">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项目不新建厂房，不会对区域国土空间开发格局产生影响。</w:t>
                  </w:r>
                </w:p>
              </w:tc>
              <w:tc>
                <w:tcPr>
                  <w:tcW w:w="397" w:type="pct"/>
                  <w:tcBorders>
                    <w:left w:val="single" w:color="auto" w:sz="4" w:space="0"/>
                    <w:bottom w:val="single" w:color="auto" w:sz="4" w:space="0"/>
                    <w:right w:val="single" w:color="auto" w:sz="4" w:space="0"/>
                  </w:tcBorders>
                  <w:noWrap w:val="0"/>
                  <w:vAlign w:val="center"/>
                </w:tcPr>
                <w:p w14:paraId="5D2ADAAE">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符合</w:t>
                  </w:r>
                </w:p>
              </w:tc>
            </w:tr>
            <w:tr w14:paraId="0042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3BB12996">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restart"/>
                  <w:tcBorders>
                    <w:top w:val="single" w:color="auto" w:sz="4" w:space="0"/>
                    <w:left w:val="single" w:color="auto" w:sz="4" w:space="0"/>
                    <w:right w:val="single" w:color="auto" w:sz="4" w:space="0"/>
                  </w:tcBorders>
                  <w:noWrap w:val="0"/>
                  <w:vAlign w:val="center"/>
                </w:tcPr>
                <w:p w14:paraId="09C0E53D">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污染物排放管控</w:t>
                  </w: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4FF6F709">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rPr>
                    <w:t>第八条  新建石化、煤化工、燃煤发电（含热电）、钢铁、有色金属冶炼、制浆造纸行业依据区域环境质量改善目标，制定配套区域污染物削减方案，采取有效的污染物区域削减措施，腾出足够的环境容量。严格按照国家及我市有关规定，对钢铁、水泥熟料、平板玻璃、电解铝等行业新建、扩建项目实行产能等量或减量置换。国家或地方已出台超低排放要求</w:t>
                  </w:r>
                  <w:r>
                    <w:rPr>
                      <w:rFonts w:hint="eastAsia" w:ascii="宋体" w:hAnsi="宋体" w:eastAsia="宋体" w:cs="宋体"/>
                      <w:color w:val="auto"/>
                      <w:sz w:val="18"/>
                      <w:szCs w:val="18"/>
                      <w:lang w:val="en-US"/>
                    </w:rPr>
                    <w:t>的</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lang w:val="en-US"/>
                    </w:rPr>
                    <w:t>两高</w:t>
                  </w:r>
                  <w:r>
                    <w:rPr>
                      <w:rFonts w:hint="eastAsia" w:ascii="宋体" w:hAnsi="宋体" w:eastAsia="宋体" w:cs="宋体"/>
                      <w:color w:val="auto"/>
                      <w:sz w:val="18"/>
                      <w:szCs w:val="18"/>
                      <w:lang w:val="en-US" w:eastAsia="zh-CN"/>
                    </w:rPr>
                    <w:t>”</w:t>
                  </w:r>
                  <w:r>
                    <w:rPr>
                      <w:rFonts w:hint="default" w:ascii="Times New Roman" w:hAnsi="Times New Roman" w:eastAsia="宋体" w:cs="Times New Roman"/>
                      <w:color w:val="auto"/>
                      <w:sz w:val="18"/>
                      <w:szCs w:val="18"/>
                      <w:lang w:val="en-US"/>
                    </w:rPr>
                    <w:t>行业建设项目应满足超低排放要求。加强水泥和平板玻璃行业差别化管理，新改扩建项目严格落实相关产业政策要求，满足能效标杆水平、环保绩效A级指标要求。</w:t>
                  </w:r>
                </w:p>
              </w:tc>
              <w:tc>
                <w:tcPr>
                  <w:tcW w:w="991" w:type="pct"/>
                  <w:tcBorders>
                    <w:top w:val="single" w:color="auto" w:sz="4" w:space="0"/>
                    <w:left w:val="single" w:color="auto" w:sz="4" w:space="0"/>
                    <w:right w:val="single" w:color="auto" w:sz="4" w:space="0"/>
                  </w:tcBorders>
                  <w:noWrap w:val="0"/>
                  <w:vAlign w:val="center"/>
                </w:tcPr>
                <w:p w14:paraId="4F2FFD1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项目</w:t>
                  </w:r>
                  <w:r>
                    <w:rPr>
                      <w:rFonts w:hint="eastAsia" w:cs="Times New Roman"/>
                      <w:color w:val="auto"/>
                      <w:sz w:val="18"/>
                      <w:szCs w:val="18"/>
                      <w:lang w:val="en-US" w:eastAsia="zh-CN"/>
                    </w:rPr>
                    <w:t>行业类别为C2929塑料零件及其他塑料制品制造</w:t>
                  </w:r>
                  <w:r>
                    <w:rPr>
                      <w:rFonts w:hint="default" w:ascii="Times New Roman" w:hAnsi="Times New Roman" w:eastAsia="宋体" w:cs="Times New Roman"/>
                      <w:color w:val="auto"/>
                      <w:sz w:val="18"/>
                      <w:szCs w:val="18"/>
                      <w:lang w:val="en-US" w:eastAsia="zh-CN"/>
                    </w:rPr>
                    <w:t>，</w:t>
                  </w:r>
                  <w:r>
                    <w:rPr>
                      <w:rFonts w:hint="eastAsia" w:ascii="Times New Roman" w:hAnsi="Times New Roman" w:cs="Times New Roman"/>
                      <w:color w:val="auto"/>
                      <w:sz w:val="18"/>
                      <w:szCs w:val="18"/>
                      <w:lang w:val="en-US" w:eastAsia="zh-CN"/>
                    </w:rPr>
                    <w:t>不属于石化、煤化工、燃煤发电（含热电）、钢铁、有色金属冶炼、制浆造纸行业，也不属于钢铁、水泥熟料、平板玻璃、电解铝等行业和“两高”行业。</w:t>
                  </w:r>
                </w:p>
              </w:tc>
              <w:tc>
                <w:tcPr>
                  <w:tcW w:w="397" w:type="pct"/>
                  <w:tcBorders>
                    <w:top w:val="single" w:color="auto" w:sz="4" w:space="0"/>
                    <w:left w:val="single" w:color="auto" w:sz="4" w:space="0"/>
                    <w:right w:val="single" w:color="auto" w:sz="4" w:space="0"/>
                  </w:tcBorders>
                  <w:noWrap w:val="0"/>
                  <w:vAlign w:val="center"/>
                </w:tcPr>
                <w:p w14:paraId="199B8786">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符合</w:t>
                  </w:r>
                </w:p>
              </w:tc>
            </w:tr>
            <w:tr w14:paraId="501F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4B1C962E">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color w:val="auto"/>
                      <w:sz w:val="18"/>
                      <w:szCs w:val="18"/>
                    </w:rPr>
                  </w:pPr>
                </w:p>
              </w:tc>
              <w:tc>
                <w:tcPr>
                  <w:tcW w:w="407" w:type="pct"/>
                  <w:vMerge w:val="continue"/>
                  <w:tcBorders>
                    <w:left w:val="single" w:color="auto" w:sz="4" w:space="0"/>
                    <w:right w:val="single" w:color="auto" w:sz="4" w:space="0"/>
                  </w:tcBorders>
                  <w:noWrap w:val="0"/>
                  <w:vAlign w:val="center"/>
                </w:tcPr>
                <w:p w14:paraId="0FF90847">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color w:val="auto"/>
                      <w:sz w:val="18"/>
                      <w:szCs w:val="18"/>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31D6A4CE">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rPr>
                    <w:t>第九条  严格落实国家及我市大气污染防控相关要求，对大气环境质量未达标地区，新建、改扩建项目实施更严格的污染物排放总量控制要求。严格落实区域削减要求，所在区域、流域控制单元环境质量未达到国家或者地方环境质量标准的，建设项目需提出有效的区域削减方案，主要污染物实行区域倍量削减。</w:t>
                  </w:r>
                </w:p>
              </w:tc>
              <w:tc>
                <w:tcPr>
                  <w:tcW w:w="991" w:type="pct"/>
                  <w:tcBorders>
                    <w:left w:val="single" w:color="auto" w:sz="4" w:space="0"/>
                    <w:right w:val="single" w:color="auto" w:sz="4" w:space="0"/>
                  </w:tcBorders>
                  <w:noWrap w:val="0"/>
                  <w:vAlign w:val="center"/>
                </w:tcPr>
                <w:p w14:paraId="7555003C">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项目位于重庆市合川区，属于环境空气质量不达标区，但已制定区域达标规划，主要污染物排放按要求实施区域总量控制。</w:t>
                  </w:r>
                </w:p>
              </w:tc>
              <w:tc>
                <w:tcPr>
                  <w:tcW w:w="397" w:type="pct"/>
                  <w:tcBorders>
                    <w:left w:val="single" w:color="auto" w:sz="4" w:space="0"/>
                    <w:right w:val="single" w:color="auto" w:sz="4" w:space="0"/>
                  </w:tcBorders>
                  <w:noWrap w:val="0"/>
                  <w:vAlign w:val="center"/>
                </w:tcPr>
                <w:p w14:paraId="5A8E19DE">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符合</w:t>
                  </w:r>
                </w:p>
              </w:tc>
            </w:tr>
            <w:tr w14:paraId="563D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07BE20CD">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rPr>
                  </w:pPr>
                </w:p>
              </w:tc>
              <w:tc>
                <w:tcPr>
                  <w:tcW w:w="407" w:type="pct"/>
                  <w:vMerge w:val="continue"/>
                  <w:tcBorders>
                    <w:left w:val="single" w:color="auto" w:sz="4" w:space="0"/>
                    <w:right w:val="single" w:color="auto" w:sz="4" w:space="0"/>
                  </w:tcBorders>
                  <w:noWrap w:val="0"/>
                  <w:vAlign w:val="center"/>
                </w:tcPr>
                <w:p w14:paraId="219556A7">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39CA8FCC">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rPr>
                    <w:t>第十条  在重点行业（石化、化工、工业涂装、包装印刷、油品储运销等）推进挥发性有机物综合治理，推动低挥发性有机物原辅材料和产品源头替代，推广使用低挥发性有机物含量产品，推动纳入政府绿色采购名录。有条件的工业集聚区建设集中喷涂工程中心，配备高效治污设施，替代企业独立喷涂工序，对涉及喷漆、喷粉、印刷等废气进行集中处理。</w:t>
                  </w:r>
                </w:p>
              </w:tc>
              <w:tc>
                <w:tcPr>
                  <w:tcW w:w="991" w:type="pct"/>
                  <w:tcBorders>
                    <w:left w:val="single" w:color="auto" w:sz="4" w:space="0"/>
                    <w:right w:val="single" w:color="auto" w:sz="4" w:space="0"/>
                  </w:tcBorders>
                  <w:noWrap w:val="0"/>
                  <w:vAlign w:val="center"/>
                </w:tcPr>
                <w:p w14:paraId="04858113">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项目</w:t>
                  </w:r>
                  <w:r>
                    <w:rPr>
                      <w:rFonts w:hint="eastAsia" w:ascii="Times New Roman" w:hAnsi="Times New Roman" w:cs="Times New Roman"/>
                      <w:color w:val="auto"/>
                      <w:sz w:val="18"/>
                      <w:szCs w:val="18"/>
                      <w:lang w:val="en-US" w:eastAsia="zh-CN"/>
                    </w:rPr>
                    <w:t>不属于石化、化工、工业涂装、包装印刷、油品储运销等行业，生产过程中不涉及喷漆、喷粉、印刷等工序。</w:t>
                  </w:r>
                </w:p>
              </w:tc>
              <w:tc>
                <w:tcPr>
                  <w:tcW w:w="397" w:type="pct"/>
                  <w:tcBorders>
                    <w:left w:val="single" w:color="auto" w:sz="4" w:space="0"/>
                    <w:right w:val="single" w:color="auto" w:sz="4" w:space="0"/>
                  </w:tcBorders>
                  <w:noWrap w:val="0"/>
                  <w:vAlign w:val="center"/>
                </w:tcPr>
                <w:p w14:paraId="0F6F147D">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符合</w:t>
                  </w:r>
                </w:p>
              </w:tc>
            </w:tr>
            <w:tr w14:paraId="32AB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6A024475">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rPr>
                  </w:pPr>
                </w:p>
              </w:tc>
              <w:tc>
                <w:tcPr>
                  <w:tcW w:w="407" w:type="pct"/>
                  <w:vMerge w:val="continue"/>
                  <w:tcBorders>
                    <w:left w:val="single" w:color="auto" w:sz="4" w:space="0"/>
                    <w:right w:val="single" w:color="auto" w:sz="4" w:space="0"/>
                  </w:tcBorders>
                  <w:noWrap w:val="0"/>
                  <w:vAlign w:val="center"/>
                </w:tcPr>
                <w:p w14:paraId="675D7F94">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687A9E6A">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rPr>
                    <w:t>第十一条  工业集聚区应当按照有关规定配套建设相应的污水集中处理设施，安装自动监测设备，工业集聚区内的企业向污水集中处理设施排放工业废水的，应当按照国家有关规定进行预处理，达到集中处理设施处理工艺要求后方可排放。</w:t>
                  </w:r>
                </w:p>
              </w:tc>
              <w:tc>
                <w:tcPr>
                  <w:tcW w:w="991" w:type="pct"/>
                  <w:tcBorders>
                    <w:left w:val="single" w:color="auto" w:sz="4" w:space="0"/>
                    <w:right w:val="single" w:color="auto" w:sz="4" w:space="0"/>
                  </w:tcBorders>
                  <w:noWrap w:val="0"/>
                  <w:vAlign w:val="center"/>
                </w:tcPr>
                <w:p w14:paraId="2EE6601D">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项目排放的废水经</w:t>
                  </w:r>
                  <w:r>
                    <w:rPr>
                      <w:rFonts w:hint="eastAsia" w:cs="Times New Roman"/>
                      <w:color w:val="auto"/>
                      <w:sz w:val="18"/>
                      <w:szCs w:val="18"/>
                      <w:lang w:val="en-US" w:eastAsia="zh-CN"/>
                    </w:rPr>
                    <w:t>重庆三花门业现有生化池</w:t>
                  </w:r>
                  <w:r>
                    <w:rPr>
                      <w:rFonts w:hint="eastAsia" w:ascii="Times New Roman" w:hAnsi="Times New Roman" w:cs="Times New Roman"/>
                      <w:color w:val="auto"/>
                      <w:sz w:val="18"/>
                      <w:szCs w:val="18"/>
                      <w:lang w:val="en-US" w:eastAsia="zh-CN"/>
                    </w:rPr>
                    <w:t>处理达标后排入南溪组团A区污水处理厂处理后达标排放。</w:t>
                  </w:r>
                </w:p>
              </w:tc>
              <w:tc>
                <w:tcPr>
                  <w:tcW w:w="397" w:type="pct"/>
                  <w:tcBorders>
                    <w:left w:val="single" w:color="auto" w:sz="4" w:space="0"/>
                    <w:right w:val="single" w:color="auto" w:sz="4" w:space="0"/>
                  </w:tcBorders>
                  <w:noWrap w:val="0"/>
                  <w:vAlign w:val="center"/>
                </w:tcPr>
                <w:p w14:paraId="402A3D73">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符合</w:t>
                  </w:r>
                </w:p>
              </w:tc>
            </w:tr>
            <w:tr w14:paraId="768B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561A2994">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rPr>
                  </w:pPr>
                </w:p>
              </w:tc>
              <w:tc>
                <w:tcPr>
                  <w:tcW w:w="407" w:type="pct"/>
                  <w:vMerge w:val="continue"/>
                  <w:tcBorders>
                    <w:left w:val="single" w:color="auto" w:sz="4" w:space="0"/>
                    <w:right w:val="single" w:color="auto" w:sz="4" w:space="0"/>
                  </w:tcBorders>
                  <w:noWrap w:val="0"/>
                  <w:vAlign w:val="center"/>
                </w:tcPr>
                <w:p w14:paraId="2B298EE5">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615776E6">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rPr>
                    <w:t>第十三条  新、改、扩建重点行业</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lang w:val="en-US"/>
                    </w:rPr>
                    <w:t>重有色金属矿采选业（铜、铅锌、镍钴、锡、锑和汞矿采选）、重有色金属冶炼业（铜、铅锌、镍钴、锡、锑和汞冶炼）、铅蓄电池制造业、皮革鞣制加工业、化学原料及化学制品制造业（电石法聚氯乙烯制造、铬盐制造、以工业固废为原料的锌无机化合物工业等）、电镀行业</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lang w:val="en-US"/>
                    </w:rPr>
                    <w:t>重点重金属污染物排放执行</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lang w:val="en-US"/>
                    </w:rPr>
                    <w:t>等量替代</w:t>
                  </w:r>
                  <w:r>
                    <w:rPr>
                      <w:rFonts w:hint="eastAsia" w:ascii="宋体" w:hAnsi="宋体" w:eastAsia="宋体" w:cs="宋体"/>
                      <w:color w:val="auto"/>
                      <w:sz w:val="18"/>
                      <w:szCs w:val="18"/>
                      <w:lang w:val="en-US" w:eastAsia="zh-CN"/>
                    </w:rPr>
                    <w:t>”</w:t>
                  </w:r>
                  <w:r>
                    <w:rPr>
                      <w:rFonts w:hint="default" w:ascii="Times New Roman" w:hAnsi="Times New Roman" w:eastAsia="宋体" w:cs="Times New Roman"/>
                      <w:color w:val="auto"/>
                      <w:sz w:val="18"/>
                      <w:szCs w:val="18"/>
                      <w:lang w:val="en-US"/>
                    </w:rPr>
                    <w:t>原则。</w:t>
                  </w:r>
                </w:p>
              </w:tc>
              <w:tc>
                <w:tcPr>
                  <w:tcW w:w="991" w:type="pct"/>
                  <w:tcBorders>
                    <w:left w:val="single" w:color="auto" w:sz="4" w:space="0"/>
                    <w:right w:val="single" w:color="auto" w:sz="4" w:space="0"/>
                  </w:tcBorders>
                  <w:noWrap w:val="0"/>
                  <w:vAlign w:val="center"/>
                </w:tcPr>
                <w:p w14:paraId="7FB3A48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项目</w:t>
                  </w:r>
                  <w:r>
                    <w:rPr>
                      <w:rFonts w:hint="eastAsia" w:cs="Times New Roman"/>
                      <w:color w:val="auto"/>
                      <w:sz w:val="18"/>
                      <w:szCs w:val="18"/>
                      <w:lang w:val="en-US" w:eastAsia="zh-CN"/>
                    </w:rPr>
                    <w:t>行业类别为C2929塑料零件及其他塑料制品制造</w:t>
                  </w:r>
                  <w:r>
                    <w:rPr>
                      <w:rFonts w:hint="eastAsia" w:ascii="Times New Roman" w:hAnsi="Times New Roman" w:cs="Times New Roman"/>
                      <w:color w:val="auto"/>
                      <w:sz w:val="18"/>
                      <w:szCs w:val="18"/>
                      <w:lang w:val="en-US" w:eastAsia="zh-CN"/>
                    </w:rPr>
                    <w:t>，不属于</w:t>
                  </w:r>
                  <w:r>
                    <w:rPr>
                      <w:rFonts w:hint="eastAsia" w:cs="Times New Roman"/>
                      <w:color w:val="auto"/>
                      <w:sz w:val="18"/>
                      <w:szCs w:val="18"/>
                      <w:lang w:val="en-US" w:eastAsia="zh-CN"/>
                    </w:rPr>
                    <w:t>上述</w:t>
                  </w:r>
                  <w:r>
                    <w:rPr>
                      <w:rFonts w:hint="eastAsia" w:ascii="Times New Roman" w:hAnsi="Times New Roman" w:cs="Times New Roman"/>
                      <w:color w:val="auto"/>
                      <w:sz w:val="18"/>
                      <w:szCs w:val="18"/>
                      <w:lang w:val="en-US" w:eastAsia="zh-CN"/>
                    </w:rPr>
                    <w:t>项目。</w:t>
                  </w:r>
                </w:p>
              </w:tc>
              <w:tc>
                <w:tcPr>
                  <w:tcW w:w="397" w:type="pct"/>
                  <w:tcBorders>
                    <w:left w:val="single" w:color="auto" w:sz="4" w:space="0"/>
                    <w:right w:val="single" w:color="auto" w:sz="4" w:space="0"/>
                  </w:tcBorders>
                  <w:noWrap w:val="0"/>
                  <w:vAlign w:val="center"/>
                </w:tcPr>
                <w:p w14:paraId="4B48008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符合</w:t>
                  </w:r>
                </w:p>
              </w:tc>
            </w:tr>
            <w:tr w14:paraId="37D5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08634FD7">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rPr>
                  </w:pPr>
                </w:p>
              </w:tc>
              <w:tc>
                <w:tcPr>
                  <w:tcW w:w="407" w:type="pct"/>
                  <w:vMerge w:val="continue"/>
                  <w:tcBorders>
                    <w:left w:val="single" w:color="auto" w:sz="4" w:space="0"/>
                    <w:right w:val="single" w:color="auto" w:sz="4" w:space="0"/>
                  </w:tcBorders>
                  <w:noWrap w:val="0"/>
                  <w:vAlign w:val="center"/>
                </w:tcPr>
                <w:p w14:paraId="635B8F05">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19BF1109">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rPr>
                    <w:t>第十四条  固体废物污染环境防治坚持减量化、资源化和无害化的原则。产生工业固体废物的单位应当建立健全工业固体废物产生、收集、贮存、运输、利用、处置全过程的污染环境防治责任制度，建立工业固体废物管理台账。</w:t>
                  </w:r>
                </w:p>
              </w:tc>
              <w:tc>
                <w:tcPr>
                  <w:tcW w:w="991" w:type="pct"/>
                  <w:tcBorders>
                    <w:left w:val="single" w:color="auto" w:sz="4" w:space="0"/>
                    <w:right w:val="single" w:color="auto" w:sz="4" w:space="0"/>
                  </w:tcBorders>
                  <w:noWrap w:val="0"/>
                  <w:vAlign w:val="center"/>
                </w:tcPr>
                <w:p w14:paraId="297EB7B7">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项目运营期针对固体废物产生、收集、贮存、运输、利用、处置全过程建立污染环境防治责任制度，建立工业固体废物管理台账</w:t>
                  </w:r>
                  <w:r>
                    <w:rPr>
                      <w:rFonts w:hint="eastAsia" w:ascii="Times New Roman" w:hAnsi="Times New Roman" w:cs="Times New Roman"/>
                      <w:color w:val="auto"/>
                      <w:sz w:val="18"/>
                      <w:szCs w:val="18"/>
                      <w:lang w:val="en-US" w:eastAsia="zh-CN"/>
                    </w:rPr>
                    <w:t>。</w:t>
                  </w:r>
                </w:p>
              </w:tc>
              <w:tc>
                <w:tcPr>
                  <w:tcW w:w="397" w:type="pct"/>
                  <w:tcBorders>
                    <w:left w:val="single" w:color="auto" w:sz="4" w:space="0"/>
                    <w:right w:val="single" w:color="auto" w:sz="4" w:space="0"/>
                  </w:tcBorders>
                  <w:noWrap w:val="0"/>
                  <w:vAlign w:val="center"/>
                </w:tcPr>
                <w:p w14:paraId="2C37884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符合</w:t>
                  </w:r>
                </w:p>
              </w:tc>
            </w:tr>
            <w:tr w14:paraId="7C91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38" w:type="pct"/>
                  <w:vMerge w:val="continue"/>
                  <w:tcBorders>
                    <w:left w:val="single" w:color="auto" w:sz="4" w:space="0"/>
                    <w:bottom w:val="single" w:color="auto" w:sz="4" w:space="0"/>
                    <w:right w:val="single" w:color="auto" w:sz="4" w:space="0"/>
                  </w:tcBorders>
                  <w:noWrap w:val="0"/>
                  <w:vAlign w:val="center"/>
                </w:tcPr>
                <w:p w14:paraId="3876941B">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rPr>
                  </w:pPr>
                </w:p>
              </w:tc>
              <w:tc>
                <w:tcPr>
                  <w:tcW w:w="407" w:type="pct"/>
                  <w:vMerge w:val="continue"/>
                  <w:tcBorders>
                    <w:left w:val="single" w:color="auto" w:sz="4" w:space="0"/>
                    <w:bottom w:val="single" w:color="auto" w:sz="4" w:space="0"/>
                    <w:right w:val="single" w:color="auto" w:sz="4" w:space="0"/>
                  </w:tcBorders>
                  <w:noWrap w:val="0"/>
                  <w:vAlign w:val="center"/>
                </w:tcPr>
                <w:p w14:paraId="6BC9BC4C">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7D3394BF">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rPr>
                    <w:t>第十五条  建设分类投放、分类收集、分类运输、分类处理的生活垃圾处理系统。合理布局生活垃圾分类收集站点，完善分类运输系统，加快补齐分类收集转运设施能力短板。强化</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lang w:val="en-US"/>
                    </w:rPr>
                    <w:t>无废城市</w:t>
                  </w:r>
                  <w:r>
                    <w:rPr>
                      <w:rFonts w:hint="eastAsia" w:ascii="宋体" w:hAnsi="宋体" w:eastAsia="宋体" w:cs="宋体"/>
                      <w:color w:val="auto"/>
                      <w:sz w:val="18"/>
                      <w:szCs w:val="18"/>
                      <w:lang w:val="en-US" w:eastAsia="zh-CN"/>
                    </w:rPr>
                    <w:t>”</w:t>
                  </w:r>
                  <w:r>
                    <w:rPr>
                      <w:rFonts w:hint="default" w:ascii="Times New Roman" w:hAnsi="Times New Roman" w:eastAsia="宋体" w:cs="Times New Roman"/>
                      <w:color w:val="auto"/>
                      <w:sz w:val="18"/>
                      <w:szCs w:val="18"/>
                      <w:lang w:val="en-US"/>
                    </w:rPr>
                    <w:t>制度、技术、市场、监管、全民行</w:t>
                  </w:r>
                  <w:r>
                    <w:rPr>
                      <w:rFonts w:hint="eastAsia" w:ascii="宋体" w:hAnsi="宋体" w:eastAsia="宋体" w:cs="宋体"/>
                      <w:color w:val="auto"/>
                      <w:sz w:val="18"/>
                      <w:szCs w:val="18"/>
                      <w:lang w:val="en-US"/>
                    </w:rPr>
                    <w:t>动</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lang w:val="en-US"/>
                    </w:rPr>
                    <w:t>五大体系</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lang w:val="en-US"/>
                    </w:rPr>
                    <w:t>建</w:t>
                  </w:r>
                  <w:r>
                    <w:rPr>
                      <w:rFonts w:hint="default" w:ascii="Times New Roman" w:hAnsi="Times New Roman" w:eastAsia="宋体" w:cs="Times New Roman"/>
                      <w:color w:val="auto"/>
                      <w:sz w:val="18"/>
                      <w:szCs w:val="18"/>
                      <w:lang w:val="en-US"/>
                    </w:rPr>
                    <w:t>设，推进城市固体废物精细化管理。</w:t>
                  </w:r>
                </w:p>
              </w:tc>
              <w:tc>
                <w:tcPr>
                  <w:tcW w:w="991" w:type="pct"/>
                  <w:tcBorders>
                    <w:left w:val="single" w:color="auto" w:sz="4" w:space="0"/>
                    <w:bottom w:val="single" w:color="auto" w:sz="4" w:space="0"/>
                    <w:right w:val="single" w:color="auto" w:sz="4" w:space="0"/>
                  </w:tcBorders>
                  <w:noWrap w:val="0"/>
                  <w:vAlign w:val="center"/>
                </w:tcPr>
                <w:p w14:paraId="28DA9D1D">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项目生活垃圾经收集后交由园区环卫部门处理。</w:t>
                  </w:r>
                </w:p>
              </w:tc>
              <w:tc>
                <w:tcPr>
                  <w:tcW w:w="397" w:type="pct"/>
                  <w:tcBorders>
                    <w:left w:val="single" w:color="auto" w:sz="4" w:space="0"/>
                    <w:bottom w:val="single" w:color="auto" w:sz="4" w:space="0"/>
                    <w:right w:val="single" w:color="auto" w:sz="4" w:space="0"/>
                  </w:tcBorders>
                  <w:noWrap w:val="0"/>
                  <w:vAlign w:val="center"/>
                </w:tcPr>
                <w:p w14:paraId="16E97C6E">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符合</w:t>
                  </w:r>
                </w:p>
              </w:tc>
            </w:tr>
            <w:tr w14:paraId="384D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14A9D512">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restart"/>
                  <w:tcBorders>
                    <w:top w:val="single" w:color="auto" w:sz="4" w:space="0"/>
                    <w:left w:val="single" w:color="auto" w:sz="4" w:space="0"/>
                    <w:right w:val="single" w:color="auto" w:sz="4" w:space="0"/>
                  </w:tcBorders>
                  <w:noWrap w:val="0"/>
                  <w:vAlign w:val="center"/>
                </w:tcPr>
                <w:p w14:paraId="107C5FA8">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环境风险防控</w:t>
                  </w:r>
                </w:p>
              </w:tc>
              <w:tc>
                <w:tcPr>
                  <w:tcW w:w="4505" w:type="dxa"/>
                  <w:gridSpan w:val="2"/>
                  <w:tcBorders>
                    <w:top w:val="single" w:color="auto" w:sz="4" w:space="0"/>
                    <w:left w:val="single" w:color="auto" w:sz="4" w:space="0"/>
                    <w:bottom w:val="single" w:color="auto" w:sz="4" w:space="0"/>
                    <w:right w:val="single" w:color="auto" w:sz="4" w:space="0"/>
                  </w:tcBorders>
                  <w:noWrap w:val="0"/>
                  <w:vAlign w:val="center"/>
                </w:tcPr>
                <w:p w14:paraId="74E7B81A">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rPr>
                    <w:t>第十六条  深入开展行政区域、重点流域、重点饮用水源、化工园区等突发环境事件风险评估，建立区域突发环境事件风险评估数据信息获取与动态更新机制。落实企业突发环境事件风险评估制度，推进突发环境事件风险分类分级管理，严格监管重大突发环境事件风险企业。</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BB79AE6">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园区已完成</w:t>
                  </w:r>
                  <w:r>
                    <w:rPr>
                      <w:rFonts w:hint="default" w:ascii="Times New Roman" w:hAnsi="Times New Roman" w:eastAsia="宋体" w:cs="Times New Roman"/>
                      <w:color w:val="auto"/>
                      <w:sz w:val="18"/>
                      <w:szCs w:val="18"/>
                      <w:lang w:val="en-US"/>
                    </w:rPr>
                    <w:t>突发环境事件风险评估</w:t>
                  </w:r>
                  <w:r>
                    <w:rPr>
                      <w:rFonts w:hint="eastAsia" w:cs="Times New Roman"/>
                      <w:color w:val="auto"/>
                      <w:sz w:val="18"/>
                      <w:szCs w:val="18"/>
                      <w:lang w:val="en-US" w:eastAsia="zh-CN"/>
                    </w:rPr>
                    <w:t>，建立了</w:t>
                  </w:r>
                  <w:r>
                    <w:rPr>
                      <w:rFonts w:hint="default" w:ascii="Times New Roman" w:hAnsi="Times New Roman" w:eastAsia="宋体" w:cs="Times New Roman"/>
                      <w:color w:val="auto"/>
                      <w:sz w:val="18"/>
                      <w:szCs w:val="18"/>
                      <w:lang w:val="en-US"/>
                    </w:rPr>
                    <w:t>区域突发环境事件风险评估数据信息获取与动态更新机制</w:t>
                  </w:r>
                  <w:r>
                    <w:rPr>
                      <w:rFonts w:hint="eastAsia" w:cs="Times New Roman"/>
                      <w:color w:val="auto"/>
                      <w:sz w:val="18"/>
                      <w:szCs w:val="18"/>
                      <w:lang w:val="en-US" w:eastAsia="zh-CN"/>
                    </w:rPr>
                    <w:t>，企业将按要求</w:t>
                  </w:r>
                  <w:r>
                    <w:rPr>
                      <w:rFonts w:hint="default" w:ascii="Times New Roman" w:hAnsi="Times New Roman" w:eastAsia="宋体" w:cs="Times New Roman"/>
                      <w:color w:val="auto"/>
                      <w:sz w:val="18"/>
                      <w:szCs w:val="18"/>
                      <w:lang w:val="en-US"/>
                    </w:rPr>
                    <w:t>落实企业突发环境事件风险评估制度，</w:t>
                  </w:r>
                  <w:r>
                    <w:rPr>
                      <w:rFonts w:hint="eastAsia" w:cs="Times New Roman"/>
                      <w:color w:val="auto"/>
                      <w:sz w:val="18"/>
                      <w:szCs w:val="18"/>
                      <w:lang w:val="en-US" w:eastAsia="zh-CN"/>
                    </w:rPr>
                    <w:t>并</w:t>
                  </w:r>
                  <w:r>
                    <w:rPr>
                      <w:rFonts w:hint="default" w:ascii="Times New Roman" w:hAnsi="Times New Roman" w:eastAsia="宋体" w:cs="Times New Roman"/>
                      <w:color w:val="auto"/>
                      <w:sz w:val="18"/>
                      <w:szCs w:val="18"/>
                      <w:lang w:val="en-US"/>
                    </w:rPr>
                    <w:t>推进突发环境事件风险分类分级管理</w:t>
                  </w:r>
                  <w:r>
                    <w:rPr>
                      <w:rFonts w:hint="eastAsia" w:cs="Times New Roman"/>
                      <w:color w:val="auto"/>
                      <w:sz w:val="18"/>
                      <w:szCs w:val="18"/>
                      <w:lang w:val="en-US" w:eastAsia="zh-CN"/>
                    </w:rPr>
                    <w:t>。</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1DE7D825">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符合</w:t>
                  </w:r>
                </w:p>
              </w:tc>
            </w:tr>
            <w:tr w14:paraId="4306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38" w:type="pct"/>
                  <w:vMerge w:val="continue"/>
                  <w:tcBorders>
                    <w:left w:val="single" w:color="auto" w:sz="4" w:space="0"/>
                    <w:bottom w:val="single" w:color="auto" w:sz="4" w:space="0"/>
                    <w:right w:val="single" w:color="auto" w:sz="4" w:space="0"/>
                  </w:tcBorders>
                  <w:noWrap w:val="0"/>
                  <w:vAlign w:val="center"/>
                </w:tcPr>
                <w:p w14:paraId="01FAF141">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color w:val="auto"/>
                      <w:sz w:val="18"/>
                      <w:szCs w:val="18"/>
                    </w:rPr>
                  </w:pPr>
                </w:p>
              </w:tc>
              <w:tc>
                <w:tcPr>
                  <w:tcW w:w="407" w:type="pct"/>
                  <w:vMerge w:val="continue"/>
                  <w:tcBorders>
                    <w:left w:val="single" w:color="auto" w:sz="4" w:space="0"/>
                    <w:bottom w:val="single" w:color="auto" w:sz="4" w:space="0"/>
                    <w:right w:val="single" w:color="auto" w:sz="4" w:space="0"/>
                  </w:tcBorders>
                  <w:noWrap w:val="0"/>
                  <w:vAlign w:val="center"/>
                </w:tcPr>
                <w:p w14:paraId="471DCFE2">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color w:val="auto"/>
                      <w:sz w:val="18"/>
                      <w:szCs w:val="18"/>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2A9B19C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第十七条  强化化工园区涉水突发环境事件四级环境风险防范体系建设。持续推进重点化工园区（化工集中区）建设有毒有害气体监测预警体系和水质生物毒性预警体系。</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3EDE3796">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项目将严格落实好各类风险防范制度及措施。</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0E88D6EB">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符合</w:t>
                  </w:r>
                </w:p>
              </w:tc>
            </w:tr>
            <w:tr w14:paraId="7A16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02F45FE0">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restart"/>
                  <w:tcBorders>
                    <w:top w:val="single" w:color="auto" w:sz="4" w:space="0"/>
                    <w:left w:val="single" w:color="auto" w:sz="4" w:space="0"/>
                    <w:right w:val="single" w:color="auto" w:sz="4" w:space="0"/>
                  </w:tcBorders>
                  <w:noWrap w:val="0"/>
                  <w:vAlign w:val="center"/>
                </w:tcPr>
                <w:p w14:paraId="424B14BE">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资源开发利用效率</w:t>
                  </w: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79C336EE">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rPr>
                    <w:t>第十八条  实施能源领域碳达峰碳中和行动，科学有序推动能源生产消费方式绿色低碳变革。实施可再生能源替代，减少化石能源消费。加强产业布局和能</w:t>
                  </w:r>
                  <w:r>
                    <w:rPr>
                      <w:rFonts w:hint="eastAsia" w:ascii="宋体" w:hAnsi="宋体" w:eastAsia="宋体" w:cs="宋体"/>
                      <w:color w:val="auto"/>
                      <w:sz w:val="18"/>
                      <w:szCs w:val="18"/>
                      <w:lang w:val="en-US"/>
                    </w:rPr>
                    <w:t>耗</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lang w:val="en-US"/>
                    </w:rPr>
                    <w:t>双控</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lang w:val="en-US"/>
                    </w:rPr>
                    <w:t>政</w:t>
                  </w:r>
                  <w:r>
                    <w:rPr>
                      <w:rFonts w:hint="default" w:ascii="Times New Roman" w:hAnsi="Times New Roman" w:eastAsia="宋体" w:cs="Times New Roman"/>
                      <w:color w:val="auto"/>
                      <w:sz w:val="18"/>
                      <w:szCs w:val="18"/>
                      <w:lang w:val="en-US"/>
                    </w:rPr>
                    <w:t>策衔接，促进重点用能领域用能结构优化和能效提升。</w:t>
                  </w:r>
                </w:p>
              </w:tc>
              <w:tc>
                <w:tcPr>
                  <w:tcW w:w="991" w:type="pct"/>
                  <w:vMerge w:val="restart"/>
                  <w:tcBorders>
                    <w:top w:val="single" w:color="auto" w:sz="4" w:space="0"/>
                    <w:left w:val="single" w:color="auto" w:sz="4" w:space="0"/>
                    <w:right w:val="single" w:color="auto" w:sz="4" w:space="0"/>
                  </w:tcBorders>
                  <w:noWrap w:val="0"/>
                  <w:vAlign w:val="center"/>
                </w:tcPr>
                <w:p w14:paraId="76E6AB7D">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sz w:val="18"/>
                      <w:szCs w:val="18"/>
                      <w:lang w:val="en-US" w:eastAsia="zh-CN"/>
                    </w:rPr>
                    <w:t>项目使用电</w:t>
                  </w:r>
                  <w:r>
                    <w:rPr>
                      <w:rFonts w:hint="eastAsia" w:ascii="Times New Roman" w:hAnsi="Times New Roman" w:cs="Times New Roman"/>
                      <w:color w:val="auto"/>
                      <w:sz w:val="18"/>
                      <w:szCs w:val="18"/>
                      <w:lang w:val="en-US" w:eastAsia="zh-CN"/>
                    </w:rPr>
                    <w:t>能</w:t>
                  </w:r>
                  <w:r>
                    <w:rPr>
                      <w:rFonts w:hint="default" w:ascii="Times New Roman" w:hAnsi="Times New Roman" w:eastAsia="宋体" w:cs="Times New Roman"/>
                      <w:color w:val="auto"/>
                      <w:sz w:val="18"/>
                      <w:szCs w:val="18"/>
                      <w:lang w:val="en-US" w:eastAsia="zh-CN"/>
                    </w:rPr>
                    <w:t>等清洁能源</w:t>
                  </w:r>
                  <w:r>
                    <w:rPr>
                      <w:rFonts w:hint="eastAsia" w:ascii="Times New Roman" w:hAnsi="Times New Roman" w:cs="Times New Roman"/>
                      <w:color w:val="auto"/>
                      <w:sz w:val="18"/>
                      <w:szCs w:val="18"/>
                      <w:lang w:val="en-US" w:eastAsia="zh-CN"/>
                    </w:rPr>
                    <w:t>。</w:t>
                  </w:r>
                </w:p>
              </w:tc>
              <w:tc>
                <w:tcPr>
                  <w:tcW w:w="397" w:type="pct"/>
                  <w:vMerge w:val="restart"/>
                  <w:tcBorders>
                    <w:top w:val="single" w:color="auto" w:sz="4" w:space="0"/>
                    <w:left w:val="single" w:color="auto" w:sz="4" w:space="0"/>
                    <w:right w:val="single" w:color="auto" w:sz="4" w:space="0"/>
                  </w:tcBorders>
                  <w:noWrap w:val="0"/>
                  <w:vAlign w:val="center"/>
                </w:tcPr>
                <w:p w14:paraId="235744E5">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符合</w:t>
                  </w:r>
                </w:p>
              </w:tc>
            </w:tr>
            <w:tr w14:paraId="3337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5FF6C5E8">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color w:val="auto"/>
                      <w:sz w:val="18"/>
                      <w:szCs w:val="18"/>
                    </w:rPr>
                  </w:pPr>
                </w:p>
              </w:tc>
              <w:tc>
                <w:tcPr>
                  <w:tcW w:w="407" w:type="pct"/>
                  <w:vMerge w:val="continue"/>
                  <w:tcBorders>
                    <w:left w:val="single" w:color="auto" w:sz="4" w:space="0"/>
                    <w:right w:val="single" w:color="auto" w:sz="4" w:space="0"/>
                  </w:tcBorders>
                  <w:noWrap w:val="0"/>
                  <w:vAlign w:val="center"/>
                </w:tcPr>
                <w:p w14:paraId="62751D9D">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color w:val="auto"/>
                      <w:sz w:val="18"/>
                      <w:szCs w:val="18"/>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7A420E01">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第十九条  鼓励企业对标能耗限额标准先进值或国际先进水平，加快主要产品工艺升级与绿色化改造，推动工业窑炉、锅炉、电机、压缩机、泵、变压器等重点用能设备系统节能改造。推动现有企业、园区生产过程清洁化转型，精准提升市场主体绿色低碳水平，引导绿色园区低碳发展。</w:t>
                  </w:r>
                </w:p>
              </w:tc>
              <w:tc>
                <w:tcPr>
                  <w:tcW w:w="991" w:type="pct"/>
                  <w:vMerge w:val="continue"/>
                  <w:tcBorders>
                    <w:left w:val="single" w:color="auto" w:sz="4" w:space="0"/>
                    <w:bottom w:val="single" w:color="auto" w:sz="4" w:space="0"/>
                    <w:right w:val="single" w:color="auto" w:sz="4" w:space="0"/>
                  </w:tcBorders>
                  <w:noWrap w:val="0"/>
                  <w:vAlign w:val="center"/>
                </w:tcPr>
                <w:p w14:paraId="18FD88FC">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0"/>
                      <w:sz w:val="18"/>
                      <w:szCs w:val="18"/>
                      <w:lang w:val="en-US" w:eastAsia="zh-CN" w:bidi="ar"/>
                    </w:rPr>
                  </w:pPr>
                </w:p>
              </w:tc>
              <w:tc>
                <w:tcPr>
                  <w:tcW w:w="397" w:type="pct"/>
                  <w:vMerge w:val="continue"/>
                  <w:tcBorders>
                    <w:left w:val="single" w:color="auto" w:sz="4" w:space="0"/>
                    <w:bottom w:val="single" w:color="auto" w:sz="4" w:space="0"/>
                    <w:right w:val="single" w:color="auto" w:sz="4" w:space="0"/>
                  </w:tcBorders>
                  <w:noWrap w:val="0"/>
                  <w:vAlign w:val="center"/>
                </w:tcPr>
                <w:p w14:paraId="3191427A">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0"/>
                      <w:sz w:val="18"/>
                      <w:szCs w:val="18"/>
                      <w:lang w:val="en-US" w:eastAsia="zh-CN" w:bidi="ar"/>
                    </w:rPr>
                  </w:pPr>
                </w:p>
              </w:tc>
            </w:tr>
            <w:tr w14:paraId="2C60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4CCF3F5C">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0"/>
                      <w:sz w:val="18"/>
                      <w:szCs w:val="18"/>
                      <w:lang w:val="en-US" w:eastAsia="zh-CN" w:bidi="ar"/>
                    </w:rPr>
                  </w:pPr>
                </w:p>
              </w:tc>
              <w:tc>
                <w:tcPr>
                  <w:tcW w:w="407" w:type="pct"/>
                  <w:vMerge w:val="continue"/>
                  <w:tcBorders>
                    <w:left w:val="single" w:color="auto" w:sz="4" w:space="0"/>
                    <w:right w:val="single" w:color="auto" w:sz="4" w:space="0"/>
                  </w:tcBorders>
                  <w:noWrap w:val="0"/>
                  <w:vAlign w:val="center"/>
                </w:tcPr>
                <w:p w14:paraId="6F3681A6">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0"/>
                      <w:sz w:val="18"/>
                      <w:szCs w:val="18"/>
                      <w:lang w:val="en-US" w:eastAsia="zh-CN" w:bidi="ar"/>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2D341841">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第二十条  新建、扩建</w:t>
                  </w:r>
                  <w:r>
                    <w:rPr>
                      <w:rFonts w:hint="eastAsia" w:ascii="宋体" w:hAnsi="宋体" w:eastAsia="宋体" w:cs="宋体"/>
                      <w:color w:val="auto"/>
                      <w:kern w:val="0"/>
                      <w:sz w:val="18"/>
                      <w:szCs w:val="18"/>
                      <w:lang w:val="en-US" w:eastAsia="zh-CN" w:bidi="ar"/>
                    </w:rPr>
                    <w:t>“两高”项</w:t>
                  </w:r>
                  <w:r>
                    <w:rPr>
                      <w:rFonts w:hint="default" w:ascii="Times New Roman" w:hAnsi="Times New Roman" w:eastAsia="宋体" w:cs="Times New Roman"/>
                      <w:color w:val="auto"/>
                      <w:kern w:val="0"/>
                      <w:sz w:val="18"/>
                      <w:szCs w:val="18"/>
                      <w:lang w:val="en-US" w:eastAsia="zh-CN" w:bidi="ar"/>
                    </w:rPr>
                    <w:t>目应采用先进适用的工艺技术和装备，单位产品物耗、能耗、水耗等达到清洁生产先进水平。</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628A1AAB">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0"/>
                      <w:sz w:val="18"/>
                      <w:szCs w:val="18"/>
                      <w:lang w:val="en-US" w:eastAsia="zh-CN" w:bidi="ar"/>
                    </w:rPr>
                  </w:pPr>
                  <w:r>
                    <w:rPr>
                      <w:rFonts w:hint="eastAsia" w:ascii="Times New Roman" w:hAnsi="Times New Roman" w:cs="Times New Roman"/>
                      <w:color w:val="auto"/>
                      <w:kern w:val="0"/>
                      <w:sz w:val="18"/>
                      <w:szCs w:val="18"/>
                      <w:lang w:val="en-US" w:eastAsia="zh-CN" w:bidi="ar"/>
                    </w:rPr>
                    <w:t>项目不属于“两高”项目</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222A2666">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0"/>
                      <w:sz w:val="18"/>
                      <w:szCs w:val="18"/>
                      <w:lang w:val="en-US" w:eastAsia="zh-CN" w:bidi="ar"/>
                    </w:rPr>
                  </w:pPr>
                  <w:r>
                    <w:rPr>
                      <w:rFonts w:hint="eastAsia" w:ascii="Times New Roman" w:hAnsi="Times New Roman" w:cs="Times New Roman"/>
                      <w:color w:val="auto"/>
                      <w:kern w:val="0"/>
                      <w:sz w:val="18"/>
                      <w:szCs w:val="18"/>
                      <w:lang w:val="en-US" w:eastAsia="zh-CN" w:bidi="ar"/>
                    </w:rPr>
                    <w:t>符合</w:t>
                  </w:r>
                </w:p>
              </w:tc>
            </w:tr>
            <w:tr w14:paraId="4943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781DD3E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0"/>
                      <w:sz w:val="18"/>
                      <w:szCs w:val="18"/>
                      <w:lang w:val="en-US" w:eastAsia="zh-CN" w:bidi="ar"/>
                    </w:rPr>
                  </w:pPr>
                </w:p>
              </w:tc>
              <w:tc>
                <w:tcPr>
                  <w:tcW w:w="407" w:type="pct"/>
                  <w:vMerge w:val="continue"/>
                  <w:tcBorders>
                    <w:left w:val="single" w:color="auto" w:sz="4" w:space="0"/>
                    <w:right w:val="single" w:color="auto" w:sz="4" w:space="0"/>
                  </w:tcBorders>
                  <w:noWrap w:val="0"/>
                  <w:vAlign w:val="center"/>
                </w:tcPr>
                <w:p w14:paraId="561ED164">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0"/>
                      <w:sz w:val="18"/>
                      <w:szCs w:val="18"/>
                      <w:lang w:val="en-US" w:eastAsia="zh-CN" w:bidi="ar"/>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38AF1F83">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第二十一条  推进企业内部工业用水循环利用、园区内企业间用水系统集成优化。开展火电、石化、有色金属、造纸、印染等高耗水行业工业废水循环利用示范。根据区域水资源禀赋和行业特点，结合用水总量控制措施，引导区域工业布局和产业结构调整，大力推广工业水循环利用，加快淘汰落后用水工艺和技术。</w:t>
                  </w:r>
                </w:p>
              </w:tc>
              <w:tc>
                <w:tcPr>
                  <w:tcW w:w="991" w:type="pct"/>
                  <w:vMerge w:val="restart"/>
                  <w:tcBorders>
                    <w:top w:val="single" w:color="auto" w:sz="4" w:space="0"/>
                    <w:left w:val="single" w:color="auto" w:sz="4" w:space="0"/>
                    <w:right w:val="single" w:color="auto" w:sz="4" w:space="0"/>
                  </w:tcBorders>
                  <w:noWrap w:val="0"/>
                  <w:vAlign w:val="center"/>
                </w:tcPr>
                <w:p w14:paraId="18524CCA">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eastAsia" w:ascii="Times New Roman" w:hAnsi="Times New Roman" w:eastAsia="宋体" w:cs="Times New Roman"/>
                      <w:color w:val="auto"/>
                      <w:kern w:val="0"/>
                      <w:sz w:val="18"/>
                      <w:szCs w:val="18"/>
                      <w:lang w:val="en-US" w:eastAsia="zh-CN" w:bidi="ar"/>
                    </w:rPr>
                  </w:pPr>
                  <w:r>
                    <w:rPr>
                      <w:rFonts w:hint="eastAsia" w:ascii="Times New Roman" w:hAnsi="Times New Roman" w:cs="Times New Roman"/>
                      <w:color w:val="auto"/>
                      <w:kern w:val="0"/>
                      <w:sz w:val="18"/>
                      <w:szCs w:val="18"/>
                      <w:lang w:val="en-US" w:eastAsia="zh-CN" w:bidi="ar"/>
                    </w:rPr>
                    <w:t>项目不属于高耗水项目，排放的污废水经</w:t>
                  </w:r>
                  <w:r>
                    <w:rPr>
                      <w:rFonts w:hint="eastAsia" w:cs="Times New Roman"/>
                      <w:color w:val="auto"/>
                      <w:kern w:val="0"/>
                      <w:sz w:val="18"/>
                      <w:szCs w:val="18"/>
                      <w:lang w:val="en-US" w:eastAsia="zh-CN" w:bidi="ar"/>
                    </w:rPr>
                    <w:t>重庆三花门业现有生化池</w:t>
                  </w:r>
                  <w:r>
                    <w:rPr>
                      <w:rFonts w:hint="eastAsia" w:ascii="Times New Roman" w:hAnsi="Times New Roman" w:cs="Times New Roman"/>
                      <w:color w:val="auto"/>
                      <w:kern w:val="0"/>
                      <w:sz w:val="18"/>
                      <w:szCs w:val="18"/>
                      <w:lang w:val="en-US" w:eastAsia="zh-CN" w:bidi="ar"/>
                    </w:rPr>
                    <w:t>处理达标后排入南溪组团A区污水处理厂处理后达标排放。</w:t>
                  </w:r>
                </w:p>
              </w:tc>
              <w:tc>
                <w:tcPr>
                  <w:tcW w:w="397" w:type="pct"/>
                  <w:vMerge w:val="restart"/>
                  <w:tcBorders>
                    <w:top w:val="single" w:color="auto" w:sz="4" w:space="0"/>
                    <w:left w:val="single" w:color="auto" w:sz="4" w:space="0"/>
                    <w:right w:val="single" w:color="auto" w:sz="4" w:space="0"/>
                  </w:tcBorders>
                  <w:noWrap w:val="0"/>
                  <w:vAlign w:val="center"/>
                </w:tcPr>
                <w:p w14:paraId="1FC7DA5D">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0"/>
                      <w:sz w:val="18"/>
                      <w:szCs w:val="18"/>
                      <w:lang w:val="en-US" w:eastAsia="zh-CN" w:bidi="ar"/>
                    </w:rPr>
                  </w:pPr>
                  <w:r>
                    <w:rPr>
                      <w:rFonts w:hint="eastAsia" w:ascii="Times New Roman" w:hAnsi="Times New Roman" w:cs="Times New Roman"/>
                      <w:color w:val="auto"/>
                      <w:kern w:val="0"/>
                      <w:sz w:val="18"/>
                      <w:szCs w:val="18"/>
                      <w:lang w:val="en-US" w:eastAsia="zh-CN" w:bidi="ar"/>
                    </w:rPr>
                    <w:t>符合</w:t>
                  </w:r>
                </w:p>
              </w:tc>
            </w:tr>
            <w:tr w14:paraId="313A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5964310A">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0"/>
                      <w:sz w:val="18"/>
                      <w:szCs w:val="18"/>
                      <w:lang w:val="en-US" w:eastAsia="zh-CN" w:bidi="ar"/>
                    </w:rPr>
                  </w:pPr>
                </w:p>
              </w:tc>
              <w:tc>
                <w:tcPr>
                  <w:tcW w:w="407" w:type="pct"/>
                  <w:vMerge w:val="continue"/>
                  <w:tcBorders>
                    <w:left w:val="single" w:color="auto" w:sz="4" w:space="0"/>
                    <w:right w:val="single" w:color="auto" w:sz="4" w:space="0"/>
                  </w:tcBorders>
                  <w:noWrap w:val="0"/>
                  <w:vAlign w:val="center"/>
                </w:tcPr>
                <w:p w14:paraId="37619D9A">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0"/>
                      <w:sz w:val="18"/>
                      <w:szCs w:val="18"/>
                      <w:lang w:val="en-US" w:eastAsia="zh-CN" w:bidi="ar"/>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77ADE2D4">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0"/>
                      <w:sz w:val="18"/>
                      <w:szCs w:val="18"/>
                      <w:lang w:val="en-US" w:eastAsia="zh-CN" w:bidi="ar"/>
                    </w:rPr>
                  </w:pPr>
                  <w:r>
                    <w:rPr>
                      <w:rFonts w:hint="eastAsia" w:ascii="Times New Roman" w:hAnsi="Times New Roman" w:cs="Times New Roman"/>
                      <w:color w:val="auto"/>
                      <w:kern w:val="0"/>
                      <w:sz w:val="18"/>
                      <w:szCs w:val="18"/>
                      <w:lang w:val="en-US" w:eastAsia="zh-CN" w:bidi="ar"/>
                    </w:rPr>
                    <w:t>第二十二条  加快推进节水配套设施建设，加强再生水、雨水等非常规水多元、梯级和安全利用，逐年提高非常规水利用比例。结合现有污水处理设施提标升级扩能改造，系统规划城镇污水再生利用设施。</w:t>
                  </w:r>
                </w:p>
              </w:tc>
              <w:tc>
                <w:tcPr>
                  <w:tcW w:w="991" w:type="pct"/>
                  <w:vMerge w:val="continue"/>
                  <w:tcBorders>
                    <w:left w:val="single" w:color="auto" w:sz="4" w:space="0"/>
                    <w:bottom w:val="single" w:color="auto" w:sz="4" w:space="0"/>
                    <w:right w:val="single" w:color="auto" w:sz="4" w:space="0"/>
                  </w:tcBorders>
                  <w:noWrap w:val="0"/>
                  <w:vAlign w:val="center"/>
                </w:tcPr>
                <w:p w14:paraId="2F05D5C4">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0"/>
                      <w:sz w:val="18"/>
                      <w:szCs w:val="18"/>
                      <w:lang w:val="en-US" w:eastAsia="zh-CN" w:bidi="ar"/>
                    </w:rPr>
                  </w:pPr>
                </w:p>
              </w:tc>
              <w:tc>
                <w:tcPr>
                  <w:tcW w:w="397" w:type="pct"/>
                  <w:vMerge w:val="continue"/>
                  <w:tcBorders>
                    <w:left w:val="single" w:color="auto" w:sz="4" w:space="0"/>
                    <w:bottom w:val="single" w:color="auto" w:sz="4" w:space="0"/>
                    <w:right w:val="single" w:color="auto" w:sz="4" w:space="0"/>
                  </w:tcBorders>
                  <w:noWrap w:val="0"/>
                  <w:vAlign w:val="center"/>
                </w:tcPr>
                <w:p w14:paraId="1D9D825D">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0"/>
                      <w:sz w:val="18"/>
                      <w:szCs w:val="18"/>
                      <w:lang w:val="en-US" w:eastAsia="zh-CN" w:bidi="ar"/>
                    </w:rPr>
                  </w:pPr>
                </w:p>
              </w:tc>
            </w:tr>
            <w:tr w14:paraId="33F0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restart"/>
                  <w:tcBorders>
                    <w:top w:val="single" w:color="auto" w:sz="4" w:space="0"/>
                    <w:left w:val="single" w:color="auto" w:sz="4" w:space="0"/>
                    <w:right w:val="single" w:color="auto" w:sz="4" w:space="0"/>
                  </w:tcBorders>
                  <w:noWrap w:val="0"/>
                  <w:vAlign w:val="center"/>
                </w:tcPr>
                <w:p w14:paraId="3950C226">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合川区总体管控要求</w:t>
                  </w:r>
                </w:p>
              </w:tc>
              <w:tc>
                <w:tcPr>
                  <w:tcW w:w="407" w:type="pct"/>
                  <w:vMerge w:val="restart"/>
                  <w:tcBorders>
                    <w:top w:val="single" w:color="auto" w:sz="4" w:space="0"/>
                    <w:left w:val="single" w:color="auto" w:sz="4" w:space="0"/>
                    <w:bottom w:val="single" w:color="auto" w:sz="4" w:space="0"/>
                    <w:right w:val="single" w:color="auto" w:sz="4" w:space="0"/>
                  </w:tcBorders>
                  <w:noWrap w:val="0"/>
                  <w:vAlign w:val="center"/>
                </w:tcPr>
                <w:p w14:paraId="722BE1F5">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空间布局约束</w:t>
                  </w: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7AB43746">
                  <w:pPr>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b/>
                      <w:bCs/>
                      <w:color w:val="auto"/>
                      <w:sz w:val="18"/>
                      <w:szCs w:val="18"/>
                    </w:rPr>
                    <w:t xml:space="preserve">第一条 </w:t>
                  </w:r>
                  <w:r>
                    <w:rPr>
                      <w:rFonts w:hint="default" w:ascii="Times New Roman" w:hAnsi="Times New Roman" w:eastAsia="宋体" w:cs="Times New Roman"/>
                      <w:b w:val="0"/>
                      <w:bCs w:val="0"/>
                      <w:color w:val="auto"/>
                      <w:sz w:val="18"/>
                      <w:szCs w:val="18"/>
                    </w:rPr>
                    <w:t>执行重点管控单元市级总体要求第一条、第二条、第三条、第四条、第五条、第六条和第七条。</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69BE85A9">
                  <w:pPr>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项目满足</w:t>
                  </w:r>
                  <w:r>
                    <w:rPr>
                      <w:rFonts w:hint="eastAsia" w:cs="Times New Roman"/>
                      <w:color w:val="auto"/>
                      <w:sz w:val="18"/>
                      <w:szCs w:val="18"/>
                      <w:lang w:val="en-US" w:eastAsia="zh-CN"/>
                    </w:rPr>
                    <w:t>上述</w:t>
                  </w:r>
                  <w:r>
                    <w:rPr>
                      <w:rFonts w:hint="eastAsia" w:ascii="Times New Roman" w:hAnsi="Times New Roman" w:eastAsia="宋体" w:cs="Times New Roman"/>
                      <w:color w:val="auto"/>
                      <w:sz w:val="18"/>
                      <w:szCs w:val="18"/>
                      <w:lang w:val="en-US" w:eastAsia="zh-CN"/>
                    </w:rPr>
                    <w:t>要求。</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4B73A717">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符合</w:t>
                  </w:r>
                </w:p>
              </w:tc>
            </w:tr>
            <w:tr w14:paraId="5316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left w:val="single" w:color="auto" w:sz="4" w:space="0"/>
                    <w:right w:val="single" w:color="auto" w:sz="4" w:space="0"/>
                  </w:tcBorders>
                  <w:noWrap w:val="0"/>
                  <w:vAlign w:val="center"/>
                </w:tcPr>
                <w:p w14:paraId="0CC6731F">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continue"/>
                  <w:tcBorders>
                    <w:top w:val="single" w:color="auto" w:sz="4" w:space="0"/>
                    <w:left w:val="single" w:color="auto" w:sz="4" w:space="0"/>
                    <w:bottom w:val="single" w:color="auto" w:sz="4" w:space="0"/>
                    <w:right w:val="single" w:color="auto" w:sz="4" w:space="0"/>
                  </w:tcBorders>
                  <w:noWrap w:val="0"/>
                  <w:vAlign w:val="center"/>
                </w:tcPr>
                <w:p w14:paraId="33F17B2D">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226798AA">
                  <w:pPr>
                    <w:spacing w:line="240" w:lineRule="auto"/>
                    <w:ind w:firstLine="0" w:firstLineChars="0"/>
                    <w:jc w:val="left"/>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sz w:val="18"/>
                      <w:szCs w:val="18"/>
                    </w:rPr>
                    <w:t xml:space="preserve">第二条 </w:t>
                  </w:r>
                  <w:r>
                    <w:rPr>
                      <w:rFonts w:hint="default" w:ascii="Times New Roman" w:hAnsi="Times New Roman" w:eastAsia="宋体" w:cs="Times New Roman"/>
                      <w:b w:val="0"/>
                      <w:bCs w:val="0"/>
                      <w:color w:val="auto"/>
                      <w:sz w:val="18"/>
                      <w:szCs w:val="18"/>
                    </w:rPr>
                    <w:t>嘉陵江岸线1公里范围内限制布局新建纸浆制造、印染等存在环境风险的项目。</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43A6FE1C">
                  <w:pPr>
                    <w:spacing w:line="240" w:lineRule="auto"/>
                    <w:ind w:firstLine="0" w:firstLineChars="0"/>
                    <w:jc w:val="left"/>
                    <w:rPr>
                      <w:rFonts w:hint="default" w:ascii="Times New Roman" w:hAnsi="Times New Roman" w:eastAsia="宋体" w:cs="Times New Roman"/>
                      <w:b/>
                      <w:bCs/>
                      <w:color w:val="auto"/>
                      <w:kern w:val="2"/>
                      <w:sz w:val="18"/>
                      <w:szCs w:val="18"/>
                      <w:lang w:val="en-US" w:eastAsia="zh-CN" w:bidi="ar-SA"/>
                    </w:rPr>
                  </w:pPr>
                  <w:r>
                    <w:rPr>
                      <w:rFonts w:hint="eastAsia" w:ascii="Times New Roman" w:hAnsi="Times New Roman" w:cs="Times New Roman"/>
                      <w:color w:val="auto"/>
                      <w:sz w:val="18"/>
                      <w:szCs w:val="18"/>
                      <w:lang w:val="en-US" w:eastAsia="zh-CN"/>
                    </w:rPr>
                    <w:t>项目</w:t>
                  </w:r>
                  <w:r>
                    <w:rPr>
                      <w:rFonts w:hint="eastAsia" w:cs="Times New Roman"/>
                      <w:color w:val="auto"/>
                      <w:sz w:val="18"/>
                      <w:szCs w:val="18"/>
                      <w:lang w:val="en-US" w:eastAsia="zh-CN"/>
                    </w:rPr>
                    <w:t>行业类别为C2929塑料零件及其他塑料制品制造</w:t>
                  </w:r>
                  <w:r>
                    <w:rPr>
                      <w:rFonts w:hint="eastAsia" w:ascii="Times New Roman" w:hAnsi="Times New Roman" w:cs="Times New Roman"/>
                      <w:color w:val="auto"/>
                      <w:sz w:val="18"/>
                      <w:szCs w:val="18"/>
                      <w:lang w:val="en-US" w:eastAsia="zh-CN"/>
                    </w:rPr>
                    <w:t>，不属于纸浆制造、印染等项目</w:t>
                  </w:r>
                  <w:r>
                    <w:rPr>
                      <w:rFonts w:hint="eastAsia" w:ascii="Times New Roman" w:hAnsi="Times New Roman" w:eastAsia="宋体" w:cs="Times New Roman"/>
                      <w:color w:val="auto"/>
                      <w:sz w:val="18"/>
                      <w:szCs w:val="18"/>
                      <w:lang w:val="en-US" w:eastAsia="zh-CN"/>
                    </w:rPr>
                    <w:t>。</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6B4F6B2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
                    </w:rPr>
                    <w:t>符合</w:t>
                  </w:r>
                </w:p>
              </w:tc>
            </w:tr>
            <w:tr w14:paraId="2DA6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38" w:type="pct"/>
                  <w:vMerge w:val="continue"/>
                  <w:tcBorders>
                    <w:left w:val="single" w:color="auto" w:sz="4" w:space="0"/>
                    <w:right w:val="single" w:color="auto" w:sz="4" w:space="0"/>
                  </w:tcBorders>
                  <w:noWrap w:val="0"/>
                  <w:vAlign w:val="center"/>
                </w:tcPr>
                <w:p w14:paraId="18B68CC0">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restart"/>
                  <w:tcBorders>
                    <w:top w:val="single" w:color="auto" w:sz="4" w:space="0"/>
                    <w:left w:val="single" w:color="auto" w:sz="4" w:space="0"/>
                    <w:bottom w:val="single" w:color="auto" w:sz="4" w:space="0"/>
                    <w:right w:val="single" w:color="auto" w:sz="4" w:space="0"/>
                  </w:tcBorders>
                  <w:noWrap w:val="0"/>
                  <w:vAlign w:val="center"/>
                </w:tcPr>
                <w:p w14:paraId="6655539B">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污染物排放管控</w:t>
                  </w: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38AD04E6">
                  <w:pPr>
                    <w:spacing w:line="240" w:lineRule="auto"/>
                    <w:ind w:firstLine="0" w:firstLineChars="0"/>
                    <w:jc w:val="left"/>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sz w:val="18"/>
                      <w:szCs w:val="18"/>
                    </w:rPr>
                    <w:t>第</w:t>
                  </w:r>
                  <w:r>
                    <w:rPr>
                      <w:rFonts w:hint="eastAsia" w:ascii="Times New Roman" w:hAnsi="Times New Roman" w:cs="Times New Roman"/>
                      <w:b/>
                      <w:bCs/>
                      <w:color w:val="auto"/>
                      <w:sz w:val="18"/>
                      <w:szCs w:val="18"/>
                      <w:lang w:eastAsia="zh-CN"/>
                    </w:rPr>
                    <w:t>三</w:t>
                  </w:r>
                  <w:r>
                    <w:rPr>
                      <w:rFonts w:hint="default" w:ascii="Times New Roman" w:hAnsi="Times New Roman" w:eastAsia="宋体" w:cs="Times New Roman"/>
                      <w:b/>
                      <w:bCs/>
                      <w:color w:val="auto"/>
                      <w:sz w:val="18"/>
                      <w:szCs w:val="18"/>
                    </w:rPr>
                    <w:t xml:space="preserve">条 </w:t>
                  </w:r>
                  <w:r>
                    <w:rPr>
                      <w:rFonts w:hint="default" w:ascii="Times New Roman" w:hAnsi="Times New Roman" w:eastAsia="宋体" w:cs="Times New Roman"/>
                      <w:b w:val="0"/>
                      <w:bCs w:val="0"/>
                      <w:color w:val="auto"/>
                      <w:sz w:val="18"/>
                      <w:szCs w:val="18"/>
                    </w:rPr>
                    <w:t>执行重点管控单元市级总体要求第八条、第九条、第十条、第十一条、第十二条、第十三条、第十四条和第十五条。</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26509201">
                  <w:pPr>
                    <w:spacing w:line="240" w:lineRule="auto"/>
                    <w:ind w:left="0" w:leftChars="0" w:right="0" w:rightChars="0" w:firstLine="0" w:firstLineChars="0"/>
                    <w:jc w:val="lef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项目满足</w:t>
                  </w:r>
                  <w:r>
                    <w:rPr>
                      <w:rFonts w:hint="eastAsia" w:cs="Times New Roman"/>
                      <w:color w:val="auto"/>
                      <w:sz w:val="18"/>
                      <w:szCs w:val="18"/>
                      <w:lang w:val="en-US" w:eastAsia="zh-CN"/>
                    </w:rPr>
                    <w:t>上述</w:t>
                  </w:r>
                  <w:r>
                    <w:rPr>
                      <w:rFonts w:hint="eastAsia" w:ascii="Times New Roman" w:hAnsi="Times New Roman" w:eastAsia="宋体" w:cs="Times New Roman"/>
                      <w:color w:val="auto"/>
                      <w:sz w:val="18"/>
                      <w:szCs w:val="18"/>
                      <w:lang w:val="en-US" w:eastAsia="zh-CN"/>
                    </w:rPr>
                    <w:t>要求。</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07D30A1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符合</w:t>
                  </w:r>
                </w:p>
              </w:tc>
            </w:tr>
            <w:tr w14:paraId="4373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38" w:type="pct"/>
                  <w:vMerge w:val="continue"/>
                  <w:tcBorders>
                    <w:left w:val="single" w:color="auto" w:sz="4" w:space="0"/>
                    <w:right w:val="single" w:color="auto" w:sz="4" w:space="0"/>
                  </w:tcBorders>
                  <w:noWrap w:val="0"/>
                  <w:vAlign w:val="center"/>
                </w:tcPr>
                <w:p w14:paraId="53EF0D25">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continue"/>
                  <w:tcBorders>
                    <w:left w:val="single" w:color="auto" w:sz="4" w:space="0"/>
                    <w:right w:val="single" w:color="auto" w:sz="4" w:space="0"/>
                  </w:tcBorders>
                  <w:noWrap w:val="0"/>
                  <w:vAlign w:val="center"/>
                </w:tcPr>
                <w:p w14:paraId="53A2B033">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kern w:val="2"/>
                      <w:sz w:val="18"/>
                      <w:szCs w:val="18"/>
                      <w:lang w:val="en-US" w:eastAsia="zh-CN" w:bidi="ar"/>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3DD5FAF7">
                  <w:pPr>
                    <w:spacing w:line="240" w:lineRule="auto"/>
                    <w:ind w:firstLine="0" w:firstLineChars="0"/>
                    <w:jc w:val="left"/>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sz w:val="18"/>
                      <w:szCs w:val="18"/>
                    </w:rPr>
                    <w:t>第</w:t>
                  </w:r>
                  <w:r>
                    <w:rPr>
                      <w:rFonts w:hint="eastAsia" w:ascii="Times New Roman" w:hAnsi="Times New Roman" w:cs="Times New Roman"/>
                      <w:b/>
                      <w:bCs/>
                      <w:color w:val="auto"/>
                      <w:sz w:val="18"/>
                      <w:szCs w:val="18"/>
                      <w:lang w:eastAsia="zh-CN"/>
                    </w:rPr>
                    <w:t>四</w:t>
                  </w:r>
                  <w:r>
                    <w:rPr>
                      <w:rFonts w:hint="default" w:ascii="Times New Roman" w:hAnsi="Times New Roman" w:eastAsia="宋体" w:cs="Times New Roman"/>
                      <w:b/>
                      <w:bCs/>
                      <w:color w:val="auto"/>
                      <w:sz w:val="18"/>
                      <w:szCs w:val="18"/>
                    </w:rPr>
                    <w:t>条</w:t>
                  </w:r>
                  <w:r>
                    <w:rPr>
                      <w:rFonts w:hint="default" w:ascii="Times New Roman" w:hAnsi="Times New Roman" w:eastAsia="宋体" w:cs="Times New Roman"/>
                      <w:color w:val="auto"/>
                      <w:sz w:val="18"/>
                      <w:szCs w:val="18"/>
                    </w:rPr>
                    <w:t xml:space="preserve"> 持续推进农村人居环境整治，巩固拓展农村厕所革命成果，引导农村新建住房配套建设卫生厕所，推进</w:t>
                  </w:r>
                  <w:r>
                    <w:rPr>
                      <w:rFonts w:hint="default" w:ascii="Times New Roman" w:hAnsi="Times New Roman" w:eastAsia="宋体" w:cs="Times New Roman"/>
                      <w:color w:val="auto"/>
                      <w:sz w:val="18"/>
                      <w:szCs w:val="18"/>
                      <w:lang w:eastAsia="zh-CN"/>
                    </w:rPr>
                    <w:t>人口规模巨大</w:t>
                  </w:r>
                  <w:r>
                    <w:rPr>
                      <w:rFonts w:hint="default" w:ascii="Times New Roman" w:hAnsi="Times New Roman" w:eastAsia="宋体" w:cs="Times New Roman"/>
                      <w:color w:val="auto"/>
                      <w:sz w:val="18"/>
                      <w:szCs w:val="18"/>
                    </w:rPr>
                    <w:t>村庄配套建设公共厕所；强化畜禽粪污资源化利用，加强散养畜禽管理；推进农药化肥减量增效；加强水产养殖污染专项治理，在养殖区内新建、改扩建水产专用养殖场（池）应配套建设养殖尾水治理设施，实现养殖尾水达标排放、循环使用或资源化利用。</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73CF46E6">
                  <w:pPr>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项目不</w:t>
                  </w:r>
                  <w:r>
                    <w:rPr>
                      <w:rFonts w:hint="eastAsia" w:ascii="Times New Roman" w:hAnsi="Times New Roman" w:cs="Times New Roman"/>
                      <w:color w:val="auto"/>
                      <w:kern w:val="2"/>
                      <w:sz w:val="18"/>
                      <w:szCs w:val="18"/>
                      <w:lang w:val="en-US" w:eastAsia="zh-CN" w:bidi="ar-SA"/>
                    </w:rPr>
                    <w:t>涉及</w:t>
                  </w:r>
                  <w:r>
                    <w:rPr>
                      <w:rFonts w:hint="eastAsia" w:ascii="Times New Roman" w:hAnsi="Times New Roman" w:eastAsia="宋体" w:cs="Times New Roman"/>
                      <w:color w:val="auto"/>
                      <w:kern w:val="2"/>
                      <w:sz w:val="18"/>
                      <w:szCs w:val="18"/>
                      <w:lang w:val="en-US" w:eastAsia="zh-CN" w:bidi="ar-SA"/>
                    </w:rPr>
                    <w:t>。</w:t>
                  </w:r>
                </w:p>
              </w:tc>
              <w:tc>
                <w:tcPr>
                  <w:tcW w:w="397" w:type="pct"/>
                  <w:tcBorders>
                    <w:left w:val="single" w:color="auto" w:sz="4" w:space="0"/>
                    <w:right w:val="single" w:color="auto" w:sz="4" w:space="0"/>
                  </w:tcBorders>
                  <w:noWrap w:val="0"/>
                  <w:vAlign w:val="center"/>
                </w:tcPr>
                <w:p w14:paraId="1D67FFE4">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
                    </w:rPr>
                    <w:t>符合</w:t>
                  </w:r>
                </w:p>
              </w:tc>
            </w:tr>
            <w:tr w14:paraId="4E8A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38" w:type="pct"/>
                  <w:vMerge w:val="continue"/>
                  <w:tcBorders>
                    <w:left w:val="single" w:color="auto" w:sz="4" w:space="0"/>
                    <w:right w:val="single" w:color="auto" w:sz="4" w:space="0"/>
                  </w:tcBorders>
                  <w:noWrap w:val="0"/>
                  <w:vAlign w:val="center"/>
                </w:tcPr>
                <w:p w14:paraId="295EA610">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continue"/>
                  <w:tcBorders>
                    <w:left w:val="single" w:color="auto" w:sz="4" w:space="0"/>
                    <w:right w:val="single" w:color="auto" w:sz="4" w:space="0"/>
                  </w:tcBorders>
                  <w:noWrap w:val="0"/>
                  <w:vAlign w:val="center"/>
                </w:tcPr>
                <w:p w14:paraId="4123F31D">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kern w:val="2"/>
                      <w:sz w:val="18"/>
                      <w:szCs w:val="18"/>
                      <w:lang w:val="en-US" w:eastAsia="zh-CN" w:bidi="ar"/>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3B0BCD8C">
                  <w:pPr>
                    <w:spacing w:line="240" w:lineRule="auto"/>
                    <w:ind w:firstLine="0" w:firstLineChars="0"/>
                    <w:jc w:val="left"/>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sz w:val="18"/>
                      <w:szCs w:val="18"/>
                    </w:rPr>
                    <w:t>第</w:t>
                  </w:r>
                  <w:r>
                    <w:rPr>
                      <w:rFonts w:hint="eastAsia" w:ascii="Times New Roman" w:hAnsi="Times New Roman" w:cs="Times New Roman"/>
                      <w:b/>
                      <w:bCs/>
                      <w:color w:val="auto"/>
                      <w:sz w:val="18"/>
                      <w:szCs w:val="18"/>
                      <w:lang w:eastAsia="zh-CN"/>
                    </w:rPr>
                    <w:t>五</w:t>
                  </w:r>
                  <w:r>
                    <w:rPr>
                      <w:rFonts w:hint="default" w:ascii="Times New Roman" w:hAnsi="Times New Roman" w:eastAsia="宋体" w:cs="Times New Roman"/>
                      <w:b/>
                      <w:bCs/>
                      <w:color w:val="auto"/>
                      <w:sz w:val="18"/>
                      <w:szCs w:val="18"/>
                    </w:rPr>
                    <w:t xml:space="preserve">条 </w:t>
                  </w:r>
                  <w:r>
                    <w:rPr>
                      <w:rFonts w:hint="default" w:ascii="Times New Roman" w:hAnsi="Times New Roman" w:eastAsia="宋体" w:cs="Times New Roman"/>
                      <w:color w:val="auto"/>
                      <w:sz w:val="18"/>
                      <w:szCs w:val="18"/>
                    </w:rPr>
                    <w:t>持续推进水泥等高排放重点管控企业超低排放改造；加大新型干法水泥窑、玻璃行业废气深度治理力度，深化烧结砖瓦窑生产企业深度治理，推进烧结砖瓦窑脱硫脱硝除尘改造；新建燃煤机组实施超低排放；燃气锅炉实施低氮改造。</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659AF652">
                  <w:pPr>
                    <w:spacing w:line="240" w:lineRule="auto"/>
                    <w:ind w:firstLine="0" w:firstLineChars="0"/>
                    <w:jc w:val="left"/>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项目</w:t>
                  </w:r>
                  <w:r>
                    <w:rPr>
                      <w:rFonts w:hint="eastAsia" w:cs="Times New Roman"/>
                      <w:color w:val="auto"/>
                      <w:kern w:val="2"/>
                      <w:sz w:val="18"/>
                      <w:szCs w:val="18"/>
                      <w:lang w:val="en-US" w:eastAsia="zh-CN" w:bidi="ar-SA"/>
                    </w:rPr>
                    <w:t>行业类别为C2929塑料零件及其他塑料制品制造</w:t>
                  </w:r>
                  <w:r>
                    <w:rPr>
                      <w:rFonts w:hint="eastAsia" w:ascii="Times New Roman" w:hAnsi="Times New Roman" w:eastAsia="宋体" w:cs="Times New Roman"/>
                      <w:color w:val="auto"/>
                      <w:kern w:val="2"/>
                      <w:sz w:val="18"/>
                      <w:szCs w:val="18"/>
                      <w:lang w:val="en-US" w:eastAsia="zh-CN" w:bidi="ar-SA"/>
                    </w:rPr>
                    <w:t>，</w:t>
                  </w:r>
                  <w:r>
                    <w:rPr>
                      <w:rFonts w:hint="default" w:ascii="Times New Roman" w:hAnsi="Times New Roman" w:eastAsia="宋体" w:cs="Times New Roman"/>
                      <w:color w:val="auto"/>
                      <w:kern w:val="2"/>
                      <w:sz w:val="18"/>
                      <w:szCs w:val="18"/>
                      <w:lang w:val="en-US" w:eastAsia="zh-CN" w:bidi="ar-SA"/>
                    </w:rPr>
                    <w:t>不</w:t>
                  </w:r>
                  <w:r>
                    <w:rPr>
                      <w:rFonts w:hint="eastAsia" w:ascii="Times New Roman" w:hAnsi="Times New Roman" w:cs="Times New Roman"/>
                      <w:color w:val="auto"/>
                      <w:kern w:val="2"/>
                      <w:sz w:val="18"/>
                      <w:szCs w:val="18"/>
                      <w:lang w:val="en-US" w:eastAsia="zh-CN" w:bidi="ar-SA"/>
                    </w:rPr>
                    <w:t>涉及</w:t>
                  </w:r>
                  <w:r>
                    <w:rPr>
                      <w:rFonts w:hint="eastAsia" w:cs="Times New Roman"/>
                      <w:color w:val="auto"/>
                      <w:kern w:val="2"/>
                      <w:sz w:val="18"/>
                      <w:szCs w:val="18"/>
                      <w:lang w:val="en-US" w:eastAsia="zh-CN" w:bidi="ar-SA"/>
                    </w:rPr>
                    <w:t>上述</w:t>
                  </w:r>
                  <w:r>
                    <w:rPr>
                      <w:rFonts w:hint="default" w:ascii="Times New Roman" w:hAnsi="Times New Roman" w:eastAsia="宋体" w:cs="Times New Roman"/>
                      <w:color w:val="auto"/>
                      <w:kern w:val="2"/>
                      <w:sz w:val="18"/>
                      <w:szCs w:val="18"/>
                      <w:lang w:val="en-US" w:eastAsia="zh-CN" w:bidi="ar-SA"/>
                    </w:rPr>
                    <w:t>行业</w:t>
                  </w:r>
                  <w:r>
                    <w:rPr>
                      <w:rFonts w:hint="eastAsia" w:ascii="Times New Roman" w:hAnsi="Times New Roman" w:cs="Times New Roman"/>
                      <w:color w:val="auto"/>
                      <w:kern w:val="2"/>
                      <w:sz w:val="18"/>
                      <w:szCs w:val="18"/>
                      <w:lang w:val="en-US" w:eastAsia="zh-CN" w:bidi="ar-SA"/>
                    </w:rPr>
                    <w:t>，不使用燃煤机组和燃气锅炉</w:t>
                  </w:r>
                  <w:r>
                    <w:rPr>
                      <w:rFonts w:hint="eastAsia" w:ascii="Times New Roman" w:hAnsi="Times New Roman" w:eastAsia="宋体" w:cs="Times New Roman"/>
                      <w:color w:val="auto"/>
                      <w:kern w:val="2"/>
                      <w:sz w:val="18"/>
                      <w:szCs w:val="18"/>
                      <w:lang w:val="en-US" w:eastAsia="zh-CN" w:bidi="ar-SA"/>
                    </w:rPr>
                    <w:t>。</w:t>
                  </w:r>
                </w:p>
              </w:tc>
              <w:tc>
                <w:tcPr>
                  <w:tcW w:w="397" w:type="pct"/>
                  <w:tcBorders>
                    <w:left w:val="single" w:color="auto" w:sz="4" w:space="0"/>
                    <w:right w:val="single" w:color="auto" w:sz="4" w:space="0"/>
                  </w:tcBorders>
                  <w:noWrap w:val="0"/>
                  <w:vAlign w:val="center"/>
                </w:tcPr>
                <w:p w14:paraId="3B99EAD8">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0"/>
                      <w:sz w:val="18"/>
                      <w:szCs w:val="18"/>
                      <w:lang w:val="en-US" w:eastAsia="zh-CN" w:bidi="ar"/>
                    </w:rPr>
                  </w:pPr>
                  <w:r>
                    <w:rPr>
                      <w:rFonts w:hint="eastAsia" w:ascii="Times New Roman" w:hAnsi="Times New Roman" w:cs="Times New Roman"/>
                      <w:color w:val="auto"/>
                      <w:kern w:val="0"/>
                      <w:sz w:val="18"/>
                      <w:szCs w:val="18"/>
                      <w:lang w:val="en-US" w:eastAsia="zh-CN" w:bidi="ar"/>
                    </w:rPr>
                    <w:t>符合</w:t>
                  </w:r>
                </w:p>
              </w:tc>
            </w:tr>
            <w:tr w14:paraId="5091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38" w:type="pct"/>
                  <w:vMerge w:val="continue"/>
                  <w:tcBorders>
                    <w:left w:val="single" w:color="auto" w:sz="4" w:space="0"/>
                    <w:right w:val="single" w:color="auto" w:sz="4" w:space="0"/>
                  </w:tcBorders>
                  <w:noWrap w:val="0"/>
                  <w:vAlign w:val="center"/>
                </w:tcPr>
                <w:p w14:paraId="1019BF7C">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continue"/>
                  <w:tcBorders>
                    <w:left w:val="single" w:color="auto" w:sz="4" w:space="0"/>
                    <w:right w:val="single" w:color="auto" w:sz="4" w:space="0"/>
                  </w:tcBorders>
                  <w:noWrap w:val="0"/>
                  <w:vAlign w:val="center"/>
                </w:tcPr>
                <w:p w14:paraId="7E9C4F9E">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kern w:val="2"/>
                      <w:sz w:val="18"/>
                      <w:szCs w:val="18"/>
                      <w:lang w:val="en-US" w:eastAsia="zh-CN" w:bidi="ar"/>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37A534E7">
                  <w:pPr>
                    <w:spacing w:line="240" w:lineRule="auto"/>
                    <w:ind w:firstLine="0" w:firstLineChars="0"/>
                    <w:jc w:val="left"/>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sz w:val="18"/>
                      <w:szCs w:val="18"/>
                    </w:rPr>
                    <w:t>第</w:t>
                  </w:r>
                  <w:r>
                    <w:rPr>
                      <w:rFonts w:hint="eastAsia" w:ascii="Times New Roman" w:hAnsi="Times New Roman" w:cs="Times New Roman"/>
                      <w:b/>
                      <w:bCs/>
                      <w:color w:val="auto"/>
                      <w:sz w:val="18"/>
                      <w:szCs w:val="18"/>
                      <w:lang w:eastAsia="zh-CN"/>
                    </w:rPr>
                    <w:t>六</w:t>
                  </w:r>
                  <w:r>
                    <w:rPr>
                      <w:rFonts w:hint="default" w:ascii="Times New Roman" w:hAnsi="Times New Roman" w:eastAsia="宋体" w:cs="Times New Roman"/>
                      <w:b/>
                      <w:bCs/>
                      <w:color w:val="auto"/>
                      <w:sz w:val="18"/>
                      <w:szCs w:val="18"/>
                    </w:rPr>
                    <w:t xml:space="preserve">条 </w:t>
                  </w:r>
                  <w:r>
                    <w:rPr>
                      <w:rFonts w:hint="default" w:ascii="Times New Roman" w:hAnsi="Times New Roman" w:eastAsia="宋体" w:cs="Times New Roman"/>
                      <w:b w:val="0"/>
                      <w:bCs w:val="0"/>
                      <w:color w:val="auto"/>
                      <w:sz w:val="18"/>
                      <w:szCs w:val="18"/>
                    </w:rPr>
                    <w:t>严格施工扬尘管理，建筑面积8万平方米以上工地全部安装扬尘在线监测系统并联网。加强道路扬尘控制，强化运渣车辆冒装撒漏监管。推进混凝土搅拌站和非煤矿山物料储运系统密闭化改造。</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08B2BA2B">
                  <w:pPr>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项目不涉及土建施工，不属于混凝土搅拌站和非煤矿山物料项目。</w:t>
                  </w:r>
                </w:p>
              </w:tc>
              <w:tc>
                <w:tcPr>
                  <w:tcW w:w="397" w:type="pct"/>
                  <w:tcBorders>
                    <w:left w:val="single" w:color="auto" w:sz="4" w:space="0"/>
                    <w:right w:val="single" w:color="auto" w:sz="4" w:space="0"/>
                  </w:tcBorders>
                  <w:noWrap w:val="0"/>
                  <w:vAlign w:val="center"/>
                </w:tcPr>
                <w:p w14:paraId="421580E9">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
                    </w:rPr>
                    <w:t>符合</w:t>
                  </w:r>
                </w:p>
              </w:tc>
            </w:tr>
            <w:tr w14:paraId="09CB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38" w:type="pct"/>
                  <w:vMerge w:val="continue"/>
                  <w:tcBorders>
                    <w:left w:val="single" w:color="auto" w:sz="4" w:space="0"/>
                    <w:right w:val="single" w:color="auto" w:sz="4" w:space="0"/>
                  </w:tcBorders>
                  <w:noWrap w:val="0"/>
                  <w:vAlign w:val="center"/>
                </w:tcPr>
                <w:p w14:paraId="2F4C7B03">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continue"/>
                  <w:tcBorders>
                    <w:left w:val="single" w:color="auto" w:sz="4" w:space="0"/>
                    <w:right w:val="single" w:color="auto" w:sz="4" w:space="0"/>
                  </w:tcBorders>
                  <w:noWrap w:val="0"/>
                  <w:vAlign w:val="center"/>
                </w:tcPr>
                <w:p w14:paraId="5B8FDAE9">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kern w:val="2"/>
                      <w:sz w:val="18"/>
                      <w:szCs w:val="18"/>
                      <w:lang w:val="en-US" w:eastAsia="zh-CN" w:bidi="ar"/>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32B395BB">
                  <w:pPr>
                    <w:spacing w:line="240" w:lineRule="auto"/>
                    <w:ind w:firstLine="0" w:firstLineChars="0"/>
                    <w:jc w:val="left"/>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sz w:val="18"/>
                      <w:szCs w:val="18"/>
                    </w:rPr>
                    <w:t>第</w:t>
                  </w:r>
                  <w:r>
                    <w:rPr>
                      <w:rFonts w:hint="eastAsia" w:ascii="Times New Roman" w:hAnsi="Times New Roman" w:cs="Times New Roman"/>
                      <w:b/>
                      <w:bCs/>
                      <w:color w:val="auto"/>
                      <w:sz w:val="18"/>
                      <w:szCs w:val="18"/>
                      <w:lang w:eastAsia="zh-CN"/>
                    </w:rPr>
                    <w:t>七</w:t>
                  </w:r>
                  <w:r>
                    <w:rPr>
                      <w:rFonts w:hint="default" w:ascii="Times New Roman" w:hAnsi="Times New Roman" w:eastAsia="宋体" w:cs="Times New Roman"/>
                      <w:b/>
                      <w:bCs/>
                      <w:color w:val="auto"/>
                      <w:sz w:val="18"/>
                      <w:szCs w:val="18"/>
                    </w:rPr>
                    <w:t xml:space="preserve">条 </w:t>
                  </w:r>
                  <w:r>
                    <w:rPr>
                      <w:rFonts w:hint="default" w:ascii="Times New Roman" w:hAnsi="Times New Roman" w:eastAsia="宋体" w:cs="Times New Roman"/>
                      <w:b w:val="0"/>
                      <w:bCs w:val="0"/>
                      <w:color w:val="auto"/>
                      <w:sz w:val="18"/>
                      <w:szCs w:val="18"/>
                    </w:rPr>
                    <w:t>加快大宗物料优先采用铁路、管道或水路运输，短途接驳优先使用新能源车辆运输；加强船舶和非道路移动机械排气污染防治，提高燃油车船能效标准，健全交通运输装备能效标识制度，加快淘汰高耗能高排放老旧车船。全面实施汽车国六排放标准和非道路移动柴油机械国四排放标准。</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4C0759D4">
                  <w:pPr>
                    <w:spacing w:line="240" w:lineRule="auto"/>
                    <w:ind w:firstLine="0" w:firstLineChars="0"/>
                    <w:jc w:val="left"/>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项目</w:t>
                  </w:r>
                  <w:r>
                    <w:rPr>
                      <w:rFonts w:hint="eastAsia" w:ascii="Times New Roman" w:hAnsi="Times New Roman" w:cs="Times New Roman"/>
                      <w:color w:val="auto"/>
                      <w:sz w:val="18"/>
                      <w:szCs w:val="18"/>
                      <w:lang w:val="en-US" w:eastAsia="zh-CN"/>
                    </w:rPr>
                    <w:t>不涉及</w:t>
                  </w:r>
                  <w:r>
                    <w:rPr>
                      <w:rFonts w:hint="eastAsia" w:ascii="Times New Roman" w:hAnsi="Times New Roman" w:eastAsia="宋体" w:cs="Times New Roman"/>
                      <w:color w:val="auto"/>
                      <w:sz w:val="18"/>
                      <w:szCs w:val="18"/>
                      <w:lang w:val="en-US" w:eastAsia="zh-CN"/>
                    </w:rPr>
                    <w:t>。</w:t>
                  </w:r>
                </w:p>
              </w:tc>
              <w:tc>
                <w:tcPr>
                  <w:tcW w:w="397" w:type="pct"/>
                  <w:tcBorders>
                    <w:left w:val="single" w:color="auto" w:sz="4" w:space="0"/>
                    <w:right w:val="single" w:color="auto" w:sz="4" w:space="0"/>
                  </w:tcBorders>
                  <w:noWrap w:val="0"/>
                  <w:vAlign w:val="center"/>
                </w:tcPr>
                <w:p w14:paraId="34399D72">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
                    </w:rPr>
                    <w:t>符合</w:t>
                  </w:r>
                </w:p>
              </w:tc>
            </w:tr>
            <w:tr w14:paraId="5BCC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38" w:type="pct"/>
                  <w:vMerge w:val="continue"/>
                  <w:tcBorders>
                    <w:left w:val="single" w:color="auto" w:sz="4" w:space="0"/>
                    <w:right w:val="single" w:color="auto" w:sz="4" w:space="0"/>
                  </w:tcBorders>
                  <w:noWrap w:val="0"/>
                  <w:vAlign w:val="center"/>
                </w:tcPr>
                <w:p w14:paraId="3605EED8">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continue"/>
                  <w:tcBorders>
                    <w:left w:val="single" w:color="auto" w:sz="4" w:space="0"/>
                    <w:right w:val="single" w:color="auto" w:sz="4" w:space="0"/>
                  </w:tcBorders>
                  <w:noWrap w:val="0"/>
                  <w:vAlign w:val="center"/>
                </w:tcPr>
                <w:p w14:paraId="7E79DC8A">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kern w:val="2"/>
                      <w:sz w:val="18"/>
                      <w:szCs w:val="18"/>
                      <w:lang w:val="en-US" w:eastAsia="zh-CN" w:bidi="ar"/>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0F1B7F60">
                  <w:pPr>
                    <w:spacing w:line="240" w:lineRule="auto"/>
                    <w:ind w:firstLine="0" w:firstLineChars="0"/>
                    <w:jc w:val="left"/>
                    <w:rPr>
                      <w:rFonts w:hint="eastAsia"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sz w:val="18"/>
                      <w:szCs w:val="18"/>
                    </w:rPr>
                    <w:t>第</w:t>
                  </w:r>
                  <w:r>
                    <w:rPr>
                      <w:rFonts w:hint="eastAsia" w:ascii="Times New Roman" w:hAnsi="Times New Roman" w:cs="Times New Roman"/>
                      <w:b/>
                      <w:bCs/>
                      <w:color w:val="auto"/>
                      <w:sz w:val="18"/>
                      <w:szCs w:val="18"/>
                      <w:lang w:eastAsia="zh-CN"/>
                    </w:rPr>
                    <w:t>八</w:t>
                  </w:r>
                  <w:r>
                    <w:rPr>
                      <w:rFonts w:hint="default" w:ascii="Times New Roman" w:hAnsi="Times New Roman" w:eastAsia="宋体" w:cs="Times New Roman"/>
                      <w:b/>
                      <w:bCs/>
                      <w:color w:val="auto"/>
                      <w:sz w:val="18"/>
                      <w:szCs w:val="18"/>
                    </w:rPr>
                    <w:t xml:space="preserve">条 </w:t>
                  </w:r>
                  <w:r>
                    <w:rPr>
                      <w:rFonts w:hint="eastAsia" w:ascii="Times New Roman" w:hAnsi="Times New Roman" w:cs="Times New Roman"/>
                      <w:b w:val="0"/>
                      <w:bCs w:val="0"/>
                      <w:color w:val="auto"/>
                      <w:sz w:val="18"/>
                      <w:szCs w:val="18"/>
                      <w:lang w:eastAsia="zh-CN"/>
                    </w:rPr>
                    <w:t>推</w:t>
                  </w:r>
                  <w:r>
                    <w:rPr>
                      <w:rFonts w:hint="default" w:ascii="Times New Roman" w:hAnsi="Times New Roman" w:eastAsia="宋体" w:cs="Times New Roman"/>
                      <w:b w:val="0"/>
                      <w:bCs w:val="0"/>
                      <w:color w:val="auto"/>
                      <w:sz w:val="18"/>
                      <w:szCs w:val="18"/>
                      <w:lang w:val="zh-CN"/>
                    </w:rPr>
                    <w:t>动新建小区公共烟道建设油烟集中处置设施，实现居民生活油烟达标排放，减少生活有机溶剂使用，针对建筑装修、汽修喷涂作业、干洗等行业，严格执行有机溶剂VOCS含量限值标准，鼓励使用低毒、低挥发性溶剂</w:t>
                  </w:r>
                  <w:r>
                    <w:rPr>
                      <w:rFonts w:hint="default" w:ascii="Times New Roman" w:hAnsi="Times New Roman" w:eastAsia="宋体" w:cs="Times New Roman"/>
                      <w:b w:val="0"/>
                      <w:bCs w:val="0"/>
                      <w:color w:val="auto"/>
                      <w:sz w:val="18"/>
                      <w:szCs w:val="18"/>
                    </w:rPr>
                    <w:t>。</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375C9445">
                  <w:pPr>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项目</w:t>
                  </w:r>
                  <w:r>
                    <w:rPr>
                      <w:rFonts w:hint="eastAsia" w:ascii="Times New Roman" w:hAnsi="Times New Roman" w:cs="Times New Roman"/>
                      <w:color w:val="auto"/>
                      <w:sz w:val="18"/>
                      <w:szCs w:val="18"/>
                      <w:lang w:val="en-US" w:eastAsia="zh-CN"/>
                    </w:rPr>
                    <w:t>不涉及</w:t>
                  </w:r>
                  <w:r>
                    <w:rPr>
                      <w:rFonts w:hint="eastAsia" w:ascii="Times New Roman" w:hAnsi="Times New Roman" w:eastAsia="宋体" w:cs="Times New Roman"/>
                      <w:color w:val="auto"/>
                      <w:sz w:val="18"/>
                      <w:szCs w:val="18"/>
                      <w:lang w:val="en-US" w:eastAsia="zh-CN"/>
                    </w:rPr>
                    <w:t>。</w:t>
                  </w:r>
                </w:p>
              </w:tc>
              <w:tc>
                <w:tcPr>
                  <w:tcW w:w="397" w:type="pct"/>
                  <w:tcBorders>
                    <w:left w:val="single" w:color="auto" w:sz="4" w:space="0"/>
                    <w:right w:val="single" w:color="auto" w:sz="4" w:space="0"/>
                  </w:tcBorders>
                  <w:noWrap w:val="0"/>
                  <w:vAlign w:val="center"/>
                </w:tcPr>
                <w:p w14:paraId="3E0425E2">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
                    </w:rPr>
                    <w:t>符合</w:t>
                  </w:r>
                </w:p>
              </w:tc>
            </w:tr>
            <w:tr w14:paraId="7C82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left w:val="single" w:color="auto" w:sz="4" w:space="0"/>
                    <w:right w:val="single" w:color="auto" w:sz="4" w:space="0"/>
                  </w:tcBorders>
                  <w:noWrap w:val="0"/>
                  <w:vAlign w:val="center"/>
                </w:tcPr>
                <w:p w14:paraId="66652864">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restart"/>
                  <w:tcBorders>
                    <w:top w:val="single" w:color="auto" w:sz="4" w:space="0"/>
                    <w:left w:val="single" w:color="auto" w:sz="4" w:space="0"/>
                    <w:right w:val="single" w:color="auto" w:sz="4" w:space="0"/>
                  </w:tcBorders>
                  <w:noWrap w:val="0"/>
                  <w:vAlign w:val="center"/>
                </w:tcPr>
                <w:p w14:paraId="4A988999">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环境风险防控</w:t>
                  </w: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7C38C50D">
                  <w:pPr>
                    <w:spacing w:line="240" w:lineRule="auto"/>
                    <w:ind w:firstLine="0" w:firstLineChars="0"/>
                    <w:jc w:val="left"/>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sz w:val="18"/>
                      <w:szCs w:val="18"/>
                    </w:rPr>
                    <w:t>第</w:t>
                  </w:r>
                  <w:r>
                    <w:rPr>
                      <w:rFonts w:hint="eastAsia" w:ascii="Times New Roman" w:hAnsi="Times New Roman" w:cs="Times New Roman"/>
                      <w:b/>
                      <w:bCs/>
                      <w:color w:val="auto"/>
                      <w:sz w:val="18"/>
                      <w:szCs w:val="18"/>
                      <w:lang w:eastAsia="zh-CN"/>
                    </w:rPr>
                    <w:t>九</w:t>
                  </w:r>
                  <w:r>
                    <w:rPr>
                      <w:rFonts w:hint="default" w:ascii="Times New Roman" w:hAnsi="Times New Roman" w:eastAsia="宋体" w:cs="Times New Roman"/>
                      <w:b/>
                      <w:bCs/>
                      <w:color w:val="auto"/>
                      <w:sz w:val="18"/>
                      <w:szCs w:val="18"/>
                    </w:rPr>
                    <w:t xml:space="preserve">条 </w:t>
                  </w:r>
                  <w:r>
                    <w:rPr>
                      <w:rFonts w:hint="default" w:ascii="Times New Roman" w:hAnsi="Times New Roman" w:eastAsia="宋体" w:cs="Times New Roman"/>
                      <w:b w:val="0"/>
                      <w:bCs w:val="0"/>
                      <w:color w:val="auto"/>
                      <w:sz w:val="18"/>
                      <w:szCs w:val="18"/>
                    </w:rPr>
                    <w:t>执行重点管控单元市级总体要求第十六条。</w:t>
                  </w:r>
                </w:p>
              </w:tc>
              <w:tc>
                <w:tcPr>
                  <w:tcW w:w="991" w:type="pct"/>
                  <w:tcBorders>
                    <w:top w:val="single" w:color="auto" w:sz="4" w:space="0"/>
                    <w:left w:val="single" w:color="auto" w:sz="4" w:space="0"/>
                    <w:right w:val="single" w:color="auto" w:sz="4" w:space="0"/>
                  </w:tcBorders>
                  <w:noWrap w:val="0"/>
                  <w:vAlign w:val="center"/>
                </w:tcPr>
                <w:p w14:paraId="18BBC21C">
                  <w:pPr>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项目满足</w:t>
                  </w:r>
                  <w:r>
                    <w:rPr>
                      <w:rFonts w:hint="eastAsia" w:cs="Times New Roman"/>
                      <w:color w:val="auto"/>
                      <w:sz w:val="18"/>
                      <w:szCs w:val="18"/>
                      <w:lang w:val="en-US" w:eastAsia="zh-CN"/>
                    </w:rPr>
                    <w:t>上述</w:t>
                  </w:r>
                  <w:r>
                    <w:rPr>
                      <w:rFonts w:hint="eastAsia" w:ascii="Times New Roman" w:hAnsi="Times New Roman" w:eastAsia="宋体" w:cs="Times New Roman"/>
                      <w:color w:val="auto"/>
                      <w:sz w:val="18"/>
                      <w:szCs w:val="18"/>
                      <w:lang w:val="en-US" w:eastAsia="zh-CN"/>
                    </w:rPr>
                    <w:t>要求。</w:t>
                  </w:r>
                </w:p>
              </w:tc>
              <w:tc>
                <w:tcPr>
                  <w:tcW w:w="397" w:type="pct"/>
                  <w:tcBorders>
                    <w:top w:val="single" w:color="auto" w:sz="4" w:space="0"/>
                    <w:left w:val="single" w:color="auto" w:sz="4" w:space="0"/>
                    <w:right w:val="single" w:color="auto" w:sz="4" w:space="0"/>
                  </w:tcBorders>
                  <w:noWrap w:val="0"/>
                  <w:vAlign w:val="center"/>
                </w:tcPr>
                <w:p w14:paraId="149CA19D">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
                    </w:rPr>
                    <w:t>符合</w:t>
                  </w:r>
                </w:p>
              </w:tc>
            </w:tr>
            <w:tr w14:paraId="4CC0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left w:val="single" w:color="auto" w:sz="4" w:space="0"/>
                    <w:right w:val="single" w:color="auto" w:sz="4" w:space="0"/>
                  </w:tcBorders>
                  <w:noWrap w:val="0"/>
                  <w:vAlign w:val="center"/>
                </w:tcPr>
                <w:p w14:paraId="2D26021B">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continue"/>
                  <w:tcBorders>
                    <w:left w:val="single" w:color="auto" w:sz="4" w:space="0"/>
                    <w:right w:val="single" w:color="auto" w:sz="4" w:space="0"/>
                  </w:tcBorders>
                  <w:noWrap w:val="0"/>
                  <w:vAlign w:val="center"/>
                </w:tcPr>
                <w:p w14:paraId="4391A68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kern w:val="2"/>
                      <w:sz w:val="18"/>
                      <w:szCs w:val="18"/>
                      <w:lang w:val="en-US" w:eastAsia="zh-CN" w:bidi="ar"/>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2F2E7E7A">
                  <w:pPr>
                    <w:spacing w:line="240" w:lineRule="auto"/>
                    <w:ind w:firstLine="0" w:firstLineChars="0"/>
                    <w:jc w:val="left"/>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sz w:val="18"/>
                      <w:szCs w:val="18"/>
                    </w:rPr>
                    <w:t xml:space="preserve">第十条 </w:t>
                  </w:r>
                  <w:r>
                    <w:rPr>
                      <w:rFonts w:hint="default" w:ascii="Times New Roman" w:hAnsi="Times New Roman" w:eastAsia="宋体" w:cs="Times New Roman"/>
                      <w:b w:val="0"/>
                      <w:bCs w:val="0"/>
                      <w:color w:val="auto"/>
                      <w:sz w:val="18"/>
                      <w:szCs w:val="18"/>
                    </w:rPr>
                    <w:t>强化工业园区环境风险管控。完善工业园区现有重大风险源的风险防范体系和应急预案，定期开展应急事故演练，并加强监管；实施技术、工艺、设备等生态化、循环化改造，加快布局分散的企业向园区集中，按要求设置生态隔离带，建设相应的防护工程。强化环境应急队伍建设和物资储备。</w:t>
                  </w:r>
                </w:p>
              </w:tc>
              <w:tc>
                <w:tcPr>
                  <w:tcW w:w="991" w:type="pct"/>
                  <w:tcBorders>
                    <w:top w:val="single" w:color="auto" w:sz="4" w:space="0"/>
                    <w:left w:val="single" w:color="auto" w:sz="4" w:space="0"/>
                    <w:right w:val="single" w:color="auto" w:sz="4" w:space="0"/>
                  </w:tcBorders>
                  <w:noWrap w:val="0"/>
                  <w:vAlign w:val="center"/>
                </w:tcPr>
                <w:p w14:paraId="3AE580DF">
                  <w:pPr>
                    <w:spacing w:line="240" w:lineRule="auto"/>
                    <w:ind w:firstLine="0" w:firstLineChars="0"/>
                    <w:jc w:val="left"/>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项目</w:t>
                  </w:r>
                  <w:r>
                    <w:rPr>
                      <w:rFonts w:hint="eastAsia" w:ascii="Times New Roman" w:hAnsi="Times New Roman" w:eastAsia="宋体" w:cs="Times New Roman"/>
                      <w:color w:val="auto"/>
                      <w:sz w:val="18"/>
                      <w:szCs w:val="18"/>
                      <w:lang w:eastAsia="zh-CN"/>
                    </w:rPr>
                    <w:t>位于合川工业园区南溪组团</w:t>
                  </w:r>
                  <w:r>
                    <w:rPr>
                      <w:rFonts w:hint="eastAsia" w:ascii="Times New Roman" w:hAnsi="Times New Roman" w:eastAsia="宋体" w:cs="Times New Roman"/>
                      <w:color w:val="auto"/>
                      <w:sz w:val="18"/>
                      <w:szCs w:val="18"/>
                      <w:lang w:val="en-US" w:eastAsia="zh-CN"/>
                    </w:rPr>
                    <w:t>A区，园区</w:t>
                  </w:r>
                  <w:r>
                    <w:rPr>
                      <w:rFonts w:hint="default" w:ascii="Times New Roman" w:hAnsi="Times New Roman" w:eastAsia="宋体" w:cs="Times New Roman"/>
                      <w:color w:val="auto"/>
                      <w:sz w:val="18"/>
                      <w:szCs w:val="18"/>
                    </w:rPr>
                    <w:t>已</w:t>
                  </w:r>
                  <w:r>
                    <w:rPr>
                      <w:rFonts w:hint="eastAsia" w:ascii="Times New Roman" w:hAnsi="Times New Roman" w:eastAsia="宋体" w:cs="Times New Roman"/>
                      <w:color w:val="auto"/>
                      <w:sz w:val="18"/>
                      <w:szCs w:val="18"/>
                      <w:lang w:eastAsia="zh-CN"/>
                    </w:rPr>
                    <w:t>完善</w:t>
                  </w:r>
                  <w:r>
                    <w:rPr>
                      <w:rFonts w:hint="default" w:ascii="Times New Roman" w:hAnsi="Times New Roman" w:eastAsia="宋体" w:cs="Times New Roman"/>
                      <w:color w:val="auto"/>
                      <w:sz w:val="18"/>
                      <w:szCs w:val="18"/>
                    </w:rPr>
                    <w:t>风险</w:t>
                  </w:r>
                  <w:r>
                    <w:rPr>
                      <w:rFonts w:hint="eastAsia" w:ascii="Times New Roman" w:hAnsi="Times New Roman" w:eastAsia="宋体" w:cs="Times New Roman"/>
                      <w:color w:val="auto"/>
                      <w:sz w:val="18"/>
                      <w:szCs w:val="18"/>
                      <w:lang w:eastAsia="zh-CN"/>
                    </w:rPr>
                    <w:t>防控</w:t>
                  </w:r>
                  <w:r>
                    <w:rPr>
                      <w:rFonts w:hint="default" w:ascii="Times New Roman" w:hAnsi="Times New Roman" w:eastAsia="宋体" w:cs="Times New Roman"/>
                      <w:color w:val="auto"/>
                      <w:sz w:val="18"/>
                      <w:szCs w:val="18"/>
                    </w:rPr>
                    <w:t>体系和应急预案</w:t>
                  </w:r>
                  <w:r>
                    <w:rPr>
                      <w:rFonts w:hint="eastAsia" w:ascii="Times New Roman" w:hAnsi="Times New Roman" w:eastAsia="宋体" w:cs="Times New Roman"/>
                      <w:color w:val="auto"/>
                      <w:sz w:val="18"/>
                      <w:szCs w:val="18"/>
                      <w:lang w:val="en-US" w:eastAsia="zh-CN"/>
                    </w:rPr>
                    <w:t>。</w:t>
                  </w:r>
                </w:p>
              </w:tc>
              <w:tc>
                <w:tcPr>
                  <w:tcW w:w="397" w:type="pct"/>
                  <w:tcBorders>
                    <w:top w:val="single" w:color="auto" w:sz="4" w:space="0"/>
                    <w:left w:val="single" w:color="auto" w:sz="4" w:space="0"/>
                    <w:right w:val="single" w:color="auto" w:sz="4" w:space="0"/>
                  </w:tcBorders>
                  <w:noWrap w:val="0"/>
                  <w:vAlign w:val="center"/>
                </w:tcPr>
                <w:p w14:paraId="170A511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
                    </w:rPr>
                    <w:t>符合</w:t>
                  </w:r>
                </w:p>
              </w:tc>
            </w:tr>
            <w:tr w14:paraId="21F1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left w:val="single" w:color="auto" w:sz="4" w:space="0"/>
                    <w:right w:val="single" w:color="auto" w:sz="4" w:space="0"/>
                  </w:tcBorders>
                  <w:noWrap w:val="0"/>
                  <w:vAlign w:val="center"/>
                </w:tcPr>
                <w:p w14:paraId="6597C530">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continue"/>
                  <w:tcBorders>
                    <w:left w:val="single" w:color="auto" w:sz="4" w:space="0"/>
                    <w:right w:val="single" w:color="auto" w:sz="4" w:space="0"/>
                  </w:tcBorders>
                  <w:noWrap w:val="0"/>
                  <w:vAlign w:val="center"/>
                </w:tcPr>
                <w:p w14:paraId="6B864680">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kern w:val="2"/>
                      <w:sz w:val="18"/>
                      <w:szCs w:val="18"/>
                      <w:lang w:val="en-US" w:eastAsia="zh-CN" w:bidi="ar"/>
                    </w:rPr>
                  </w:pPr>
                </w:p>
              </w:tc>
              <w:tc>
                <w:tcPr>
                  <w:tcW w:w="4505" w:type="dxa"/>
                  <w:gridSpan w:val="2"/>
                  <w:tcBorders>
                    <w:top w:val="single" w:color="auto" w:sz="4" w:space="0"/>
                    <w:left w:val="single" w:color="auto" w:sz="4" w:space="0"/>
                    <w:bottom w:val="single" w:color="auto" w:sz="4" w:space="0"/>
                    <w:right w:val="single" w:color="auto" w:sz="4" w:space="0"/>
                  </w:tcBorders>
                  <w:noWrap w:val="0"/>
                  <w:vAlign w:val="center"/>
                </w:tcPr>
                <w:p w14:paraId="20763D56">
                  <w:pPr>
                    <w:spacing w:line="240" w:lineRule="auto"/>
                    <w:ind w:firstLine="0" w:firstLineChars="0"/>
                    <w:jc w:val="left"/>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sz w:val="18"/>
                      <w:szCs w:val="18"/>
                    </w:rPr>
                    <w:t>第十</w:t>
                  </w:r>
                  <w:r>
                    <w:rPr>
                      <w:rFonts w:hint="eastAsia" w:ascii="Times New Roman" w:hAnsi="Times New Roman" w:eastAsia="宋体" w:cs="Times New Roman"/>
                      <w:b/>
                      <w:bCs/>
                      <w:color w:val="auto"/>
                      <w:sz w:val="18"/>
                      <w:szCs w:val="18"/>
                      <w:lang w:eastAsia="zh-CN"/>
                    </w:rPr>
                    <w:t>一</w:t>
                  </w:r>
                  <w:r>
                    <w:rPr>
                      <w:rFonts w:hint="default" w:ascii="Times New Roman" w:hAnsi="Times New Roman" w:eastAsia="宋体" w:cs="Times New Roman"/>
                      <w:b/>
                      <w:bCs/>
                      <w:color w:val="auto"/>
                      <w:sz w:val="18"/>
                      <w:szCs w:val="18"/>
                    </w:rPr>
                    <w:t xml:space="preserve">条 </w:t>
                  </w:r>
                  <w:r>
                    <w:rPr>
                      <w:rFonts w:hint="default" w:ascii="Times New Roman" w:hAnsi="Times New Roman" w:eastAsia="宋体" w:cs="Times New Roman"/>
                      <w:b w:val="0"/>
                      <w:bCs w:val="0"/>
                      <w:color w:val="auto"/>
                      <w:sz w:val="18"/>
                      <w:szCs w:val="18"/>
                    </w:rPr>
                    <w:t>工业集聚区内的项目对水环境存在安全隐患的，应当建立车间、工厂和集聚区三级环境风险防范体系。</w:t>
                  </w:r>
                </w:p>
              </w:tc>
              <w:tc>
                <w:tcPr>
                  <w:tcW w:w="1615" w:type="dxa"/>
                  <w:tcBorders>
                    <w:top w:val="single" w:color="auto" w:sz="4" w:space="0"/>
                    <w:left w:val="single" w:color="auto" w:sz="4" w:space="0"/>
                    <w:right w:val="single" w:color="auto" w:sz="4" w:space="0"/>
                  </w:tcBorders>
                  <w:noWrap w:val="0"/>
                  <w:vAlign w:val="center"/>
                </w:tcPr>
                <w:p w14:paraId="644C8FEE">
                  <w:pPr>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本项目环境风险较低，采取了车间风险防控措施，</w:t>
                  </w:r>
                  <w:r>
                    <w:rPr>
                      <w:rFonts w:hint="eastAsia" w:cs="Times New Roman"/>
                      <w:color w:val="auto"/>
                      <w:kern w:val="2"/>
                      <w:sz w:val="18"/>
                      <w:szCs w:val="18"/>
                      <w:lang w:val="en-US" w:eastAsia="zh-CN" w:bidi="ar-SA"/>
                    </w:rPr>
                    <w:t>厂区建立完善的风险管理制度，</w:t>
                  </w:r>
                  <w:r>
                    <w:rPr>
                      <w:rFonts w:hint="default" w:ascii="Times New Roman" w:hAnsi="Times New Roman" w:eastAsia="宋体" w:cs="Times New Roman"/>
                      <w:color w:val="auto"/>
                      <w:kern w:val="2"/>
                      <w:sz w:val="18"/>
                      <w:szCs w:val="18"/>
                      <w:lang w:val="en-US" w:eastAsia="zh-CN" w:bidi="ar-SA"/>
                    </w:rPr>
                    <w:t>同时依托园区风险防控体系</w:t>
                  </w:r>
                  <w:r>
                    <w:rPr>
                      <w:rFonts w:hint="eastAsia" w:cs="Times New Roman"/>
                      <w:color w:val="auto"/>
                      <w:kern w:val="2"/>
                      <w:sz w:val="18"/>
                      <w:szCs w:val="18"/>
                      <w:lang w:val="en-US" w:eastAsia="zh-CN" w:bidi="ar-SA"/>
                    </w:rPr>
                    <w:t>，且本项目危废间、液体物料暂存区采取了托盘、围堰等设施防止风险物质泄漏扩散。</w:t>
                  </w:r>
                </w:p>
              </w:tc>
              <w:tc>
                <w:tcPr>
                  <w:tcW w:w="397" w:type="pct"/>
                  <w:tcBorders>
                    <w:top w:val="single" w:color="auto" w:sz="4" w:space="0"/>
                    <w:left w:val="single" w:color="auto" w:sz="4" w:space="0"/>
                    <w:right w:val="single" w:color="auto" w:sz="4" w:space="0"/>
                  </w:tcBorders>
                  <w:noWrap w:val="0"/>
                  <w:vAlign w:val="center"/>
                </w:tcPr>
                <w:p w14:paraId="2D09E833">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
                    </w:rPr>
                  </w:pPr>
                  <w:r>
                    <w:rPr>
                      <w:rFonts w:hint="eastAsia" w:cs="Times New Roman"/>
                      <w:color w:val="auto"/>
                      <w:kern w:val="2"/>
                      <w:sz w:val="18"/>
                      <w:szCs w:val="18"/>
                      <w:lang w:val="en-US" w:eastAsia="zh-CN" w:bidi="ar"/>
                    </w:rPr>
                    <w:t>符合</w:t>
                  </w:r>
                </w:p>
              </w:tc>
            </w:tr>
            <w:tr w14:paraId="124C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left w:val="single" w:color="auto" w:sz="4" w:space="0"/>
                    <w:right w:val="single" w:color="auto" w:sz="4" w:space="0"/>
                  </w:tcBorders>
                  <w:noWrap w:val="0"/>
                  <w:vAlign w:val="center"/>
                </w:tcPr>
                <w:p w14:paraId="2EAAA9C3">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continue"/>
                  <w:tcBorders>
                    <w:left w:val="single" w:color="auto" w:sz="4" w:space="0"/>
                    <w:right w:val="single" w:color="auto" w:sz="4" w:space="0"/>
                  </w:tcBorders>
                  <w:noWrap w:val="0"/>
                  <w:vAlign w:val="center"/>
                </w:tcPr>
                <w:p w14:paraId="00D396DA">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kern w:val="2"/>
                      <w:sz w:val="18"/>
                      <w:szCs w:val="18"/>
                      <w:lang w:val="en-US" w:eastAsia="zh-CN" w:bidi="ar"/>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66EA9DA6">
                  <w:pPr>
                    <w:spacing w:line="240" w:lineRule="auto"/>
                    <w:ind w:firstLine="0" w:firstLineChars="0"/>
                    <w:jc w:val="left"/>
                    <w:rPr>
                      <w:rFonts w:hint="default" w:ascii="Times New Roman" w:hAnsi="Times New Roman" w:eastAsia="宋体" w:cs="Times New Roman"/>
                      <w:b/>
                      <w:bCs/>
                      <w:color w:val="auto"/>
                      <w:kern w:val="2"/>
                      <w:sz w:val="18"/>
                      <w:szCs w:val="18"/>
                      <w:lang w:val="en-US" w:eastAsia="zh-CN" w:bidi="ar-SA"/>
                    </w:rPr>
                  </w:pPr>
                  <w:r>
                    <w:rPr>
                      <w:rFonts w:hint="default" w:ascii="Times New Roman" w:hAnsi="Times New Roman" w:eastAsia="宋体" w:cs="Times New Roman"/>
                      <w:b/>
                      <w:bCs/>
                      <w:color w:val="auto"/>
                      <w:sz w:val="18"/>
                      <w:szCs w:val="18"/>
                    </w:rPr>
                    <w:t>第十</w:t>
                  </w:r>
                  <w:r>
                    <w:rPr>
                      <w:rFonts w:hint="eastAsia" w:ascii="Times New Roman" w:hAnsi="Times New Roman" w:eastAsia="宋体" w:cs="Times New Roman"/>
                      <w:b/>
                      <w:bCs/>
                      <w:color w:val="auto"/>
                      <w:sz w:val="18"/>
                      <w:szCs w:val="18"/>
                      <w:lang w:eastAsia="zh-CN"/>
                    </w:rPr>
                    <w:t>二</w:t>
                  </w:r>
                  <w:r>
                    <w:rPr>
                      <w:rFonts w:hint="default" w:ascii="Times New Roman" w:hAnsi="Times New Roman" w:eastAsia="宋体" w:cs="Times New Roman"/>
                      <w:b/>
                      <w:bCs/>
                      <w:color w:val="auto"/>
                      <w:sz w:val="18"/>
                      <w:szCs w:val="18"/>
                    </w:rPr>
                    <w:t xml:space="preserve">条 </w:t>
                  </w:r>
                  <w:r>
                    <w:rPr>
                      <w:rFonts w:hint="default" w:ascii="Times New Roman" w:hAnsi="Times New Roman" w:eastAsia="宋体" w:cs="Times New Roman"/>
                      <w:b w:val="0"/>
                      <w:bCs w:val="0"/>
                      <w:color w:val="auto"/>
                      <w:sz w:val="18"/>
                      <w:szCs w:val="18"/>
                    </w:rPr>
                    <w:t>深化区域联防联控机制，进一步健全与遂宁、广安、潼南、铜梁、北碚等地突发环境事件应急响应机制，有效预防和应对跨区域的突发环境风险事件。</w:t>
                  </w:r>
                </w:p>
              </w:tc>
              <w:tc>
                <w:tcPr>
                  <w:tcW w:w="991" w:type="pct"/>
                  <w:tcBorders>
                    <w:left w:val="single" w:color="auto" w:sz="4" w:space="0"/>
                    <w:bottom w:val="single" w:color="auto" w:sz="4" w:space="0"/>
                    <w:right w:val="single" w:color="auto" w:sz="4" w:space="0"/>
                  </w:tcBorders>
                  <w:noWrap w:val="0"/>
                  <w:vAlign w:val="center"/>
                </w:tcPr>
                <w:p w14:paraId="6D2DB2C1">
                  <w:pPr>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项目</w:t>
                  </w:r>
                  <w:r>
                    <w:rPr>
                      <w:rFonts w:hint="eastAsia" w:ascii="Times New Roman" w:hAnsi="Times New Roman" w:eastAsia="宋体" w:cs="Times New Roman"/>
                      <w:color w:val="auto"/>
                      <w:sz w:val="18"/>
                      <w:szCs w:val="18"/>
                      <w:lang w:eastAsia="zh-CN"/>
                    </w:rPr>
                    <w:t>位于合川工业园区南溪组团</w:t>
                  </w:r>
                  <w:r>
                    <w:rPr>
                      <w:rFonts w:hint="eastAsia" w:ascii="Times New Roman" w:hAnsi="Times New Roman" w:eastAsia="宋体" w:cs="Times New Roman"/>
                      <w:color w:val="auto"/>
                      <w:sz w:val="18"/>
                      <w:szCs w:val="18"/>
                      <w:lang w:val="en-US" w:eastAsia="zh-CN"/>
                    </w:rPr>
                    <w:t>A区，园区</w:t>
                  </w:r>
                  <w:r>
                    <w:rPr>
                      <w:rFonts w:hint="default" w:ascii="Times New Roman" w:hAnsi="Times New Roman" w:eastAsia="宋体" w:cs="Times New Roman"/>
                      <w:color w:val="auto"/>
                      <w:sz w:val="18"/>
                      <w:szCs w:val="18"/>
                    </w:rPr>
                    <w:t>已</w:t>
                  </w:r>
                  <w:r>
                    <w:rPr>
                      <w:rFonts w:hint="eastAsia" w:ascii="Times New Roman" w:hAnsi="Times New Roman" w:eastAsia="宋体" w:cs="Times New Roman"/>
                      <w:color w:val="auto"/>
                      <w:sz w:val="18"/>
                      <w:szCs w:val="18"/>
                      <w:lang w:eastAsia="zh-CN"/>
                    </w:rPr>
                    <w:t>完善</w:t>
                  </w:r>
                  <w:r>
                    <w:rPr>
                      <w:rFonts w:hint="default" w:ascii="Times New Roman" w:hAnsi="Times New Roman" w:eastAsia="宋体" w:cs="Times New Roman"/>
                      <w:color w:val="auto"/>
                      <w:sz w:val="18"/>
                      <w:szCs w:val="18"/>
                    </w:rPr>
                    <w:t>风险</w:t>
                  </w:r>
                  <w:r>
                    <w:rPr>
                      <w:rFonts w:hint="eastAsia" w:ascii="Times New Roman" w:hAnsi="Times New Roman" w:eastAsia="宋体" w:cs="Times New Roman"/>
                      <w:color w:val="auto"/>
                      <w:sz w:val="18"/>
                      <w:szCs w:val="18"/>
                      <w:lang w:eastAsia="zh-CN"/>
                    </w:rPr>
                    <w:t>防控</w:t>
                  </w:r>
                  <w:r>
                    <w:rPr>
                      <w:rFonts w:hint="default" w:ascii="Times New Roman" w:hAnsi="Times New Roman" w:eastAsia="宋体" w:cs="Times New Roman"/>
                      <w:color w:val="auto"/>
                      <w:sz w:val="18"/>
                      <w:szCs w:val="18"/>
                    </w:rPr>
                    <w:t>体系</w:t>
                  </w:r>
                  <w:r>
                    <w:rPr>
                      <w:rFonts w:hint="eastAsia" w:ascii="Times New Roman" w:hAnsi="Times New Roman" w:eastAsia="宋体" w:cs="Times New Roman"/>
                      <w:color w:val="auto"/>
                      <w:sz w:val="18"/>
                      <w:szCs w:val="18"/>
                      <w:lang w:val="en-US" w:eastAsia="zh-CN"/>
                    </w:rPr>
                    <w:t>。</w:t>
                  </w:r>
                </w:p>
              </w:tc>
              <w:tc>
                <w:tcPr>
                  <w:tcW w:w="397" w:type="pct"/>
                  <w:tcBorders>
                    <w:left w:val="single" w:color="auto" w:sz="4" w:space="0"/>
                    <w:right w:val="single" w:color="auto" w:sz="4" w:space="0"/>
                  </w:tcBorders>
                  <w:noWrap w:val="0"/>
                  <w:vAlign w:val="center"/>
                </w:tcPr>
                <w:p w14:paraId="69D4C285">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
                    </w:rPr>
                    <w:t>符合</w:t>
                  </w:r>
                </w:p>
              </w:tc>
            </w:tr>
            <w:tr w14:paraId="7D2B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left w:val="single" w:color="auto" w:sz="4" w:space="0"/>
                    <w:right w:val="single" w:color="auto" w:sz="4" w:space="0"/>
                  </w:tcBorders>
                  <w:noWrap w:val="0"/>
                  <w:vAlign w:val="center"/>
                </w:tcPr>
                <w:p w14:paraId="6D005803">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restart"/>
                  <w:tcBorders>
                    <w:left w:val="single" w:color="auto" w:sz="4" w:space="0"/>
                    <w:right w:val="single" w:color="auto" w:sz="4" w:space="0"/>
                  </w:tcBorders>
                  <w:noWrap w:val="0"/>
                  <w:vAlign w:val="center"/>
                </w:tcPr>
                <w:p w14:paraId="4DEDF898">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资源开发利用效率</w:t>
                  </w: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4F27BAC8">
                  <w:pPr>
                    <w:pStyle w:val="26"/>
                    <w:keepNext w:val="0"/>
                    <w:keepLines w:val="0"/>
                    <w:pageBreakBefore w:val="0"/>
                    <w:widowControl/>
                    <w:kinsoku/>
                    <w:wordWrap/>
                    <w:overflowPunct/>
                    <w:topLinePunct w:val="0"/>
                    <w:bidi w:val="0"/>
                    <w:adjustRightInd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b/>
                      <w:bCs/>
                      <w:color w:val="auto"/>
                      <w:sz w:val="18"/>
                      <w:szCs w:val="18"/>
                    </w:rPr>
                    <w:t>第十</w:t>
                  </w:r>
                  <w:r>
                    <w:rPr>
                      <w:rFonts w:hint="eastAsia" w:ascii="Times New Roman" w:hAnsi="Times New Roman" w:cs="Times New Roman"/>
                      <w:b/>
                      <w:bCs/>
                      <w:color w:val="auto"/>
                      <w:sz w:val="18"/>
                      <w:szCs w:val="18"/>
                      <w:lang w:eastAsia="zh-CN"/>
                    </w:rPr>
                    <w:t>三</w:t>
                  </w:r>
                  <w:r>
                    <w:rPr>
                      <w:rFonts w:hint="default" w:ascii="Times New Roman" w:hAnsi="Times New Roman" w:eastAsia="宋体" w:cs="Times New Roman"/>
                      <w:b/>
                      <w:bCs/>
                      <w:color w:val="auto"/>
                      <w:sz w:val="18"/>
                      <w:szCs w:val="18"/>
                    </w:rPr>
                    <w:t>条</w:t>
                  </w:r>
                  <w:r>
                    <w:rPr>
                      <w:rFonts w:hint="default" w:ascii="Times New Roman" w:hAnsi="Times New Roman" w:eastAsia="宋体" w:cs="Times New Roman"/>
                      <w:color w:val="auto"/>
                      <w:sz w:val="18"/>
                      <w:szCs w:val="18"/>
                    </w:rPr>
                    <w:t xml:space="preserve"> 执行重点管控单元市级总体要求第十八条、第十九条、第二十条、第二十一条和第二十二条。</w:t>
                  </w:r>
                </w:p>
              </w:tc>
              <w:tc>
                <w:tcPr>
                  <w:tcW w:w="991" w:type="pct"/>
                  <w:tcBorders>
                    <w:left w:val="single" w:color="auto" w:sz="4" w:space="0"/>
                    <w:bottom w:val="single" w:color="auto" w:sz="4" w:space="0"/>
                    <w:right w:val="single" w:color="auto" w:sz="4" w:space="0"/>
                  </w:tcBorders>
                  <w:noWrap w:val="0"/>
                  <w:vAlign w:val="center"/>
                </w:tcPr>
                <w:p w14:paraId="56974346">
                  <w:pPr>
                    <w:keepNext w:val="0"/>
                    <w:keepLines w:val="0"/>
                    <w:pageBreakBefore w:val="0"/>
                    <w:widowControl w:val="0"/>
                    <w:suppressLineNumbers w:val="0"/>
                    <w:suppressAutoHyphens/>
                    <w:kinsoku/>
                    <w:wordWrap/>
                    <w:overflowPunct/>
                    <w:topLinePunct w:val="0"/>
                    <w:bidi w:val="0"/>
                    <w:adjustRightInd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eastAsia="宋体" w:cs="Times New Roman"/>
                      <w:color w:val="auto"/>
                      <w:sz w:val="18"/>
                      <w:szCs w:val="18"/>
                      <w:lang w:val="en-US" w:eastAsia="zh-CN"/>
                    </w:rPr>
                    <w:t>项目满足</w:t>
                  </w:r>
                  <w:r>
                    <w:rPr>
                      <w:rFonts w:hint="eastAsia" w:cs="Times New Roman"/>
                      <w:color w:val="auto"/>
                      <w:sz w:val="18"/>
                      <w:szCs w:val="18"/>
                      <w:lang w:val="en-US" w:eastAsia="zh-CN"/>
                    </w:rPr>
                    <w:t>上述</w:t>
                  </w:r>
                  <w:r>
                    <w:rPr>
                      <w:rFonts w:hint="eastAsia" w:ascii="Times New Roman" w:hAnsi="Times New Roman" w:eastAsia="宋体" w:cs="Times New Roman"/>
                      <w:color w:val="auto"/>
                      <w:sz w:val="18"/>
                      <w:szCs w:val="18"/>
                      <w:lang w:val="en-US" w:eastAsia="zh-CN"/>
                    </w:rPr>
                    <w:t>要求</w:t>
                  </w:r>
                  <w:r>
                    <w:rPr>
                      <w:rFonts w:hint="default" w:ascii="Times New Roman" w:hAnsi="Times New Roman" w:eastAsia="宋体" w:cs="Times New Roman"/>
                      <w:color w:val="auto"/>
                      <w:sz w:val="18"/>
                      <w:szCs w:val="18"/>
                      <w:lang w:eastAsia="zh-CN"/>
                    </w:rPr>
                    <w:t>。</w:t>
                  </w:r>
                </w:p>
              </w:tc>
              <w:tc>
                <w:tcPr>
                  <w:tcW w:w="397" w:type="pct"/>
                  <w:tcBorders>
                    <w:left w:val="single" w:color="auto" w:sz="4" w:space="0"/>
                    <w:right w:val="single" w:color="auto" w:sz="4" w:space="0"/>
                  </w:tcBorders>
                  <w:noWrap w:val="0"/>
                  <w:vAlign w:val="center"/>
                </w:tcPr>
                <w:p w14:paraId="1A70A868">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符合</w:t>
                  </w:r>
                </w:p>
              </w:tc>
            </w:tr>
            <w:tr w14:paraId="33B2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left w:val="single" w:color="auto" w:sz="4" w:space="0"/>
                    <w:right w:val="single" w:color="auto" w:sz="4" w:space="0"/>
                  </w:tcBorders>
                  <w:noWrap w:val="0"/>
                  <w:vAlign w:val="center"/>
                </w:tcPr>
                <w:p w14:paraId="63297317">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continue"/>
                  <w:tcBorders>
                    <w:left w:val="single" w:color="auto" w:sz="4" w:space="0"/>
                    <w:right w:val="single" w:color="auto" w:sz="4" w:space="0"/>
                  </w:tcBorders>
                  <w:noWrap w:val="0"/>
                  <w:vAlign w:val="center"/>
                </w:tcPr>
                <w:p w14:paraId="287B8EC6">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kern w:val="2"/>
                      <w:sz w:val="18"/>
                      <w:szCs w:val="18"/>
                      <w:lang w:val="en-US" w:eastAsia="zh-CN" w:bidi="ar"/>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569AD62C">
                  <w:pPr>
                    <w:pStyle w:val="26"/>
                    <w:keepNext w:val="0"/>
                    <w:keepLines w:val="0"/>
                    <w:pageBreakBefore w:val="0"/>
                    <w:widowControl/>
                    <w:kinsoku/>
                    <w:wordWrap/>
                    <w:overflowPunct/>
                    <w:topLinePunct w:val="0"/>
                    <w:bidi w:val="0"/>
                    <w:adjustRightInd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b/>
                      <w:bCs/>
                      <w:color w:val="auto"/>
                      <w:sz w:val="18"/>
                      <w:szCs w:val="18"/>
                    </w:rPr>
                    <w:t>第十</w:t>
                  </w:r>
                  <w:r>
                    <w:rPr>
                      <w:rFonts w:hint="eastAsia" w:ascii="Times New Roman" w:hAnsi="Times New Roman" w:cs="Times New Roman"/>
                      <w:b/>
                      <w:bCs/>
                      <w:color w:val="auto"/>
                      <w:sz w:val="18"/>
                      <w:szCs w:val="18"/>
                      <w:lang w:eastAsia="zh-CN"/>
                    </w:rPr>
                    <w:t>四</w:t>
                  </w:r>
                  <w:r>
                    <w:rPr>
                      <w:rFonts w:hint="default" w:ascii="Times New Roman" w:hAnsi="Times New Roman" w:eastAsia="宋体" w:cs="Times New Roman"/>
                      <w:b/>
                      <w:bCs/>
                      <w:color w:val="auto"/>
                      <w:sz w:val="18"/>
                      <w:szCs w:val="18"/>
                    </w:rPr>
                    <w:t>条</w:t>
                  </w:r>
                  <w:r>
                    <w:rPr>
                      <w:rFonts w:hint="default" w:ascii="Times New Roman" w:hAnsi="Times New Roman" w:eastAsia="宋体" w:cs="Times New Roman"/>
                      <w:color w:val="auto"/>
                      <w:sz w:val="18"/>
                      <w:szCs w:val="18"/>
                    </w:rPr>
                    <w:t xml:space="preserve"> 严控煤炭消费总量，逐步降低煤炭消费比重，新建耗煤项目实行煤炭减量替代，逐步推进天然气、电力及可再生能源替代，持续推进煤炭消费总量及比重持续下降。推进水泥、玻璃等行业开展煤炭清洁高效利用。</w:t>
                  </w:r>
                </w:p>
              </w:tc>
              <w:tc>
                <w:tcPr>
                  <w:tcW w:w="991" w:type="pct"/>
                  <w:tcBorders>
                    <w:left w:val="single" w:color="auto" w:sz="4" w:space="0"/>
                    <w:right w:val="single" w:color="auto" w:sz="4" w:space="0"/>
                  </w:tcBorders>
                  <w:noWrap w:val="0"/>
                  <w:vAlign w:val="center"/>
                </w:tcPr>
                <w:p w14:paraId="71B10D9C">
                  <w:pPr>
                    <w:keepNext w:val="0"/>
                    <w:keepLines w:val="0"/>
                    <w:pageBreakBefore w:val="0"/>
                    <w:widowControl w:val="0"/>
                    <w:suppressLineNumbers w:val="0"/>
                    <w:suppressAutoHyphens/>
                    <w:kinsoku/>
                    <w:wordWrap/>
                    <w:overflowPunct/>
                    <w:topLinePunct w:val="0"/>
                    <w:bidi w:val="0"/>
                    <w:adjustRightInd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rPr>
                    <w:t>项目</w:t>
                  </w:r>
                  <w:r>
                    <w:rPr>
                      <w:rFonts w:hint="eastAsia" w:ascii="Times New Roman" w:hAnsi="Times New Roman" w:cs="Times New Roman"/>
                      <w:color w:val="auto"/>
                      <w:sz w:val="18"/>
                      <w:szCs w:val="18"/>
                      <w:lang w:eastAsia="zh-CN"/>
                    </w:rPr>
                    <w:t>不使用煤炭</w:t>
                  </w:r>
                  <w:r>
                    <w:rPr>
                      <w:rFonts w:hint="default" w:ascii="Times New Roman" w:hAnsi="Times New Roman" w:eastAsia="宋体" w:cs="Times New Roman"/>
                      <w:color w:val="auto"/>
                      <w:sz w:val="18"/>
                      <w:szCs w:val="18"/>
                      <w:lang w:eastAsia="zh-CN"/>
                    </w:rPr>
                    <w:t>。</w:t>
                  </w:r>
                </w:p>
              </w:tc>
              <w:tc>
                <w:tcPr>
                  <w:tcW w:w="397" w:type="pct"/>
                  <w:tcBorders>
                    <w:left w:val="single" w:color="auto" w:sz="4" w:space="0"/>
                    <w:right w:val="single" w:color="auto" w:sz="4" w:space="0"/>
                  </w:tcBorders>
                  <w:noWrap w:val="0"/>
                  <w:vAlign w:val="center"/>
                </w:tcPr>
                <w:p w14:paraId="1DE0C4EE">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
                    </w:rPr>
                    <w:t>符合</w:t>
                  </w:r>
                </w:p>
              </w:tc>
            </w:tr>
            <w:tr w14:paraId="5B67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left w:val="single" w:color="auto" w:sz="4" w:space="0"/>
                    <w:right w:val="single" w:color="auto" w:sz="4" w:space="0"/>
                  </w:tcBorders>
                  <w:noWrap w:val="0"/>
                  <w:vAlign w:val="center"/>
                </w:tcPr>
                <w:p w14:paraId="45C54D97">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continue"/>
                  <w:tcBorders>
                    <w:left w:val="single" w:color="auto" w:sz="4" w:space="0"/>
                    <w:right w:val="single" w:color="auto" w:sz="4" w:space="0"/>
                  </w:tcBorders>
                  <w:noWrap w:val="0"/>
                  <w:vAlign w:val="center"/>
                </w:tcPr>
                <w:p w14:paraId="0C9149EC">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kern w:val="2"/>
                      <w:sz w:val="18"/>
                      <w:szCs w:val="18"/>
                      <w:lang w:val="en-US" w:eastAsia="zh-CN" w:bidi="ar"/>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4DDEAF1D">
                  <w:pPr>
                    <w:pStyle w:val="26"/>
                    <w:keepNext w:val="0"/>
                    <w:keepLines w:val="0"/>
                    <w:pageBreakBefore w:val="0"/>
                    <w:widowControl/>
                    <w:kinsoku/>
                    <w:wordWrap/>
                    <w:overflowPunct/>
                    <w:topLinePunct w:val="0"/>
                    <w:bidi w:val="0"/>
                    <w:adjustRightInd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b/>
                      <w:bCs/>
                      <w:color w:val="auto"/>
                      <w:sz w:val="18"/>
                      <w:szCs w:val="18"/>
                    </w:rPr>
                    <w:t>第十</w:t>
                  </w:r>
                  <w:r>
                    <w:rPr>
                      <w:rFonts w:hint="eastAsia" w:ascii="Times New Roman" w:hAnsi="Times New Roman" w:cs="Times New Roman"/>
                      <w:b/>
                      <w:bCs/>
                      <w:color w:val="auto"/>
                      <w:sz w:val="18"/>
                      <w:szCs w:val="18"/>
                      <w:lang w:eastAsia="zh-CN"/>
                    </w:rPr>
                    <w:t>五</w:t>
                  </w:r>
                  <w:r>
                    <w:rPr>
                      <w:rFonts w:hint="default" w:ascii="Times New Roman" w:hAnsi="Times New Roman" w:eastAsia="宋体" w:cs="Times New Roman"/>
                      <w:b/>
                      <w:bCs/>
                      <w:color w:val="auto"/>
                      <w:sz w:val="18"/>
                      <w:szCs w:val="18"/>
                    </w:rPr>
                    <w:t>条</w:t>
                  </w:r>
                  <w:r>
                    <w:rPr>
                      <w:rFonts w:hint="default" w:ascii="Times New Roman" w:hAnsi="Times New Roman" w:eastAsia="宋体" w:cs="Times New Roman"/>
                      <w:color w:val="auto"/>
                      <w:sz w:val="18"/>
                      <w:szCs w:val="18"/>
                    </w:rPr>
                    <w:t xml:space="preserve"> 持续开展重点河流和水库富营养化监测预警及控制，科学实施梯级航电工程生态调度，保证生态基流。</w:t>
                  </w:r>
                </w:p>
              </w:tc>
              <w:tc>
                <w:tcPr>
                  <w:tcW w:w="991" w:type="pct"/>
                  <w:tcBorders>
                    <w:left w:val="single" w:color="auto" w:sz="4" w:space="0"/>
                    <w:bottom w:val="single" w:color="auto" w:sz="4" w:space="0"/>
                    <w:right w:val="single" w:color="auto" w:sz="4" w:space="0"/>
                  </w:tcBorders>
                  <w:noWrap w:val="0"/>
                  <w:vAlign w:val="center"/>
                </w:tcPr>
                <w:p w14:paraId="0978A5A3">
                  <w:pPr>
                    <w:keepNext w:val="0"/>
                    <w:keepLines w:val="0"/>
                    <w:pageBreakBefore w:val="0"/>
                    <w:widowControl w:val="0"/>
                    <w:suppressLineNumbers w:val="0"/>
                    <w:suppressAutoHyphens/>
                    <w:kinsoku/>
                    <w:wordWrap/>
                    <w:overflowPunct/>
                    <w:topLinePunct w:val="0"/>
                    <w:bidi w:val="0"/>
                    <w:adjustRightInd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rPr>
                    <w:t>项目</w:t>
                  </w:r>
                  <w:r>
                    <w:rPr>
                      <w:rFonts w:hint="eastAsia" w:ascii="Times New Roman" w:hAnsi="Times New Roman" w:cs="Times New Roman"/>
                      <w:color w:val="auto"/>
                      <w:sz w:val="18"/>
                      <w:szCs w:val="18"/>
                      <w:lang w:eastAsia="zh-CN"/>
                    </w:rPr>
                    <w:t>不涉及</w:t>
                  </w:r>
                  <w:r>
                    <w:rPr>
                      <w:rFonts w:hint="default" w:ascii="Times New Roman" w:hAnsi="Times New Roman" w:eastAsia="宋体" w:cs="Times New Roman"/>
                      <w:color w:val="auto"/>
                      <w:sz w:val="18"/>
                      <w:szCs w:val="18"/>
                      <w:lang w:eastAsia="zh-CN"/>
                    </w:rPr>
                    <w:t>。</w:t>
                  </w:r>
                </w:p>
              </w:tc>
              <w:tc>
                <w:tcPr>
                  <w:tcW w:w="397" w:type="pct"/>
                  <w:tcBorders>
                    <w:left w:val="single" w:color="auto" w:sz="4" w:space="0"/>
                    <w:right w:val="single" w:color="auto" w:sz="4" w:space="0"/>
                  </w:tcBorders>
                  <w:noWrap w:val="0"/>
                  <w:vAlign w:val="center"/>
                </w:tcPr>
                <w:p w14:paraId="30A8EC38">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0"/>
                      <w:sz w:val="18"/>
                      <w:szCs w:val="18"/>
                      <w:lang w:val="en-US" w:eastAsia="zh-CN" w:bidi="ar"/>
                    </w:rPr>
                  </w:pPr>
                  <w:r>
                    <w:rPr>
                      <w:rFonts w:hint="eastAsia" w:ascii="Times New Roman" w:hAnsi="Times New Roman" w:cs="Times New Roman"/>
                      <w:color w:val="auto"/>
                      <w:kern w:val="0"/>
                      <w:sz w:val="18"/>
                      <w:szCs w:val="18"/>
                      <w:lang w:val="en-US" w:eastAsia="zh-CN" w:bidi="ar"/>
                    </w:rPr>
                    <w:t>符合</w:t>
                  </w:r>
                </w:p>
              </w:tc>
            </w:tr>
            <w:tr w14:paraId="2825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left w:val="single" w:color="auto" w:sz="4" w:space="0"/>
                    <w:right w:val="single" w:color="auto" w:sz="4" w:space="0"/>
                  </w:tcBorders>
                  <w:noWrap w:val="0"/>
                  <w:vAlign w:val="center"/>
                </w:tcPr>
                <w:p w14:paraId="58F9191B">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continue"/>
                  <w:tcBorders>
                    <w:left w:val="single" w:color="auto" w:sz="4" w:space="0"/>
                    <w:right w:val="single" w:color="auto" w:sz="4" w:space="0"/>
                  </w:tcBorders>
                  <w:noWrap w:val="0"/>
                  <w:vAlign w:val="center"/>
                </w:tcPr>
                <w:p w14:paraId="0D916081">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kern w:val="2"/>
                      <w:sz w:val="18"/>
                      <w:szCs w:val="18"/>
                      <w:lang w:val="en-US" w:eastAsia="zh-CN" w:bidi="ar"/>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3AB38EB4">
                  <w:pPr>
                    <w:pStyle w:val="26"/>
                    <w:keepNext w:val="0"/>
                    <w:keepLines w:val="0"/>
                    <w:pageBreakBefore w:val="0"/>
                    <w:widowControl/>
                    <w:kinsoku/>
                    <w:wordWrap/>
                    <w:overflowPunct/>
                    <w:topLinePunct w:val="0"/>
                    <w:bidi w:val="0"/>
                    <w:adjustRightInd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b/>
                      <w:bCs/>
                      <w:color w:val="auto"/>
                      <w:sz w:val="18"/>
                      <w:szCs w:val="18"/>
                    </w:rPr>
                    <w:t>第十</w:t>
                  </w:r>
                  <w:r>
                    <w:rPr>
                      <w:rFonts w:hint="eastAsia" w:ascii="Times New Roman" w:hAnsi="Times New Roman" w:cs="Times New Roman"/>
                      <w:b/>
                      <w:bCs/>
                      <w:color w:val="auto"/>
                      <w:sz w:val="18"/>
                      <w:szCs w:val="18"/>
                      <w:lang w:eastAsia="zh-CN"/>
                    </w:rPr>
                    <w:t>六</w:t>
                  </w:r>
                  <w:r>
                    <w:rPr>
                      <w:rFonts w:hint="default" w:ascii="Times New Roman" w:hAnsi="Times New Roman" w:eastAsia="宋体" w:cs="Times New Roman"/>
                      <w:b/>
                      <w:bCs/>
                      <w:color w:val="auto"/>
                      <w:sz w:val="18"/>
                      <w:szCs w:val="18"/>
                    </w:rPr>
                    <w:t>条</w:t>
                  </w:r>
                  <w:r>
                    <w:rPr>
                      <w:rFonts w:hint="default" w:ascii="Times New Roman" w:hAnsi="Times New Roman" w:eastAsia="宋体" w:cs="Times New Roman"/>
                      <w:color w:val="auto"/>
                      <w:sz w:val="18"/>
                      <w:szCs w:val="18"/>
                    </w:rPr>
                    <w:t xml:space="preserve"> 在高污染燃料禁燃区内，禁止销售、燃用高污染燃料；禁止新建、扩建燃用高污染燃料的设施，已建成的，应当在城市人民政府规定的期限内改用天然气、页岩气、液化石油气、电或者其他清洁能源。</w:t>
                  </w:r>
                </w:p>
              </w:tc>
              <w:tc>
                <w:tcPr>
                  <w:tcW w:w="991" w:type="pct"/>
                  <w:tcBorders>
                    <w:left w:val="single" w:color="auto" w:sz="4" w:space="0"/>
                    <w:bottom w:val="single" w:color="auto" w:sz="4" w:space="0"/>
                    <w:right w:val="single" w:color="auto" w:sz="4" w:space="0"/>
                  </w:tcBorders>
                  <w:noWrap w:val="0"/>
                  <w:vAlign w:val="center"/>
                </w:tcPr>
                <w:p w14:paraId="111DB9FE">
                  <w:pPr>
                    <w:keepNext w:val="0"/>
                    <w:keepLines w:val="0"/>
                    <w:pageBreakBefore w:val="0"/>
                    <w:widowControl w:val="0"/>
                    <w:suppressLineNumbers w:val="0"/>
                    <w:suppressAutoHyphens/>
                    <w:kinsoku/>
                    <w:wordWrap/>
                    <w:overflowPunct/>
                    <w:topLinePunct w:val="0"/>
                    <w:bidi w:val="0"/>
                    <w:adjustRightInd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rPr>
                    <w:t>项目</w:t>
                  </w:r>
                  <w:r>
                    <w:rPr>
                      <w:rFonts w:hint="eastAsia" w:ascii="Times New Roman" w:hAnsi="Times New Roman" w:cs="Times New Roman"/>
                      <w:color w:val="auto"/>
                      <w:sz w:val="18"/>
                      <w:szCs w:val="18"/>
                      <w:lang w:val="en-US" w:eastAsia="zh-CN"/>
                    </w:rPr>
                    <w:t>不使用高污染燃料</w:t>
                  </w:r>
                  <w:r>
                    <w:rPr>
                      <w:rFonts w:hint="default" w:ascii="Times New Roman" w:hAnsi="Times New Roman" w:eastAsia="宋体" w:cs="Times New Roman"/>
                      <w:color w:val="auto"/>
                      <w:sz w:val="18"/>
                      <w:szCs w:val="18"/>
                      <w:lang w:eastAsia="zh-CN"/>
                    </w:rPr>
                    <w:t>。</w:t>
                  </w:r>
                </w:p>
              </w:tc>
              <w:tc>
                <w:tcPr>
                  <w:tcW w:w="397" w:type="pct"/>
                  <w:tcBorders>
                    <w:left w:val="single" w:color="auto" w:sz="4" w:space="0"/>
                    <w:right w:val="single" w:color="auto" w:sz="4" w:space="0"/>
                  </w:tcBorders>
                  <w:noWrap w:val="0"/>
                  <w:vAlign w:val="center"/>
                </w:tcPr>
                <w:p w14:paraId="30688D68">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
                    </w:rPr>
                    <w:t>符合</w:t>
                  </w:r>
                </w:p>
              </w:tc>
            </w:tr>
            <w:tr w14:paraId="680B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38" w:type="pct"/>
                  <w:vMerge w:val="continue"/>
                  <w:tcBorders>
                    <w:left w:val="single" w:color="auto" w:sz="4" w:space="0"/>
                    <w:right w:val="single" w:color="auto" w:sz="4" w:space="0"/>
                  </w:tcBorders>
                  <w:noWrap w:val="0"/>
                  <w:vAlign w:val="center"/>
                </w:tcPr>
                <w:p w14:paraId="706DED70">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vMerge w:val="continue"/>
                  <w:tcBorders>
                    <w:left w:val="single" w:color="auto" w:sz="4" w:space="0"/>
                    <w:right w:val="single" w:color="auto" w:sz="4" w:space="0"/>
                  </w:tcBorders>
                  <w:noWrap w:val="0"/>
                  <w:vAlign w:val="center"/>
                </w:tcPr>
                <w:p w14:paraId="784C7007">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6698C7D3">
                  <w:pPr>
                    <w:pStyle w:val="26"/>
                    <w:keepNext w:val="0"/>
                    <w:keepLines w:val="0"/>
                    <w:pageBreakBefore w:val="0"/>
                    <w:widowControl/>
                    <w:kinsoku/>
                    <w:wordWrap/>
                    <w:overflowPunct/>
                    <w:topLinePunct w:val="0"/>
                    <w:bidi w:val="0"/>
                    <w:adjustRightInd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b/>
                      <w:bCs/>
                      <w:color w:val="auto"/>
                      <w:sz w:val="18"/>
                      <w:szCs w:val="18"/>
                    </w:rPr>
                    <w:t>第十</w:t>
                  </w:r>
                  <w:r>
                    <w:rPr>
                      <w:rFonts w:hint="eastAsia" w:ascii="Times New Roman" w:hAnsi="Times New Roman" w:cs="Times New Roman"/>
                      <w:b/>
                      <w:bCs/>
                      <w:color w:val="auto"/>
                      <w:sz w:val="18"/>
                      <w:szCs w:val="18"/>
                      <w:lang w:eastAsia="zh-CN"/>
                    </w:rPr>
                    <w:t>七</w:t>
                  </w:r>
                  <w:r>
                    <w:rPr>
                      <w:rFonts w:hint="default" w:ascii="Times New Roman" w:hAnsi="Times New Roman" w:eastAsia="宋体" w:cs="Times New Roman"/>
                      <w:b/>
                      <w:bCs/>
                      <w:color w:val="auto"/>
                      <w:sz w:val="18"/>
                      <w:szCs w:val="18"/>
                    </w:rPr>
                    <w:t>条</w:t>
                  </w:r>
                  <w:r>
                    <w:rPr>
                      <w:rFonts w:hint="default" w:ascii="Times New Roman" w:hAnsi="Times New Roman" w:eastAsia="宋体" w:cs="Times New Roman"/>
                      <w:color w:val="auto"/>
                      <w:sz w:val="18"/>
                      <w:szCs w:val="18"/>
                    </w:rPr>
                    <w:t xml:space="preserve"> 禁止违法利用、占用长江流域河湖岸线。禁止《长江岸线保护和开发利用总体规划》划定的岸线保护区和岸线保留区内投资建设除公共安全及公众利益的防洪护岸、河道治理、供水、生态环境保护、航道整治、国家重要基础设施以外的项目。</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7060AD4C">
                  <w:pPr>
                    <w:keepNext w:val="0"/>
                    <w:keepLines w:val="0"/>
                    <w:pageBreakBefore w:val="0"/>
                    <w:widowControl w:val="0"/>
                    <w:suppressLineNumbers w:val="0"/>
                    <w:suppressAutoHyphens/>
                    <w:kinsoku/>
                    <w:wordWrap/>
                    <w:overflowPunct/>
                    <w:topLinePunct w:val="0"/>
                    <w:bidi w:val="0"/>
                    <w:adjustRightInd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rPr>
                    <w:t>项目</w:t>
                  </w:r>
                  <w:r>
                    <w:rPr>
                      <w:rFonts w:hint="eastAsia" w:ascii="Times New Roman" w:hAnsi="Times New Roman" w:cs="Times New Roman"/>
                      <w:color w:val="auto"/>
                      <w:sz w:val="18"/>
                      <w:szCs w:val="18"/>
                      <w:lang w:eastAsia="zh-CN"/>
                    </w:rPr>
                    <w:t>不涉及占用河流湖泊岸线</w:t>
                  </w:r>
                  <w:r>
                    <w:rPr>
                      <w:rFonts w:hint="default" w:ascii="Times New Roman" w:hAnsi="Times New Roman" w:eastAsia="宋体" w:cs="Times New Roman"/>
                      <w:color w:val="auto"/>
                      <w:sz w:val="18"/>
                      <w:szCs w:val="18"/>
                      <w:lang w:eastAsia="zh-CN"/>
                    </w:rPr>
                    <w:t>。</w:t>
                  </w:r>
                </w:p>
              </w:tc>
              <w:tc>
                <w:tcPr>
                  <w:tcW w:w="397" w:type="pct"/>
                  <w:tcBorders>
                    <w:left w:val="single" w:color="auto" w:sz="4" w:space="0"/>
                    <w:bottom w:val="single" w:color="auto" w:sz="4" w:space="0"/>
                    <w:right w:val="single" w:color="auto" w:sz="4" w:space="0"/>
                  </w:tcBorders>
                  <w:noWrap w:val="0"/>
                  <w:vAlign w:val="center"/>
                </w:tcPr>
                <w:p w14:paraId="791F3C82">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0"/>
                      <w:sz w:val="18"/>
                      <w:szCs w:val="18"/>
                      <w:lang w:val="en-US" w:eastAsia="zh-CN" w:bidi="ar"/>
                    </w:rPr>
                  </w:pPr>
                  <w:r>
                    <w:rPr>
                      <w:rFonts w:hint="eastAsia" w:ascii="Times New Roman" w:hAnsi="Times New Roman" w:cs="Times New Roman"/>
                      <w:color w:val="auto"/>
                      <w:kern w:val="0"/>
                      <w:sz w:val="18"/>
                      <w:szCs w:val="18"/>
                      <w:lang w:val="en-US" w:eastAsia="zh-CN" w:bidi="ar"/>
                    </w:rPr>
                    <w:t>符合</w:t>
                  </w:r>
                </w:p>
              </w:tc>
            </w:tr>
            <w:tr w14:paraId="3BB5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438" w:type="pct"/>
                  <w:vMerge w:val="restart"/>
                  <w:tcBorders>
                    <w:top w:val="single" w:color="auto" w:sz="4" w:space="0"/>
                    <w:left w:val="single" w:color="auto" w:sz="4" w:space="0"/>
                    <w:bottom w:val="single" w:color="auto" w:sz="4" w:space="0"/>
                    <w:right w:val="single" w:color="auto" w:sz="4" w:space="0"/>
                  </w:tcBorders>
                  <w:noWrap w:val="0"/>
                  <w:vAlign w:val="center"/>
                </w:tcPr>
                <w:p w14:paraId="2742EDD6">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eastAsia" w:ascii="Times New Roman" w:hAnsi="Times New Roman" w:cs="Times New Roman"/>
                      <w:color w:val="auto"/>
                      <w:kern w:val="2"/>
                      <w:sz w:val="18"/>
                      <w:szCs w:val="18"/>
                      <w:lang w:val="en-US" w:eastAsia="zh-CN" w:bidi="ar"/>
                    </w:rPr>
                    <w:t>单元</w:t>
                  </w:r>
                  <w:r>
                    <w:rPr>
                      <w:rFonts w:hint="default" w:ascii="Times New Roman" w:hAnsi="Times New Roman" w:eastAsia="宋体" w:cs="Times New Roman"/>
                      <w:color w:val="auto"/>
                      <w:kern w:val="2"/>
                      <w:sz w:val="18"/>
                      <w:szCs w:val="18"/>
                      <w:lang w:val="en-US" w:eastAsia="zh-CN" w:bidi="ar"/>
                    </w:rPr>
                    <w:t>管控要求</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08F21829">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空间布局约束</w:t>
                  </w: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0A75FFCA">
                  <w:pPr>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1.紧邻居住用地、学校等保护目标的工业用地后续不宜布局高噪声以及涉及喷涂、铸造、屠宰、发酵等异味较大或其他易扰民的工业项目。</w:t>
                  </w:r>
                </w:p>
                <w:p w14:paraId="48272AF6">
                  <w:pPr>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2.医药健康产业禁止新建、扩建化学原料药生产项目。</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46BF70CF">
                  <w:pPr>
                    <w:spacing w:line="240" w:lineRule="auto"/>
                    <w:ind w:left="0" w:leftChars="0" w:right="0" w:rightChars="0" w:firstLine="0" w:firstLineChars="0"/>
                    <w:jc w:val="lef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项目</w:t>
                  </w:r>
                  <w:r>
                    <w:rPr>
                      <w:rFonts w:hint="eastAsia" w:ascii="Times New Roman" w:hAnsi="Times New Roman" w:cs="Times New Roman"/>
                      <w:color w:val="auto"/>
                      <w:kern w:val="2"/>
                      <w:sz w:val="18"/>
                      <w:szCs w:val="18"/>
                      <w:lang w:val="en-US" w:eastAsia="zh-CN" w:bidi="ar-SA"/>
                    </w:rPr>
                    <w:t>不属于高噪声项目，且项目</w:t>
                  </w:r>
                  <w:r>
                    <w:rPr>
                      <w:rFonts w:hint="eastAsia" w:cs="Times New Roman"/>
                      <w:color w:val="auto"/>
                      <w:kern w:val="2"/>
                      <w:sz w:val="18"/>
                      <w:szCs w:val="18"/>
                      <w:lang w:val="en-US" w:eastAsia="zh-CN" w:bidi="ar-SA"/>
                    </w:rPr>
                    <w:t>行业类别为C2929塑料零件及其他塑料制品制造</w:t>
                  </w:r>
                  <w:r>
                    <w:rPr>
                      <w:rFonts w:hint="eastAsia" w:ascii="Times New Roman" w:hAnsi="Times New Roman" w:cs="Times New Roman"/>
                      <w:color w:val="auto"/>
                      <w:kern w:val="2"/>
                      <w:sz w:val="18"/>
                      <w:szCs w:val="18"/>
                      <w:lang w:val="en-US" w:eastAsia="zh-CN" w:bidi="ar-SA"/>
                    </w:rPr>
                    <w:t>，不属于喷涂、铸造、屠宰、发酵等工业项目，不属于医药健康产业。</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284DF444">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符合</w:t>
                  </w:r>
                </w:p>
              </w:tc>
            </w:tr>
            <w:tr w14:paraId="098B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5F65812A">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tcBorders>
                    <w:top w:val="single" w:color="auto" w:sz="4" w:space="0"/>
                    <w:left w:val="single" w:color="auto" w:sz="4" w:space="0"/>
                    <w:bottom w:val="single" w:color="auto" w:sz="4" w:space="0"/>
                    <w:right w:val="single" w:color="auto" w:sz="4" w:space="0"/>
                  </w:tcBorders>
                  <w:noWrap w:val="0"/>
                  <w:vAlign w:val="center"/>
                </w:tcPr>
                <w:p w14:paraId="19DBF4A3">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污染物排放管控</w:t>
                  </w: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4BA5F38D">
                  <w:pPr>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1.</w:t>
                  </w:r>
                  <w:r>
                    <w:rPr>
                      <w:rFonts w:hint="eastAsia" w:ascii="Times New Roman" w:hAnsi="Times New Roman"/>
                      <w:color w:val="auto"/>
                      <w:kern w:val="0"/>
                      <w:sz w:val="18"/>
                      <w:szCs w:val="18"/>
                    </w:rPr>
                    <w:t>持续推进台泥水泥、金九建材超低排放改造，鼓励玻璃制品等行业在已达标的基础上深度治理，并持续实行水泥行业错峰生产。</w:t>
                  </w:r>
                </w:p>
                <w:p w14:paraId="5A47475A">
                  <w:pPr>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2.</w:t>
                  </w:r>
                  <w:r>
                    <w:rPr>
                      <w:rFonts w:hint="eastAsia" w:ascii="Times New Roman" w:hAnsi="Times New Roman"/>
                      <w:color w:val="auto"/>
                      <w:kern w:val="0"/>
                      <w:sz w:val="18"/>
                      <w:szCs w:val="18"/>
                    </w:rPr>
                    <w:t>优先选择化石能源替代、原料工艺优化、产业结构升级等源头治理措施实现污染物和温室气体协同减排</w:t>
                  </w:r>
                  <w:r>
                    <w:rPr>
                      <w:rFonts w:hint="default" w:ascii="Times New Roman" w:hAnsi="Times New Roman" w:eastAsia="宋体" w:cs="Times New Roman"/>
                      <w:color w:val="auto"/>
                      <w:kern w:val="2"/>
                      <w:sz w:val="18"/>
                      <w:szCs w:val="18"/>
                      <w:lang w:val="en-US" w:eastAsia="zh-CN" w:bidi="ar-SA"/>
                    </w:rPr>
                    <w:t>。</w:t>
                  </w:r>
                </w:p>
                <w:p w14:paraId="0CE9C15C">
                  <w:pPr>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3.</w:t>
                  </w:r>
                  <w:r>
                    <w:rPr>
                      <w:rFonts w:hint="eastAsia" w:ascii="Times New Roman" w:hAnsi="Times New Roman"/>
                      <w:color w:val="auto"/>
                      <w:kern w:val="0"/>
                      <w:sz w:val="18"/>
                      <w:szCs w:val="18"/>
                    </w:rPr>
                    <w:t>开展工业园区污水处理设施建设及配套污水管网排查整治。加快实施园区管网混错接改造、管网更新、破损修复改造等，推动园区生产废水应纳尽纳。排放工业废水的企业应当采取有效措施，收集和处理产生的全部废水，防止污染环境。含有毒有害水污染物的工业废水应当分类收集和处理，不得稀释排放</w:t>
                  </w:r>
                  <w:r>
                    <w:rPr>
                      <w:rFonts w:hint="default" w:ascii="Times New Roman" w:hAnsi="Times New Roman" w:eastAsia="宋体" w:cs="Times New Roman"/>
                      <w:color w:val="auto"/>
                      <w:kern w:val="2"/>
                      <w:sz w:val="18"/>
                      <w:szCs w:val="18"/>
                      <w:lang w:val="en-US" w:eastAsia="zh-CN" w:bidi="ar-SA"/>
                    </w:rPr>
                    <w:t>。</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28AE2178">
                  <w:pPr>
                    <w:spacing w:line="240" w:lineRule="auto"/>
                    <w:ind w:left="0" w:leftChars="0" w:right="0" w:rightChars="0" w:firstLine="0" w:firstLineChars="0"/>
                    <w:jc w:val="lef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项目</w:t>
                  </w:r>
                  <w:r>
                    <w:rPr>
                      <w:rFonts w:hint="eastAsia" w:ascii="Times New Roman" w:hAnsi="Times New Roman" w:cs="Times New Roman"/>
                      <w:color w:val="auto"/>
                      <w:kern w:val="0"/>
                      <w:sz w:val="18"/>
                      <w:szCs w:val="18"/>
                      <w:lang w:val="en-US" w:eastAsia="zh-CN" w:bidi="ar"/>
                    </w:rPr>
                    <w:t>污废水经</w:t>
                  </w:r>
                  <w:r>
                    <w:rPr>
                      <w:rFonts w:hint="eastAsia" w:cs="Times New Roman"/>
                      <w:color w:val="auto"/>
                      <w:kern w:val="0"/>
                      <w:sz w:val="18"/>
                      <w:szCs w:val="18"/>
                      <w:lang w:val="en-US" w:eastAsia="zh-CN" w:bidi="ar"/>
                    </w:rPr>
                    <w:t>重庆三花门业现有生化池</w:t>
                  </w:r>
                  <w:r>
                    <w:rPr>
                      <w:rFonts w:hint="eastAsia" w:ascii="Times New Roman" w:hAnsi="Times New Roman" w:cs="Times New Roman"/>
                      <w:color w:val="auto"/>
                      <w:kern w:val="0"/>
                      <w:sz w:val="18"/>
                      <w:szCs w:val="18"/>
                      <w:lang w:val="en-US" w:eastAsia="zh-CN" w:bidi="ar"/>
                    </w:rPr>
                    <w:t>处理达标后排入南溪组团A区污水处理厂处理后达标排放；不涉及有毒有害水污染物的工业废水排放</w:t>
                  </w:r>
                  <w:r>
                    <w:rPr>
                      <w:rFonts w:hint="eastAsia" w:ascii="Times New Roman" w:hAnsi="Times New Roman" w:eastAsia="宋体" w:cs="Times New Roman"/>
                      <w:color w:val="auto"/>
                      <w:kern w:val="2"/>
                      <w:sz w:val="18"/>
                      <w:szCs w:val="18"/>
                      <w:lang w:val="en-US" w:eastAsia="zh-CN" w:bidi="ar-SA"/>
                    </w:rPr>
                    <w:t>。</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080CCD84">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符合</w:t>
                  </w:r>
                </w:p>
              </w:tc>
            </w:tr>
            <w:tr w14:paraId="42B3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0706566E">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tcBorders>
                    <w:top w:val="single" w:color="auto" w:sz="4" w:space="0"/>
                    <w:left w:val="single" w:color="auto" w:sz="4" w:space="0"/>
                    <w:bottom w:val="single" w:color="auto" w:sz="4" w:space="0"/>
                    <w:right w:val="single" w:color="auto" w:sz="4" w:space="0"/>
                  </w:tcBorders>
                  <w:noWrap w:val="0"/>
                  <w:vAlign w:val="center"/>
                </w:tcPr>
                <w:p w14:paraId="7E94ED21">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环境风险防控</w:t>
                  </w: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18F8A4F8">
                  <w:pPr>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5C29B6D4">
                  <w:pPr>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6B152EF9">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r>
            <w:tr w14:paraId="0F22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vMerge w:val="continue"/>
                  <w:tcBorders>
                    <w:top w:val="single" w:color="auto" w:sz="4" w:space="0"/>
                    <w:left w:val="single" w:color="auto" w:sz="4" w:space="0"/>
                    <w:bottom w:val="single" w:color="auto" w:sz="4" w:space="0"/>
                    <w:right w:val="single" w:color="auto" w:sz="4" w:space="0"/>
                  </w:tcBorders>
                  <w:noWrap w:val="0"/>
                  <w:vAlign w:val="center"/>
                </w:tcPr>
                <w:p w14:paraId="3D87E44C">
                  <w:pPr>
                    <w:keepNext w:val="0"/>
                    <w:keepLines w:val="0"/>
                    <w:pageBreakBefore w:val="0"/>
                    <w:kinsoku/>
                    <w:wordWrap/>
                    <w:overflowPunct/>
                    <w:topLinePunct w:val="0"/>
                    <w:bidi w:val="0"/>
                    <w:ind w:left="-57" w:right="-57"/>
                    <w:textAlignment w:val="auto"/>
                    <w:rPr>
                      <w:rFonts w:hint="default" w:ascii="Times New Roman" w:hAnsi="Times New Roman" w:eastAsia="宋体" w:cs="Times New Roman"/>
                      <w:color w:val="auto"/>
                      <w:kern w:val="2"/>
                      <w:sz w:val="18"/>
                      <w:szCs w:val="18"/>
                    </w:rPr>
                  </w:pPr>
                </w:p>
              </w:tc>
              <w:tc>
                <w:tcPr>
                  <w:tcW w:w="407" w:type="pct"/>
                  <w:tcBorders>
                    <w:top w:val="single" w:color="auto" w:sz="4" w:space="0"/>
                    <w:left w:val="single" w:color="auto" w:sz="4" w:space="0"/>
                    <w:bottom w:val="single" w:color="auto" w:sz="4" w:space="0"/>
                    <w:right w:val="single" w:color="auto" w:sz="4" w:space="0"/>
                  </w:tcBorders>
                  <w:noWrap w:val="0"/>
                  <w:vAlign w:val="center"/>
                </w:tcPr>
                <w:p w14:paraId="0DBCB4C6">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right="-57"/>
                    <w:jc w:val="center"/>
                    <w:textAlignment w:val="auto"/>
                    <w:rPr>
                      <w:rFonts w:hint="default" w:ascii="Times New Roman" w:hAnsi="Times New Roman" w:eastAsia="宋体" w:cs="Times New Roman"/>
                      <w:color w:val="auto"/>
                      <w:sz w:val="18"/>
                      <w:szCs w:val="18"/>
                      <w:lang w:val="en-US"/>
                    </w:rPr>
                  </w:pPr>
                  <w:r>
                    <w:rPr>
                      <w:rFonts w:hint="default" w:ascii="Times New Roman" w:hAnsi="Times New Roman" w:eastAsia="宋体" w:cs="Times New Roman"/>
                      <w:color w:val="auto"/>
                      <w:kern w:val="2"/>
                      <w:sz w:val="18"/>
                      <w:szCs w:val="18"/>
                      <w:lang w:val="en-US" w:eastAsia="zh-CN" w:bidi="ar"/>
                    </w:rPr>
                    <w:t>资源开发利用效率</w:t>
                  </w:r>
                </w:p>
              </w:tc>
              <w:tc>
                <w:tcPr>
                  <w:tcW w:w="2764" w:type="pct"/>
                  <w:gridSpan w:val="2"/>
                  <w:tcBorders>
                    <w:top w:val="single" w:color="auto" w:sz="4" w:space="0"/>
                    <w:left w:val="single" w:color="auto" w:sz="4" w:space="0"/>
                    <w:bottom w:val="single" w:color="auto" w:sz="4" w:space="0"/>
                    <w:right w:val="single" w:color="auto" w:sz="4" w:space="0"/>
                  </w:tcBorders>
                  <w:noWrap w:val="0"/>
                  <w:vAlign w:val="center"/>
                </w:tcPr>
                <w:p w14:paraId="5AEACA5F">
                  <w:pPr>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1.新建、扩建</w:t>
                  </w:r>
                  <w:r>
                    <w:rPr>
                      <w:rFonts w:hint="eastAsia" w:ascii="宋体" w:hAnsi="宋体" w:eastAsia="宋体" w:cs="宋体"/>
                      <w:color w:val="auto"/>
                      <w:kern w:val="2"/>
                      <w:sz w:val="18"/>
                      <w:szCs w:val="18"/>
                      <w:lang w:val="en-US" w:eastAsia="zh-CN" w:bidi="ar-SA"/>
                    </w:rPr>
                    <w:t>“两高”项</w:t>
                  </w:r>
                  <w:r>
                    <w:rPr>
                      <w:rFonts w:hint="default" w:ascii="Times New Roman" w:hAnsi="Times New Roman" w:eastAsia="宋体" w:cs="Times New Roman"/>
                      <w:color w:val="auto"/>
                      <w:kern w:val="2"/>
                      <w:sz w:val="18"/>
                      <w:szCs w:val="18"/>
                      <w:lang w:val="en-US" w:eastAsia="zh-CN" w:bidi="ar-SA"/>
                    </w:rPr>
                    <w:t>目应采用先进适用的工艺技术和装备，单位产品物耗、能耗、水耗、污染物排放等达到清洁生产先进水平</w:t>
                  </w:r>
                  <w:r>
                    <w:rPr>
                      <w:rFonts w:hint="eastAsia" w:ascii="Times New Roman" w:hAnsi="Times New Roman" w:cs="Times New Roman"/>
                      <w:color w:val="auto"/>
                      <w:kern w:val="2"/>
                      <w:sz w:val="18"/>
                      <w:szCs w:val="18"/>
                      <w:lang w:val="en-US" w:eastAsia="zh-CN" w:bidi="ar-SA"/>
                    </w:rPr>
                    <w:t>。</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557F02B1">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left"/>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项目不属于“两高”行业，清洁生产水平不低于国家清洁生产标准的国内先进水平。</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65478CB6">
                  <w:pPr>
                    <w:keepNext w:val="0"/>
                    <w:keepLines w:val="0"/>
                    <w:pageBreakBefore w:val="0"/>
                    <w:widowControl w:val="0"/>
                    <w:suppressLineNumbers w:val="0"/>
                    <w:suppressAutoHyphens/>
                    <w:kinsoku/>
                    <w:wordWrap/>
                    <w:overflowPunct/>
                    <w:topLinePunct w:val="0"/>
                    <w:bidi w:val="0"/>
                    <w:snapToGrid w:val="0"/>
                    <w:spacing w:before="0" w:beforeAutospacing="0" w:after="0" w:afterAutospacing="0"/>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符合</w:t>
                  </w:r>
                </w:p>
              </w:tc>
            </w:tr>
          </w:tbl>
          <w:p w14:paraId="1CDAD4A8">
            <w:pPr>
              <w:spacing w:line="360" w:lineRule="auto"/>
              <w:rPr>
                <w:rFonts w:hint="default" w:ascii="Times New Roman" w:hAnsi="Times New Roman" w:eastAsia="宋体" w:cs="Times New Roman"/>
                <w:b/>
                <w:bCs/>
                <w:color w:val="auto"/>
              </w:rPr>
            </w:pPr>
            <w:r>
              <w:rPr>
                <w:rFonts w:hint="default" w:ascii="Times New Roman" w:hAnsi="Times New Roman" w:eastAsia="宋体" w:cs="Times New Roman"/>
                <w:b/>
                <w:bCs/>
                <w:color w:val="auto"/>
                <w:lang w:val="en-US" w:eastAsia="zh-CN"/>
              </w:rPr>
              <w:t>二、</w:t>
            </w:r>
            <w:r>
              <w:rPr>
                <w:rFonts w:hint="default" w:ascii="Times New Roman" w:hAnsi="Times New Roman" w:eastAsia="宋体" w:cs="Times New Roman"/>
                <w:b/>
                <w:bCs/>
                <w:color w:val="auto"/>
              </w:rPr>
              <w:t>与《四川省、重庆市长江经济带发展负面清单实施细则》符合性分析</w:t>
            </w:r>
          </w:p>
          <w:p w14:paraId="6C4EEFC4">
            <w:pPr>
              <w:spacing w:line="360" w:lineRule="auto"/>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本项目与《四川省、重庆市长江经济带发展负面清单实施细则》（川长江办〔2022〕17号）的符合性</w:t>
            </w:r>
            <w:r>
              <w:rPr>
                <w:rFonts w:hint="eastAsia" w:cs="Times New Roman"/>
                <w:color w:val="auto"/>
                <w:lang w:val="en-US" w:eastAsia="zh-CN"/>
              </w:rPr>
              <w:t>分析</w:t>
            </w:r>
            <w:r>
              <w:rPr>
                <w:rFonts w:hint="default" w:ascii="Times New Roman" w:hAnsi="Times New Roman" w:eastAsia="宋体" w:cs="Times New Roman"/>
                <w:color w:val="auto"/>
              </w:rPr>
              <w:t>见下表。</w:t>
            </w:r>
          </w:p>
          <w:p w14:paraId="43E7145E">
            <w:pPr>
              <w:pStyle w:val="5"/>
              <w:spacing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rPr>
              <w:t>表</w:t>
            </w:r>
            <w:r>
              <w:rPr>
                <w:rFonts w:hint="default" w:ascii="Times New Roman" w:hAnsi="Times New Roman" w:eastAsia="宋体" w:cs="Times New Roman"/>
                <w:color w:val="auto"/>
                <w:lang w:val="en-US" w:eastAsia="zh-CN"/>
              </w:rPr>
              <w:t xml:space="preserve">1-5 </w:t>
            </w:r>
            <w:r>
              <w:rPr>
                <w:rFonts w:hint="default" w:ascii="Times New Roman" w:hAnsi="Times New Roman" w:eastAsia="宋体" w:cs="Times New Roman"/>
                <w:color w:val="auto"/>
              </w:rPr>
              <w:t xml:space="preserve"> 《四川省、重庆市长江经济带发展负面清单实施细则》符合性分析表</w:t>
            </w:r>
          </w:p>
          <w:tbl>
            <w:tblPr>
              <w:tblStyle w:val="30"/>
              <w:tblW w:w="5000"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07"/>
              <w:gridCol w:w="5676"/>
              <w:gridCol w:w="1638"/>
              <w:gridCol w:w="408"/>
            </w:tblGrid>
            <w:tr w14:paraId="1BE12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0879D90B">
                  <w:pPr>
                    <w:pStyle w:val="112"/>
                    <w:spacing w:line="240" w:lineRule="auto"/>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序号</w:t>
                  </w:r>
                </w:p>
              </w:tc>
              <w:tc>
                <w:tcPr>
                  <w:tcW w:w="3489" w:type="pct"/>
                  <w:tcBorders>
                    <w:tl2br w:val="nil"/>
                    <w:tr2bl w:val="nil"/>
                  </w:tcBorders>
                  <w:noWrap w:val="0"/>
                  <w:vAlign w:val="center"/>
                </w:tcPr>
                <w:p w14:paraId="38778987">
                  <w:pPr>
                    <w:pStyle w:val="112"/>
                    <w:spacing w:line="240" w:lineRule="auto"/>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政策要求</w:t>
                  </w:r>
                </w:p>
              </w:tc>
              <w:tc>
                <w:tcPr>
                  <w:tcW w:w="1007" w:type="pct"/>
                  <w:tcBorders>
                    <w:tl2br w:val="nil"/>
                    <w:tr2bl w:val="nil"/>
                  </w:tcBorders>
                  <w:noWrap w:val="0"/>
                  <w:vAlign w:val="center"/>
                </w:tcPr>
                <w:p w14:paraId="5F0DCCC1">
                  <w:pPr>
                    <w:pStyle w:val="112"/>
                    <w:spacing w:line="240" w:lineRule="auto"/>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项目情况</w:t>
                  </w:r>
                </w:p>
              </w:tc>
              <w:tc>
                <w:tcPr>
                  <w:tcW w:w="251" w:type="pct"/>
                  <w:tcBorders>
                    <w:tl2br w:val="nil"/>
                    <w:tr2bl w:val="nil"/>
                  </w:tcBorders>
                  <w:noWrap w:val="0"/>
                  <w:vAlign w:val="center"/>
                </w:tcPr>
                <w:p w14:paraId="75BB0367">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符合性</w:t>
                  </w:r>
                </w:p>
              </w:tc>
            </w:tr>
            <w:tr w14:paraId="764DB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53DA8B34">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p>
              </w:tc>
              <w:tc>
                <w:tcPr>
                  <w:tcW w:w="3489" w:type="pct"/>
                  <w:tcBorders>
                    <w:tl2br w:val="nil"/>
                    <w:tr2bl w:val="nil"/>
                  </w:tcBorders>
                  <w:noWrap w:val="0"/>
                  <w:vAlign w:val="center"/>
                </w:tcPr>
                <w:p w14:paraId="006D2061">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禁止建设不符合全国和省级港口布局规划以及港口总体规划的码头项目，禁止建设不符合《长江干线过江通道布局规划》的过长江通道项目。</w:t>
                  </w:r>
                </w:p>
              </w:tc>
              <w:tc>
                <w:tcPr>
                  <w:tcW w:w="1007" w:type="pct"/>
                  <w:vMerge w:val="restart"/>
                  <w:tcBorders>
                    <w:tl2br w:val="nil"/>
                    <w:tr2bl w:val="nil"/>
                  </w:tcBorders>
                  <w:noWrap w:val="0"/>
                  <w:vAlign w:val="center"/>
                </w:tcPr>
                <w:p w14:paraId="16D359C5">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本项目不属于码头项目</w:t>
                  </w:r>
                </w:p>
              </w:tc>
              <w:tc>
                <w:tcPr>
                  <w:tcW w:w="251" w:type="pct"/>
                  <w:tcBorders>
                    <w:tl2br w:val="nil"/>
                    <w:tr2bl w:val="nil"/>
                  </w:tcBorders>
                  <w:noWrap w:val="0"/>
                  <w:vAlign w:val="center"/>
                </w:tcPr>
                <w:p w14:paraId="0D1629CE">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5AC40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2B60C027">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p>
              </w:tc>
              <w:tc>
                <w:tcPr>
                  <w:tcW w:w="3489" w:type="pct"/>
                  <w:tcBorders>
                    <w:tl2br w:val="nil"/>
                    <w:tr2bl w:val="nil"/>
                  </w:tcBorders>
                  <w:noWrap w:val="0"/>
                  <w:vAlign w:val="center"/>
                </w:tcPr>
                <w:p w14:paraId="42D8DD5C">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新建、改建和扩建不符合《全国内河航道与港口布局规划》等全国港口规划，以及《四川省内河水运发展规划》《泸州—宜宾—乐山港口群布局规划》《重庆港总体规划（2035年）》等省级港口布局规划及市级港口总体规划的码头项目。</w:t>
                  </w:r>
                </w:p>
              </w:tc>
              <w:tc>
                <w:tcPr>
                  <w:tcW w:w="1007" w:type="pct"/>
                  <w:vMerge w:val="continue"/>
                  <w:tcBorders>
                    <w:tl2br w:val="nil"/>
                    <w:tr2bl w:val="nil"/>
                  </w:tcBorders>
                  <w:noWrap w:val="0"/>
                  <w:vAlign w:val="center"/>
                </w:tcPr>
                <w:p w14:paraId="2B023B1E">
                  <w:pPr>
                    <w:pStyle w:val="112"/>
                    <w:spacing w:line="240" w:lineRule="auto"/>
                    <w:jc w:val="both"/>
                    <w:rPr>
                      <w:rFonts w:hint="default" w:ascii="Times New Roman" w:hAnsi="Times New Roman" w:eastAsia="宋体" w:cs="Times New Roman"/>
                      <w:color w:val="auto"/>
                      <w:sz w:val="18"/>
                      <w:szCs w:val="18"/>
                    </w:rPr>
                  </w:pPr>
                </w:p>
              </w:tc>
              <w:tc>
                <w:tcPr>
                  <w:tcW w:w="251" w:type="pct"/>
                  <w:tcBorders>
                    <w:tl2br w:val="nil"/>
                    <w:tr2bl w:val="nil"/>
                  </w:tcBorders>
                  <w:noWrap w:val="0"/>
                  <w:vAlign w:val="center"/>
                </w:tcPr>
                <w:p w14:paraId="1AE4343E">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1FA16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3B358C30">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p>
              </w:tc>
              <w:tc>
                <w:tcPr>
                  <w:tcW w:w="3489" w:type="pct"/>
                  <w:tcBorders>
                    <w:tl2br w:val="nil"/>
                    <w:tr2bl w:val="nil"/>
                  </w:tcBorders>
                  <w:noWrap w:val="0"/>
                  <w:vAlign w:val="center"/>
                </w:tcPr>
                <w:p w14:paraId="53B23F1C">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禁止新建、改建和扩建不符合《长江干线过江通道布局规划（2020—2035年）》的过长江通道项目（含桥梁、隧道），国家发展改革委同意过长江通道线位调整的除外。</w:t>
                  </w:r>
                </w:p>
              </w:tc>
              <w:tc>
                <w:tcPr>
                  <w:tcW w:w="1007" w:type="pct"/>
                  <w:vMerge w:val="continue"/>
                  <w:tcBorders>
                    <w:tl2br w:val="nil"/>
                    <w:tr2bl w:val="nil"/>
                  </w:tcBorders>
                  <w:noWrap w:val="0"/>
                  <w:vAlign w:val="center"/>
                </w:tcPr>
                <w:p w14:paraId="52FCF270">
                  <w:pPr>
                    <w:pStyle w:val="112"/>
                    <w:spacing w:line="240" w:lineRule="auto"/>
                    <w:jc w:val="both"/>
                    <w:rPr>
                      <w:rFonts w:hint="default" w:ascii="Times New Roman" w:hAnsi="Times New Roman" w:eastAsia="宋体" w:cs="Times New Roman"/>
                      <w:color w:val="auto"/>
                      <w:sz w:val="18"/>
                      <w:szCs w:val="18"/>
                    </w:rPr>
                  </w:pPr>
                </w:p>
              </w:tc>
              <w:tc>
                <w:tcPr>
                  <w:tcW w:w="251" w:type="pct"/>
                  <w:tcBorders>
                    <w:tl2br w:val="nil"/>
                    <w:tr2bl w:val="nil"/>
                  </w:tcBorders>
                  <w:noWrap w:val="0"/>
                  <w:vAlign w:val="center"/>
                </w:tcPr>
                <w:p w14:paraId="2FA7F0ED">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2C468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3C507674">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w:t>
                  </w:r>
                </w:p>
              </w:tc>
              <w:tc>
                <w:tcPr>
                  <w:tcW w:w="3489" w:type="pct"/>
                  <w:tcBorders>
                    <w:tl2br w:val="nil"/>
                    <w:tr2bl w:val="nil"/>
                  </w:tcBorders>
                  <w:noWrap w:val="0"/>
                  <w:vAlign w:val="center"/>
                </w:tcPr>
                <w:p w14:paraId="26A5924A">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禁止在自然保护区核心区、缓冲区的岸线和河段范围内投资建设旅游和生产经营项目。禁止在风景名胜区核心景区的岸线和河段范围内投资建设与风景名胜资源保护无关的项目。</w:t>
                  </w:r>
                </w:p>
              </w:tc>
              <w:tc>
                <w:tcPr>
                  <w:tcW w:w="1007" w:type="pct"/>
                  <w:vMerge w:val="restart"/>
                  <w:tcBorders>
                    <w:tl2br w:val="nil"/>
                    <w:tr2bl w:val="nil"/>
                  </w:tcBorders>
                  <w:noWrap w:val="0"/>
                  <w:vAlign w:val="center"/>
                </w:tcPr>
                <w:p w14:paraId="0D7FBE90">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本项目位于</w:t>
                  </w:r>
                  <w:r>
                    <w:rPr>
                      <w:rFonts w:hint="default" w:ascii="Times New Roman" w:hAnsi="Times New Roman" w:cs="Times New Roman"/>
                      <w:color w:val="auto"/>
                      <w:sz w:val="18"/>
                      <w:szCs w:val="18"/>
                      <w:lang w:eastAsia="zh-CN"/>
                    </w:rPr>
                    <w:t>合川区</w:t>
                  </w:r>
                  <w:r>
                    <w:rPr>
                      <w:rFonts w:hint="eastAsia" w:ascii="Times New Roman" w:hAnsi="Times New Roman" w:cs="Times New Roman"/>
                      <w:color w:val="auto"/>
                      <w:sz w:val="18"/>
                      <w:szCs w:val="18"/>
                      <w:lang w:eastAsia="zh-CN"/>
                    </w:rPr>
                    <w:t>南溪组团A区</w:t>
                  </w:r>
                  <w:r>
                    <w:rPr>
                      <w:rFonts w:hint="default" w:ascii="Times New Roman" w:hAnsi="Times New Roman" w:eastAsia="宋体" w:cs="Times New Roman"/>
                      <w:color w:val="auto"/>
                      <w:sz w:val="18"/>
                      <w:szCs w:val="18"/>
                    </w:rPr>
                    <w:t>，不涉及自然保护区核心区、缓冲区的岸线和河段</w:t>
                  </w:r>
                </w:p>
              </w:tc>
              <w:tc>
                <w:tcPr>
                  <w:tcW w:w="251" w:type="pct"/>
                  <w:tcBorders>
                    <w:tl2br w:val="nil"/>
                    <w:tr2bl w:val="nil"/>
                  </w:tcBorders>
                  <w:noWrap w:val="0"/>
                  <w:vAlign w:val="center"/>
                </w:tcPr>
                <w:p w14:paraId="43A122A5">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57E00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2155A30E">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5</w:t>
                  </w:r>
                </w:p>
              </w:tc>
              <w:tc>
                <w:tcPr>
                  <w:tcW w:w="3489" w:type="pct"/>
                  <w:tcBorders>
                    <w:tl2br w:val="nil"/>
                    <w:tr2bl w:val="nil"/>
                  </w:tcBorders>
                  <w:noWrap w:val="0"/>
                  <w:vAlign w:val="center"/>
                </w:tcPr>
                <w:p w14:paraId="4D5E3EE9">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禁止在自然保护区核心区、缓冲区的岸线和河段范围内投资建设旅游和生产经营项目。自然保护区的内部未分区的，依照本实施细则核心区和缓冲区的规定管控。</w:t>
                  </w:r>
                </w:p>
              </w:tc>
              <w:tc>
                <w:tcPr>
                  <w:tcW w:w="1007" w:type="pct"/>
                  <w:vMerge w:val="continue"/>
                  <w:tcBorders>
                    <w:tl2br w:val="nil"/>
                    <w:tr2bl w:val="nil"/>
                  </w:tcBorders>
                  <w:noWrap w:val="0"/>
                  <w:vAlign w:val="center"/>
                </w:tcPr>
                <w:p w14:paraId="2D228D77">
                  <w:pPr>
                    <w:pStyle w:val="112"/>
                    <w:spacing w:line="240" w:lineRule="auto"/>
                    <w:jc w:val="both"/>
                    <w:rPr>
                      <w:rFonts w:hint="default" w:ascii="Times New Roman" w:hAnsi="Times New Roman" w:eastAsia="宋体" w:cs="Times New Roman"/>
                      <w:color w:val="auto"/>
                      <w:sz w:val="18"/>
                      <w:szCs w:val="18"/>
                    </w:rPr>
                  </w:pPr>
                </w:p>
              </w:tc>
              <w:tc>
                <w:tcPr>
                  <w:tcW w:w="251" w:type="pct"/>
                  <w:tcBorders>
                    <w:tl2br w:val="nil"/>
                    <w:tr2bl w:val="nil"/>
                  </w:tcBorders>
                  <w:noWrap w:val="0"/>
                  <w:vAlign w:val="center"/>
                </w:tcPr>
                <w:p w14:paraId="24F0D611">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0E564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499983D7">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6</w:t>
                  </w:r>
                </w:p>
              </w:tc>
              <w:tc>
                <w:tcPr>
                  <w:tcW w:w="3489" w:type="pct"/>
                  <w:tcBorders>
                    <w:tl2br w:val="nil"/>
                    <w:tr2bl w:val="nil"/>
                  </w:tcBorders>
                  <w:noWrap w:val="0"/>
                  <w:vAlign w:val="center"/>
                </w:tcPr>
                <w:p w14:paraId="31D47C98">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禁止违反风景名胜区规划，在风景名胜区内设立各类开发区。禁止在风景名胜区核心景区的岸线和河段范围内建设宾馆、招待所、培训中心、疗养院以及与风景名胜资源保护无关的项目。</w:t>
                  </w:r>
                </w:p>
              </w:tc>
              <w:tc>
                <w:tcPr>
                  <w:tcW w:w="1007" w:type="pct"/>
                  <w:tcBorders>
                    <w:tl2br w:val="nil"/>
                    <w:tr2bl w:val="nil"/>
                  </w:tcBorders>
                  <w:noWrap w:val="0"/>
                  <w:vAlign w:val="center"/>
                </w:tcPr>
                <w:p w14:paraId="2E955AB9">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本项目位于</w:t>
                  </w:r>
                  <w:r>
                    <w:rPr>
                      <w:rFonts w:hint="default" w:ascii="Times New Roman" w:hAnsi="Times New Roman" w:cs="Times New Roman"/>
                      <w:color w:val="auto"/>
                      <w:sz w:val="18"/>
                      <w:szCs w:val="18"/>
                      <w:lang w:eastAsia="zh-CN"/>
                    </w:rPr>
                    <w:t>合川区</w:t>
                  </w:r>
                  <w:r>
                    <w:rPr>
                      <w:rFonts w:hint="eastAsia" w:ascii="Times New Roman" w:hAnsi="Times New Roman" w:cs="Times New Roman"/>
                      <w:color w:val="auto"/>
                      <w:sz w:val="18"/>
                      <w:szCs w:val="18"/>
                      <w:lang w:eastAsia="zh-CN"/>
                    </w:rPr>
                    <w:t>南溪组团A区</w:t>
                  </w:r>
                  <w:r>
                    <w:rPr>
                      <w:rFonts w:hint="default" w:ascii="Times New Roman" w:hAnsi="Times New Roman" w:eastAsia="宋体" w:cs="Times New Roman"/>
                      <w:color w:val="auto"/>
                      <w:sz w:val="18"/>
                      <w:szCs w:val="18"/>
                    </w:rPr>
                    <w:t>，不涉及风景名胜区</w:t>
                  </w:r>
                </w:p>
              </w:tc>
              <w:tc>
                <w:tcPr>
                  <w:tcW w:w="251" w:type="pct"/>
                  <w:tcBorders>
                    <w:tl2br w:val="nil"/>
                    <w:tr2bl w:val="nil"/>
                  </w:tcBorders>
                  <w:noWrap w:val="0"/>
                  <w:vAlign w:val="center"/>
                </w:tcPr>
                <w:p w14:paraId="1B32D78B">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4ED4A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67537306">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7</w:t>
                  </w:r>
                </w:p>
              </w:tc>
              <w:tc>
                <w:tcPr>
                  <w:tcW w:w="3489" w:type="pct"/>
                  <w:tcBorders>
                    <w:tl2br w:val="nil"/>
                    <w:tr2bl w:val="nil"/>
                  </w:tcBorders>
                  <w:noWrap w:val="0"/>
                  <w:vAlign w:val="center"/>
                </w:tcPr>
                <w:p w14:paraId="66C2243E">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1007" w:type="pct"/>
                  <w:vMerge w:val="restart"/>
                  <w:tcBorders>
                    <w:tl2br w:val="nil"/>
                    <w:tr2bl w:val="nil"/>
                  </w:tcBorders>
                  <w:noWrap w:val="0"/>
                  <w:vAlign w:val="center"/>
                </w:tcPr>
                <w:p w14:paraId="0E69D372">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本项目位于</w:t>
                  </w:r>
                  <w:r>
                    <w:rPr>
                      <w:rFonts w:hint="default" w:ascii="Times New Roman" w:hAnsi="Times New Roman" w:cs="Times New Roman"/>
                      <w:color w:val="auto"/>
                      <w:sz w:val="18"/>
                      <w:szCs w:val="18"/>
                      <w:lang w:eastAsia="zh-CN"/>
                    </w:rPr>
                    <w:t>合川区</w:t>
                  </w:r>
                  <w:r>
                    <w:rPr>
                      <w:rFonts w:hint="eastAsia" w:ascii="Times New Roman" w:hAnsi="Times New Roman" w:cs="Times New Roman"/>
                      <w:color w:val="auto"/>
                      <w:sz w:val="18"/>
                      <w:szCs w:val="18"/>
                      <w:lang w:eastAsia="zh-CN"/>
                    </w:rPr>
                    <w:t>南溪组团A区</w:t>
                  </w:r>
                  <w:r>
                    <w:rPr>
                      <w:rFonts w:hint="default" w:ascii="Times New Roman" w:hAnsi="Times New Roman" w:eastAsia="宋体" w:cs="Times New Roman"/>
                      <w:color w:val="auto"/>
                      <w:sz w:val="18"/>
                      <w:szCs w:val="18"/>
                    </w:rPr>
                    <w:t>，不涉及饮用水水源保护区</w:t>
                  </w:r>
                </w:p>
              </w:tc>
              <w:tc>
                <w:tcPr>
                  <w:tcW w:w="251" w:type="pct"/>
                  <w:tcBorders>
                    <w:tl2br w:val="nil"/>
                    <w:tr2bl w:val="nil"/>
                  </w:tcBorders>
                  <w:noWrap w:val="0"/>
                  <w:vAlign w:val="center"/>
                </w:tcPr>
                <w:p w14:paraId="2E8512F5">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12A99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51D0CE21">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8</w:t>
                  </w:r>
                </w:p>
              </w:tc>
              <w:tc>
                <w:tcPr>
                  <w:tcW w:w="3489" w:type="pct"/>
                  <w:tcBorders>
                    <w:tl2br w:val="nil"/>
                    <w:tr2bl w:val="nil"/>
                  </w:tcBorders>
                  <w:noWrap w:val="0"/>
                  <w:vAlign w:val="center"/>
                </w:tcPr>
                <w:p w14:paraId="77B9F054">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禁止在饮用水水源准保护区的岸线和河段范围内新建、扩建对水体污染严重的建设项目，禁止改建增加排污量的建设项目。</w:t>
                  </w:r>
                </w:p>
              </w:tc>
              <w:tc>
                <w:tcPr>
                  <w:tcW w:w="1007" w:type="pct"/>
                  <w:vMerge w:val="continue"/>
                  <w:tcBorders>
                    <w:tl2br w:val="nil"/>
                    <w:tr2bl w:val="nil"/>
                  </w:tcBorders>
                  <w:noWrap w:val="0"/>
                  <w:vAlign w:val="center"/>
                </w:tcPr>
                <w:p w14:paraId="5601F557">
                  <w:pPr>
                    <w:pStyle w:val="112"/>
                    <w:spacing w:line="240" w:lineRule="auto"/>
                    <w:jc w:val="both"/>
                    <w:rPr>
                      <w:rFonts w:hint="default" w:ascii="Times New Roman" w:hAnsi="Times New Roman" w:eastAsia="宋体" w:cs="Times New Roman"/>
                      <w:color w:val="auto"/>
                      <w:sz w:val="18"/>
                      <w:szCs w:val="18"/>
                    </w:rPr>
                  </w:pPr>
                </w:p>
              </w:tc>
              <w:tc>
                <w:tcPr>
                  <w:tcW w:w="251" w:type="pct"/>
                  <w:tcBorders>
                    <w:tl2br w:val="nil"/>
                    <w:tr2bl w:val="nil"/>
                  </w:tcBorders>
                  <w:noWrap w:val="0"/>
                  <w:vAlign w:val="center"/>
                </w:tcPr>
                <w:p w14:paraId="04D07669">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7D4C9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72AE6F95">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9</w:t>
                  </w:r>
                </w:p>
              </w:tc>
              <w:tc>
                <w:tcPr>
                  <w:tcW w:w="3489" w:type="pct"/>
                  <w:tcBorders>
                    <w:tl2br w:val="nil"/>
                    <w:tr2bl w:val="nil"/>
                  </w:tcBorders>
                  <w:noWrap w:val="0"/>
                  <w:vAlign w:val="center"/>
                </w:tcPr>
                <w:p w14:paraId="6E474A00">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饮用水水源二级保护区的岸线和河段范围内，除应遵守准保护区规定外，禁止新建、改建、扩建排放污染物的投资建设项目；禁止从事采石（砂）、对水体有污染的水产养殖等活动。</w:t>
                  </w:r>
                </w:p>
              </w:tc>
              <w:tc>
                <w:tcPr>
                  <w:tcW w:w="1007" w:type="pct"/>
                  <w:vMerge w:val="continue"/>
                  <w:tcBorders>
                    <w:tl2br w:val="nil"/>
                    <w:tr2bl w:val="nil"/>
                  </w:tcBorders>
                  <w:noWrap w:val="0"/>
                  <w:vAlign w:val="center"/>
                </w:tcPr>
                <w:p w14:paraId="2C277B45">
                  <w:pPr>
                    <w:pStyle w:val="112"/>
                    <w:spacing w:line="240" w:lineRule="auto"/>
                    <w:jc w:val="both"/>
                    <w:rPr>
                      <w:rFonts w:hint="default" w:ascii="Times New Roman" w:hAnsi="Times New Roman" w:eastAsia="宋体" w:cs="Times New Roman"/>
                      <w:color w:val="auto"/>
                      <w:sz w:val="18"/>
                      <w:szCs w:val="18"/>
                    </w:rPr>
                  </w:pPr>
                </w:p>
              </w:tc>
              <w:tc>
                <w:tcPr>
                  <w:tcW w:w="251" w:type="pct"/>
                  <w:tcBorders>
                    <w:tl2br w:val="nil"/>
                    <w:tr2bl w:val="nil"/>
                  </w:tcBorders>
                  <w:noWrap w:val="0"/>
                  <w:vAlign w:val="center"/>
                </w:tcPr>
                <w:p w14:paraId="277C4613">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23447F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4B8EF549">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10</w:t>
                  </w:r>
                </w:p>
              </w:tc>
              <w:tc>
                <w:tcPr>
                  <w:tcW w:w="3489" w:type="pct"/>
                  <w:tcBorders>
                    <w:tl2br w:val="nil"/>
                    <w:tr2bl w:val="nil"/>
                  </w:tcBorders>
                  <w:noWrap w:val="0"/>
                  <w:vAlign w:val="center"/>
                </w:tcPr>
                <w:p w14:paraId="4835B682">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饮用水水源一级保护区的岸线和河段范围内，除应遵守二级保护区规定外，禁止新建、改建、扩建与供（取）水设施和保护水源无关的项目，以及网箱养殖、畜禽养殖、旅游等可能污染饮用水水体的投资建设项目。</w:t>
                  </w:r>
                </w:p>
              </w:tc>
              <w:tc>
                <w:tcPr>
                  <w:tcW w:w="1007" w:type="pct"/>
                  <w:vMerge w:val="continue"/>
                  <w:tcBorders>
                    <w:tl2br w:val="nil"/>
                    <w:tr2bl w:val="nil"/>
                  </w:tcBorders>
                  <w:noWrap w:val="0"/>
                  <w:vAlign w:val="center"/>
                </w:tcPr>
                <w:p w14:paraId="039B1DD3">
                  <w:pPr>
                    <w:pStyle w:val="112"/>
                    <w:spacing w:line="240" w:lineRule="auto"/>
                    <w:jc w:val="both"/>
                    <w:rPr>
                      <w:rFonts w:hint="default" w:ascii="Times New Roman" w:hAnsi="Times New Roman" w:eastAsia="宋体" w:cs="Times New Roman"/>
                      <w:color w:val="auto"/>
                      <w:sz w:val="18"/>
                      <w:szCs w:val="18"/>
                    </w:rPr>
                  </w:pPr>
                </w:p>
              </w:tc>
              <w:tc>
                <w:tcPr>
                  <w:tcW w:w="251" w:type="pct"/>
                  <w:tcBorders>
                    <w:tl2br w:val="nil"/>
                    <w:tr2bl w:val="nil"/>
                  </w:tcBorders>
                  <w:noWrap w:val="0"/>
                  <w:vAlign w:val="center"/>
                </w:tcPr>
                <w:p w14:paraId="5411E332">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665B7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2021CC74">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11</w:t>
                  </w:r>
                </w:p>
              </w:tc>
              <w:tc>
                <w:tcPr>
                  <w:tcW w:w="3489" w:type="pct"/>
                  <w:tcBorders>
                    <w:tl2br w:val="nil"/>
                    <w:tr2bl w:val="nil"/>
                  </w:tcBorders>
                  <w:noWrap w:val="0"/>
                  <w:vAlign w:val="center"/>
                </w:tcPr>
                <w:p w14:paraId="496AC42A">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1007" w:type="pct"/>
                  <w:vMerge w:val="restart"/>
                  <w:tcBorders>
                    <w:tl2br w:val="nil"/>
                    <w:tr2bl w:val="nil"/>
                  </w:tcBorders>
                  <w:noWrap w:val="0"/>
                  <w:vAlign w:val="center"/>
                </w:tcPr>
                <w:p w14:paraId="4A8C11CC">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本项目位于</w:t>
                  </w:r>
                  <w:r>
                    <w:rPr>
                      <w:rFonts w:hint="default" w:ascii="Times New Roman" w:hAnsi="Times New Roman" w:cs="Times New Roman"/>
                      <w:color w:val="auto"/>
                      <w:sz w:val="18"/>
                      <w:szCs w:val="18"/>
                      <w:lang w:eastAsia="zh-CN"/>
                    </w:rPr>
                    <w:t>合川区</w:t>
                  </w:r>
                  <w:r>
                    <w:rPr>
                      <w:rFonts w:hint="eastAsia" w:ascii="Times New Roman" w:hAnsi="Times New Roman" w:cs="Times New Roman"/>
                      <w:color w:val="auto"/>
                      <w:sz w:val="18"/>
                      <w:szCs w:val="18"/>
                      <w:lang w:eastAsia="zh-CN"/>
                    </w:rPr>
                    <w:t>南溪组团A区</w:t>
                  </w:r>
                  <w:r>
                    <w:rPr>
                      <w:rFonts w:hint="default" w:ascii="Times New Roman" w:hAnsi="Times New Roman" w:eastAsia="宋体" w:cs="Times New Roman"/>
                      <w:color w:val="auto"/>
                      <w:sz w:val="18"/>
                      <w:szCs w:val="18"/>
                    </w:rPr>
                    <w:t>，不涉及水产种质资源保护区</w:t>
                  </w:r>
                </w:p>
              </w:tc>
              <w:tc>
                <w:tcPr>
                  <w:tcW w:w="251" w:type="pct"/>
                  <w:tcBorders>
                    <w:tl2br w:val="nil"/>
                    <w:tr2bl w:val="nil"/>
                  </w:tcBorders>
                  <w:noWrap w:val="0"/>
                  <w:vAlign w:val="center"/>
                </w:tcPr>
                <w:p w14:paraId="03DDA6B4">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5261A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3A4C4077">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12</w:t>
                  </w:r>
                </w:p>
              </w:tc>
              <w:tc>
                <w:tcPr>
                  <w:tcW w:w="3489" w:type="pct"/>
                  <w:tcBorders>
                    <w:tl2br w:val="nil"/>
                    <w:tr2bl w:val="nil"/>
                  </w:tcBorders>
                  <w:noWrap w:val="0"/>
                  <w:vAlign w:val="center"/>
                </w:tcPr>
                <w:p w14:paraId="1457B767">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禁止在水产种质资源保护区岸线和河段范围内新建围湖造田、围湖造地或挖沙采石等投资建设项目。</w:t>
                  </w:r>
                </w:p>
              </w:tc>
              <w:tc>
                <w:tcPr>
                  <w:tcW w:w="1007" w:type="pct"/>
                  <w:vMerge w:val="continue"/>
                  <w:tcBorders>
                    <w:tl2br w:val="nil"/>
                    <w:tr2bl w:val="nil"/>
                  </w:tcBorders>
                  <w:noWrap w:val="0"/>
                  <w:vAlign w:val="center"/>
                </w:tcPr>
                <w:p w14:paraId="40A1B6B2">
                  <w:pPr>
                    <w:pStyle w:val="112"/>
                    <w:spacing w:line="240" w:lineRule="auto"/>
                    <w:jc w:val="both"/>
                    <w:rPr>
                      <w:rFonts w:hint="default" w:ascii="Times New Roman" w:hAnsi="Times New Roman" w:eastAsia="宋体" w:cs="Times New Roman"/>
                      <w:color w:val="auto"/>
                      <w:sz w:val="18"/>
                      <w:szCs w:val="18"/>
                    </w:rPr>
                  </w:pPr>
                </w:p>
              </w:tc>
              <w:tc>
                <w:tcPr>
                  <w:tcW w:w="251" w:type="pct"/>
                  <w:tcBorders>
                    <w:tl2br w:val="nil"/>
                    <w:tr2bl w:val="nil"/>
                  </w:tcBorders>
                  <w:noWrap w:val="0"/>
                  <w:vAlign w:val="center"/>
                </w:tcPr>
                <w:p w14:paraId="3929FCBB">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6EDD7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46FC8491">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13</w:t>
                  </w:r>
                </w:p>
              </w:tc>
              <w:tc>
                <w:tcPr>
                  <w:tcW w:w="3489" w:type="pct"/>
                  <w:tcBorders>
                    <w:tl2br w:val="nil"/>
                    <w:tr2bl w:val="nil"/>
                  </w:tcBorders>
                  <w:noWrap w:val="0"/>
                  <w:vAlign w:val="center"/>
                </w:tcPr>
                <w:p w14:paraId="5EB696F8">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国家湿地公园的岸线和河段范围内开（围）垦、填埋或者排干湿地，截断湿地水源，挖沙、采矿，倾倒有毒有害物质、废弃物、垃圾，从事房地产、度假村、高尔夫球场、风力发电、光伏发电等任何不符合主体功能定位的建设项目和开发活动，破坏野生动物栖息地和迁徙通道、鱼类洄游通道。</w:t>
                  </w:r>
                </w:p>
              </w:tc>
              <w:tc>
                <w:tcPr>
                  <w:tcW w:w="1007" w:type="pct"/>
                  <w:tcBorders>
                    <w:tl2br w:val="nil"/>
                    <w:tr2bl w:val="nil"/>
                  </w:tcBorders>
                  <w:noWrap w:val="0"/>
                  <w:vAlign w:val="center"/>
                </w:tcPr>
                <w:p w14:paraId="3D2E3D43">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本项目位于</w:t>
                  </w:r>
                  <w:r>
                    <w:rPr>
                      <w:rFonts w:hint="default" w:ascii="Times New Roman" w:hAnsi="Times New Roman" w:cs="Times New Roman"/>
                      <w:color w:val="auto"/>
                      <w:sz w:val="18"/>
                      <w:szCs w:val="18"/>
                      <w:lang w:eastAsia="zh-CN"/>
                    </w:rPr>
                    <w:t>合川区</w:t>
                  </w:r>
                  <w:r>
                    <w:rPr>
                      <w:rFonts w:hint="eastAsia" w:ascii="Times New Roman" w:hAnsi="Times New Roman" w:cs="Times New Roman"/>
                      <w:color w:val="auto"/>
                      <w:sz w:val="18"/>
                      <w:szCs w:val="18"/>
                      <w:lang w:eastAsia="zh-CN"/>
                    </w:rPr>
                    <w:t>南溪组团A区</w:t>
                  </w:r>
                  <w:r>
                    <w:rPr>
                      <w:rFonts w:hint="default" w:ascii="Times New Roman" w:hAnsi="Times New Roman" w:eastAsia="宋体" w:cs="Times New Roman"/>
                      <w:color w:val="auto"/>
                      <w:sz w:val="18"/>
                      <w:szCs w:val="18"/>
                    </w:rPr>
                    <w:t>，不涉及国家湿地公园</w:t>
                  </w:r>
                </w:p>
              </w:tc>
              <w:tc>
                <w:tcPr>
                  <w:tcW w:w="251" w:type="pct"/>
                  <w:tcBorders>
                    <w:tl2br w:val="nil"/>
                    <w:tr2bl w:val="nil"/>
                  </w:tcBorders>
                  <w:noWrap w:val="0"/>
                  <w:vAlign w:val="center"/>
                </w:tcPr>
                <w:p w14:paraId="47B0FBAC">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2B02C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70342721">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14</w:t>
                  </w:r>
                </w:p>
              </w:tc>
              <w:tc>
                <w:tcPr>
                  <w:tcW w:w="3489" w:type="pct"/>
                  <w:tcBorders>
                    <w:tl2br w:val="nil"/>
                    <w:tr2bl w:val="nil"/>
                  </w:tcBorders>
                  <w:noWrap w:val="0"/>
                  <w:vAlign w:val="center"/>
                </w:tcPr>
                <w:p w14:paraId="61008280">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007" w:type="pct"/>
                  <w:vMerge w:val="restart"/>
                  <w:tcBorders>
                    <w:tl2br w:val="nil"/>
                    <w:tr2bl w:val="nil"/>
                  </w:tcBorders>
                  <w:noWrap w:val="0"/>
                  <w:vAlign w:val="center"/>
                </w:tcPr>
                <w:p w14:paraId="1D36F00C">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本项目位于</w:t>
                  </w:r>
                  <w:r>
                    <w:rPr>
                      <w:rFonts w:hint="default" w:ascii="Times New Roman" w:hAnsi="Times New Roman" w:cs="Times New Roman"/>
                      <w:color w:val="auto"/>
                      <w:sz w:val="18"/>
                      <w:szCs w:val="18"/>
                      <w:lang w:eastAsia="zh-CN"/>
                    </w:rPr>
                    <w:t>合川区</w:t>
                  </w:r>
                  <w:r>
                    <w:rPr>
                      <w:rFonts w:hint="eastAsia" w:ascii="Times New Roman" w:hAnsi="Times New Roman" w:cs="Times New Roman"/>
                      <w:color w:val="auto"/>
                      <w:sz w:val="18"/>
                      <w:szCs w:val="18"/>
                      <w:lang w:eastAsia="zh-CN"/>
                    </w:rPr>
                    <w:t>南溪组团A区</w:t>
                  </w:r>
                  <w:r>
                    <w:rPr>
                      <w:rFonts w:hint="default" w:ascii="Times New Roman" w:hAnsi="Times New Roman" w:eastAsia="宋体" w:cs="Times New Roman"/>
                      <w:color w:val="auto"/>
                      <w:sz w:val="18"/>
                      <w:szCs w:val="18"/>
                    </w:rPr>
                    <w:t>，不占用利用、占用长江流域河湖岸线</w:t>
                  </w:r>
                </w:p>
              </w:tc>
              <w:tc>
                <w:tcPr>
                  <w:tcW w:w="251" w:type="pct"/>
                  <w:tcBorders>
                    <w:tl2br w:val="nil"/>
                    <w:tr2bl w:val="nil"/>
                  </w:tcBorders>
                  <w:noWrap w:val="0"/>
                  <w:vAlign w:val="center"/>
                </w:tcPr>
                <w:p w14:paraId="6ECE24A8">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37CF75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5AC832F8">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15</w:t>
                  </w:r>
                </w:p>
              </w:tc>
              <w:tc>
                <w:tcPr>
                  <w:tcW w:w="3489" w:type="pct"/>
                  <w:tcBorders>
                    <w:tl2br w:val="nil"/>
                    <w:tr2bl w:val="nil"/>
                  </w:tcBorders>
                  <w:noWrap w:val="0"/>
                  <w:vAlign w:val="center"/>
                </w:tcPr>
                <w:p w14:paraId="60176CF5">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违法利用、占用长江流域河湖岸线。禁止在《长江岸线保护和开发利用总体规划》划定的岸线保护区和岸线保留区内投资建设除事关公共安全及公众利益的防洪护岸、河道治理、供水、生态环境保护、航道整治、国家重要基础设施以外的项目。</w:t>
                  </w:r>
                </w:p>
              </w:tc>
              <w:tc>
                <w:tcPr>
                  <w:tcW w:w="1007" w:type="pct"/>
                  <w:vMerge w:val="continue"/>
                  <w:tcBorders>
                    <w:tl2br w:val="nil"/>
                    <w:tr2bl w:val="nil"/>
                  </w:tcBorders>
                  <w:noWrap w:val="0"/>
                  <w:vAlign w:val="center"/>
                </w:tcPr>
                <w:p w14:paraId="0A0C3A64">
                  <w:pPr>
                    <w:pStyle w:val="112"/>
                    <w:spacing w:line="240" w:lineRule="auto"/>
                    <w:jc w:val="both"/>
                    <w:rPr>
                      <w:rFonts w:hint="default" w:ascii="Times New Roman" w:hAnsi="Times New Roman" w:eastAsia="宋体" w:cs="Times New Roman"/>
                      <w:color w:val="auto"/>
                      <w:sz w:val="18"/>
                      <w:szCs w:val="18"/>
                    </w:rPr>
                  </w:pPr>
                </w:p>
              </w:tc>
              <w:tc>
                <w:tcPr>
                  <w:tcW w:w="251" w:type="pct"/>
                  <w:tcBorders>
                    <w:tl2br w:val="nil"/>
                    <w:tr2bl w:val="nil"/>
                  </w:tcBorders>
                  <w:noWrap w:val="0"/>
                  <w:vAlign w:val="center"/>
                </w:tcPr>
                <w:p w14:paraId="130D8B6D">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62AE5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25BD6F58">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16</w:t>
                  </w:r>
                </w:p>
              </w:tc>
              <w:tc>
                <w:tcPr>
                  <w:tcW w:w="3489" w:type="pct"/>
                  <w:tcBorders>
                    <w:tl2br w:val="nil"/>
                    <w:tr2bl w:val="nil"/>
                  </w:tcBorders>
                  <w:noWrap w:val="0"/>
                  <w:vAlign w:val="center"/>
                </w:tcPr>
                <w:p w14:paraId="4A207CCC">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禁止在《全国重要江河湖泊水功能区划》划定的河段及湖泊保护区、保留区内投资建设不利于水资源及自然生态保护的项目。</w:t>
                  </w:r>
                </w:p>
              </w:tc>
              <w:tc>
                <w:tcPr>
                  <w:tcW w:w="1007" w:type="pct"/>
                  <w:tcBorders>
                    <w:tl2br w:val="nil"/>
                    <w:tr2bl w:val="nil"/>
                  </w:tcBorders>
                  <w:noWrap w:val="0"/>
                  <w:vAlign w:val="center"/>
                </w:tcPr>
                <w:p w14:paraId="06BEDF75">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本项目位于</w:t>
                  </w:r>
                  <w:r>
                    <w:rPr>
                      <w:rFonts w:hint="default" w:ascii="Times New Roman" w:hAnsi="Times New Roman" w:cs="Times New Roman"/>
                      <w:color w:val="auto"/>
                      <w:sz w:val="18"/>
                      <w:szCs w:val="18"/>
                      <w:lang w:eastAsia="zh-CN"/>
                    </w:rPr>
                    <w:t>合川区</w:t>
                  </w:r>
                  <w:r>
                    <w:rPr>
                      <w:rFonts w:hint="eastAsia" w:ascii="Times New Roman" w:hAnsi="Times New Roman" w:cs="Times New Roman"/>
                      <w:color w:val="auto"/>
                      <w:sz w:val="18"/>
                      <w:szCs w:val="18"/>
                      <w:lang w:eastAsia="zh-CN"/>
                    </w:rPr>
                    <w:t>南溪组团A区</w:t>
                  </w:r>
                  <w:r>
                    <w:rPr>
                      <w:rFonts w:hint="default" w:ascii="Times New Roman" w:hAnsi="Times New Roman" w:eastAsia="宋体" w:cs="Times New Roman"/>
                      <w:color w:val="auto"/>
                      <w:sz w:val="18"/>
                      <w:szCs w:val="18"/>
                    </w:rPr>
                    <w:t>，</w:t>
                  </w:r>
                  <w:r>
                    <w:rPr>
                      <w:rFonts w:hint="eastAsia" w:cs="Times New Roman"/>
                      <w:color w:val="auto"/>
                      <w:sz w:val="18"/>
                      <w:szCs w:val="18"/>
                      <w:lang w:val="en-US" w:eastAsia="zh-CN"/>
                    </w:rPr>
                    <w:t>且</w:t>
                  </w:r>
                  <w:r>
                    <w:rPr>
                      <w:rFonts w:hint="default" w:ascii="Times New Roman" w:hAnsi="Times New Roman" w:eastAsia="宋体" w:cs="Times New Roman"/>
                      <w:color w:val="auto"/>
                      <w:sz w:val="18"/>
                      <w:szCs w:val="18"/>
                    </w:rPr>
                    <w:t>不属于不利于水资源及自然生态保护的项目。</w:t>
                  </w:r>
                </w:p>
              </w:tc>
              <w:tc>
                <w:tcPr>
                  <w:tcW w:w="251" w:type="pct"/>
                  <w:tcBorders>
                    <w:tl2br w:val="nil"/>
                    <w:tr2bl w:val="nil"/>
                  </w:tcBorders>
                  <w:noWrap w:val="0"/>
                  <w:vAlign w:val="center"/>
                </w:tcPr>
                <w:p w14:paraId="3FFAD82C">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4B4D53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686A8828">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17</w:t>
                  </w:r>
                </w:p>
              </w:tc>
              <w:tc>
                <w:tcPr>
                  <w:tcW w:w="3489" w:type="pct"/>
                  <w:tcBorders>
                    <w:tl2br w:val="nil"/>
                    <w:tr2bl w:val="nil"/>
                  </w:tcBorders>
                  <w:noWrap w:val="0"/>
                  <w:vAlign w:val="center"/>
                </w:tcPr>
                <w:p w14:paraId="6F733877">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禁止未经许可在长江干支流及湖泊新设、改设或扩大排污口。</w:t>
                  </w:r>
                </w:p>
              </w:tc>
              <w:tc>
                <w:tcPr>
                  <w:tcW w:w="1007" w:type="pct"/>
                  <w:vMerge w:val="restart"/>
                  <w:tcBorders>
                    <w:tl2br w:val="nil"/>
                    <w:tr2bl w:val="nil"/>
                  </w:tcBorders>
                  <w:noWrap w:val="0"/>
                  <w:vAlign w:val="center"/>
                </w:tcPr>
                <w:p w14:paraId="1C0BE23B">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本项目生活污水</w:t>
                  </w:r>
                  <w:r>
                    <w:rPr>
                      <w:rFonts w:hint="default" w:ascii="Times New Roman" w:hAnsi="Times New Roman" w:eastAsia="宋体" w:cs="Times New Roman"/>
                      <w:color w:val="auto"/>
                      <w:sz w:val="18"/>
                      <w:szCs w:val="18"/>
                      <w:lang w:val="en-US" w:eastAsia="zh-CN"/>
                    </w:rPr>
                    <w:t>经</w:t>
                  </w:r>
                  <w:r>
                    <w:rPr>
                      <w:rFonts w:hint="eastAsia" w:ascii="Times New Roman" w:hAnsi="Times New Roman" w:cs="Times New Roman"/>
                      <w:color w:val="auto"/>
                      <w:sz w:val="18"/>
                      <w:szCs w:val="18"/>
                      <w:lang w:eastAsia="zh-CN"/>
                    </w:rPr>
                    <w:t>南溪组团A区污水处理厂</w:t>
                  </w:r>
                  <w:r>
                    <w:rPr>
                      <w:rFonts w:hint="default" w:ascii="Times New Roman" w:hAnsi="Times New Roman" w:eastAsia="宋体" w:cs="Times New Roman"/>
                      <w:color w:val="auto"/>
                      <w:sz w:val="18"/>
                      <w:szCs w:val="18"/>
                    </w:rPr>
                    <w:t>处理后</w:t>
                  </w:r>
                  <w:r>
                    <w:rPr>
                      <w:rFonts w:hint="eastAsia" w:cs="Times New Roman"/>
                      <w:color w:val="auto"/>
                      <w:sz w:val="18"/>
                      <w:szCs w:val="18"/>
                      <w:lang w:val="en-US" w:eastAsia="zh-CN"/>
                    </w:rPr>
                    <w:t>达标</w:t>
                  </w:r>
                  <w:r>
                    <w:rPr>
                      <w:rFonts w:hint="default" w:ascii="Times New Roman" w:hAnsi="Times New Roman" w:eastAsia="宋体" w:cs="Times New Roman"/>
                      <w:color w:val="auto"/>
                      <w:sz w:val="18"/>
                      <w:szCs w:val="18"/>
                    </w:rPr>
                    <w:t>排放。</w:t>
                  </w:r>
                </w:p>
              </w:tc>
              <w:tc>
                <w:tcPr>
                  <w:tcW w:w="251" w:type="pct"/>
                  <w:tcBorders>
                    <w:tl2br w:val="nil"/>
                    <w:tr2bl w:val="nil"/>
                  </w:tcBorders>
                  <w:noWrap w:val="0"/>
                  <w:vAlign w:val="center"/>
                </w:tcPr>
                <w:p w14:paraId="6FEA513A">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57A13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7CE58AF2">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18</w:t>
                  </w:r>
                </w:p>
              </w:tc>
              <w:tc>
                <w:tcPr>
                  <w:tcW w:w="3489" w:type="pct"/>
                  <w:tcBorders>
                    <w:tl2br w:val="nil"/>
                    <w:tr2bl w:val="nil"/>
                  </w:tcBorders>
                  <w:noWrap w:val="0"/>
                  <w:vAlign w:val="center"/>
                </w:tcPr>
                <w:p w14:paraId="25CD9E59">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禁止在长江流域江河、湖泊新设、改设或者扩大排污口，经有管辖权的生态环境主管部门或者长江流域生态环境监督管理机构同意的除外。</w:t>
                  </w:r>
                </w:p>
              </w:tc>
              <w:tc>
                <w:tcPr>
                  <w:tcW w:w="1007" w:type="pct"/>
                  <w:vMerge w:val="continue"/>
                  <w:tcBorders>
                    <w:tl2br w:val="nil"/>
                    <w:tr2bl w:val="nil"/>
                  </w:tcBorders>
                  <w:noWrap w:val="0"/>
                  <w:vAlign w:val="center"/>
                </w:tcPr>
                <w:p w14:paraId="20A0D634">
                  <w:pPr>
                    <w:pStyle w:val="112"/>
                    <w:spacing w:line="240" w:lineRule="auto"/>
                    <w:jc w:val="both"/>
                    <w:rPr>
                      <w:rFonts w:hint="default" w:ascii="Times New Roman" w:hAnsi="Times New Roman" w:eastAsia="宋体" w:cs="Times New Roman"/>
                      <w:color w:val="auto"/>
                      <w:sz w:val="18"/>
                      <w:szCs w:val="18"/>
                    </w:rPr>
                  </w:pPr>
                </w:p>
              </w:tc>
              <w:tc>
                <w:tcPr>
                  <w:tcW w:w="251" w:type="pct"/>
                  <w:tcBorders>
                    <w:tl2br w:val="nil"/>
                    <w:tr2bl w:val="nil"/>
                  </w:tcBorders>
                  <w:noWrap w:val="0"/>
                  <w:vAlign w:val="center"/>
                </w:tcPr>
                <w:p w14:paraId="7EDB10C1">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7B9608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40B1295B">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19</w:t>
                  </w:r>
                </w:p>
              </w:tc>
              <w:tc>
                <w:tcPr>
                  <w:tcW w:w="3489" w:type="pct"/>
                  <w:tcBorders>
                    <w:tl2br w:val="nil"/>
                    <w:tr2bl w:val="nil"/>
                  </w:tcBorders>
                  <w:noWrap w:val="0"/>
                  <w:vAlign w:val="center"/>
                </w:tcPr>
                <w:p w14:paraId="107D1C60">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禁止在“一江一口两湖七河”和332个水生生物保护区开展生产性捕捞。</w:t>
                  </w:r>
                </w:p>
              </w:tc>
              <w:tc>
                <w:tcPr>
                  <w:tcW w:w="1007" w:type="pct"/>
                  <w:vMerge w:val="restart"/>
                  <w:tcBorders>
                    <w:tl2br w:val="nil"/>
                    <w:tr2bl w:val="nil"/>
                  </w:tcBorders>
                  <w:noWrap w:val="0"/>
                  <w:vAlign w:val="center"/>
                </w:tcPr>
                <w:p w14:paraId="19F275EB">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本项目不涉及</w:t>
                  </w:r>
                </w:p>
              </w:tc>
              <w:tc>
                <w:tcPr>
                  <w:tcW w:w="251" w:type="pct"/>
                  <w:tcBorders>
                    <w:tl2br w:val="nil"/>
                    <w:tr2bl w:val="nil"/>
                  </w:tcBorders>
                  <w:noWrap w:val="0"/>
                  <w:vAlign w:val="center"/>
                </w:tcPr>
                <w:p w14:paraId="1EA407F0">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1CE044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23E37337">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20</w:t>
                  </w:r>
                </w:p>
              </w:tc>
              <w:tc>
                <w:tcPr>
                  <w:tcW w:w="3489" w:type="pct"/>
                  <w:tcBorders>
                    <w:tl2br w:val="nil"/>
                    <w:tr2bl w:val="nil"/>
                  </w:tcBorders>
                  <w:noWrap w:val="0"/>
                  <w:vAlign w:val="center"/>
                </w:tcPr>
                <w:p w14:paraId="748400A4">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禁止在长江、大渡河、岷江、赤水河、沱江、嘉陵江、乌江、汉江和51个（四川省45个、重庆市6个）水生生物保护区开展生产性捕捞。</w:t>
                  </w:r>
                </w:p>
              </w:tc>
              <w:tc>
                <w:tcPr>
                  <w:tcW w:w="1007" w:type="pct"/>
                  <w:vMerge w:val="continue"/>
                  <w:tcBorders>
                    <w:tl2br w:val="nil"/>
                    <w:tr2bl w:val="nil"/>
                  </w:tcBorders>
                  <w:noWrap w:val="0"/>
                  <w:vAlign w:val="center"/>
                </w:tcPr>
                <w:p w14:paraId="46D6DC11">
                  <w:pPr>
                    <w:pStyle w:val="112"/>
                    <w:spacing w:line="240" w:lineRule="auto"/>
                    <w:jc w:val="both"/>
                    <w:rPr>
                      <w:rFonts w:hint="default" w:ascii="Times New Roman" w:hAnsi="Times New Roman" w:eastAsia="宋体" w:cs="Times New Roman"/>
                      <w:color w:val="auto"/>
                      <w:sz w:val="18"/>
                      <w:szCs w:val="18"/>
                    </w:rPr>
                  </w:pPr>
                </w:p>
              </w:tc>
              <w:tc>
                <w:tcPr>
                  <w:tcW w:w="251" w:type="pct"/>
                  <w:tcBorders>
                    <w:tl2br w:val="nil"/>
                    <w:tr2bl w:val="nil"/>
                  </w:tcBorders>
                  <w:noWrap w:val="0"/>
                  <w:vAlign w:val="center"/>
                </w:tcPr>
                <w:p w14:paraId="4004E78F">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6B2B4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 w:type="pct"/>
                  <w:tcBorders>
                    <w:tl2br w:val="nil"/>
                    <w:tr2bl w:val="nil"/>
                  </w:tcBorders>
                  <w:noWrap w:val="0"/>
                  <w:vAlign w:val="center"/>
                </w:tcPr>
                <w:p w14:paraId="0058BB77">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21</w:t>
                  </w:r>
                </w:p>
              </w:tc>
              <w:tc>
                <w:tcPr>
                  <w:tcW w:w="3489" w:type="pct"/>
                  <w:tcBorders>
                    <w:tl2br w:val="nil"/>
                    <w:tr2bl w:val="nil"/>
                  </w:tcBorders>
                  <w:noWrap w:val="0"/>
                  <w:vAlign w:val="center"/>
                </w:tcPr>
                <w:p w14:paraId="67ECA698">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1007" w:type="pct"/>
                  <w:tcBorders>
                    <w:tl2br w:val="nil"/>
                    <w:tr2bl w:val="nil"/>
                  </w:tcBorders>
                  <w:noWrap w:val="0"/>
                  <w:vAlign w:val="center"/>
                </w:tcPr>
                <w:p w14:paraId="13BBF7AE">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本项目不属于化工园区和化工项目；不属于尾矿库、冶炼渣库和磷石膏库</w:t>
                  </w:r>
                </w:p>
              </w:tc>
              <w:tc>
                <w:tcPr>
                  <w:tcW w:w="251" w:type="pct"/>
                  <w:tcBorders>
                    <w:tl2br w:val="nil"/>
                    <w:tr2bl w:val="nil"/>
                  </w:tcBorders>
                  <w:noWrap w:val="0"/>
                  <w:vAlign w:val="center"/>
                </w:tcPr>
                <w:p w14:paraId="26F6D908">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6A258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72F5AED2">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22</w:t>
                  </w:r>
                </w:p>
              </w:tc>
              <w:tc>
                <w:tcPr>
                  <w:tcW w:w="3489" w:type="pct"/>
                  <w:tcBorders>
                    <w:tl2br w:val="nil"/>
                    <w:tr2bl w:val="nil"/>
                  </w:tcBorders>
                  <w:noWrap w:val="0"/>
                  <w:vAlign w:val="center"/>
                </w:tcPr>
                <w:p w14:paraId="7748F18F">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禁止在长江干支流、重要湖泊岸线一公里范围内新建、扩建化工园区和化工项目。</w:t>
                  </w:r>
                </w:p>
              </w:tc>
              <w:tc>
                <w:tcPr>
                  <w:tcW w:w="1007" w:type="pct"/>
                  <w:tcBorders>
                    <w:tl2br w:val="nil"/>
                    <w:tr2bl w:val="nil"/>
                  </w:tcBorders>
                  <w:noWrap w:val="0"/>
                  <w:vAlign w:val="center"/>
                </w:tcPr>
                <w:p w14:paraId="4672083A">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本项目不属于化工园区和化工项目</w:t>
                  </w:r>
                </w:p>
              </w:tc>
              <w:tc>
                <w:tcPr>
                  <w:tcW w:w="251" w:type="pct"/>
                  <w:tcBorders>
                    <w:tl2br w:val="nil"/>
                    <w:tr2bl w:val="nil"/>
                  </w:tcBorders>
                  <w:noWrap w:val="0"/>
                  <w:vAlign w:val="center"/>
                </w:tcPr>
                <w:p w14:paraId="2480FD07">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1EA78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791389F8">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23</w:t>
                  </w:r>
                </w:p>
              </w:tc>
              <w:tc>
                <w:tcPr>
                  <w:tcW w:w="3489" w:type="pct"/>
                  <w:tcBorders>
                    <w:tl2br w:val="nil"/>
                    <w:tr2bl w:val="nil"/>
                  </w:tcBorders>
                  <w:noWrap w:val="0"/>
                  <w:vAlign w:val="center"/>
                </w:tcPr>
                <w:p w14:paraId="5252FB14">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禁止在长江干流岸线三公里范围内和重要支流岸线一公里范围内新建、改建、扩建尾矿库、冶炼渣库、磷石膏库，以提升安全、生态环境保护水平为目的的改建除外。</w:t>
                  </w:r>
                </w:p>
              </w:tc>
              <w:tc>
                <w:tcPr>
                  <w:tcW w:w="1007" w:type="pct"/>
                  <w:tcBorders>
                    <w:tl2br w:val="nil"/>
                    <w:tr2bl w:val="nil"/>
                  </w:tcBorders>
                  <w:noWrap w:val="0"/>
                  <w:vAlign w:val="center"/>
                </w:tcPr>
                <w:p w14:paraId="44431BB8">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本项目不属于尾矿库、冶炼渣库和磷石膏库</w:t>
                  </w:r>
                </w:p>
              </w:tc>
              <w:tc>
                <w:tcPr>
                  <w:tcW w:w="251" w:type="pct"/>
                  <w:tcBorders>
                    <w:tl2br w:val="nil"/>
                    <w:tr2bl w:val="nil"/>
                  </w:tcBorders>
                  <w:noWrap w:val="0"/>
                  <w:vAlign w:val="center"/>
                </w:tcPr>
                <w:p w14:paraId="05A1B9DF">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2ADB9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734F4A74">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24</w:t>
                  </w:r>
                </w:p>
              </w:tc>
              <w:tc>
                <w:tcPr>
                  <w:tcW w:w="3489" w:type="pct"/>
                  <w:tcBorders>
                    <w:tl2br w:val="nil"/>
                    <w:tr2bl w:val="nil"/>
                  </w:tcBorders>
                  <w:noWrap w:val="0"/>
                  <w:vAlign w:val="center"/>
                </w:tcPr>
                <w:p w14:paraId="39942FB0">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禁止在生态保护红线区域、永久基本农田集中区域和其他需要特别保护的区域内选址建设尾矿库、冶炼渣库、磷石膏库。</w:t>
                  </w:r>
                </w:p>
              </w:tc>
              <w:tc>
                <w:tcPr>
                  <w:tcW w:w="1007" w:type="pct"/>
                  <w:tcBorders>
                    <w:tl2br w:val="nil"/>
                    <w:tr2bl w:val="nil"/>
                  </w:tcBorders>
                  <w:noWrap w:val="0"/>
                  <w:vAlign w:val="center"/>
                </w:tcPr>
                <w:p w14:paraId="41E26879">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本项目位于</w:t>
                  </w:r>
                  <w:r>
                    <w:rPr>
                      <w:rFonts w:hint="default" w:ascii="Times New Roman" w:hAnsi="Times New Roman" w:cs="Times New Roman"/>
                      <w:color w:val="auto"/>
                      <w:sz w:val="18"/>
                      <w:szCs w:val="18"/>
                      <w:lang w:eastAsia="zh-CN"/>
                    </w:rPr>
                    <w:t>合川区</w:t>
                  </w:r>
                  <w:r>
                    <w:rPr>
                      <w:rFonts w:hint="eastAsia" w:ascii="Times New Roman" w:hAnsi="Times New Roman" w:cs="Times New Roman"/>
                      <w:color w:val="auto"/>
                      <w:sz w:val="18"/>
                      <w:szCs w:val="18"/>
                      <w:lang w:eastAsia="zh-CN"/>
                    </w:rPr>
                    <w:t>南溪组团A区</w:t>
                  </w:r>
                  <w:r>
                    <w:rPr>
                      <w:rFonts w:hint="default" w:ascii="Times New Roman" w:hAnsi="Times New Roman" w:eastAsia="宋体" w:cs="Times New Roman"/>
                      <w:color w:val="auto"/>
                      <w:sz w:val="18"/>
                      <w:szCs w:val="18"/>
                    </w:rPr>
                    <w:t>，不涉及生态保护红线区域、永久基本农田</w:t>
                  </w:r>
                </w:p>
              </w:tc>
              <w:tc>
                <w:tcPr>
                  <w:tcW w:w="251" w:type="pct"/>
                  <w:tcBorders>
                    <w:tl2br w:val="nil"/>
                    <w:tr2bl w:val="nil"/>
                  </w:tcBorders>
                  <w:noWrap w:val="0"/>
                  <w:vAlign w:val="center"/>
                </w:tcPr>
                <w:p w14:paraId="78838C15">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13619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3D65B419">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25</w:t>
                  </w:r>
                </w:p>
              </w:tc>
              <w:tc>
                <w:tcPr>
                  <w:tcW w:w="3489" w:type="pct"/>
                  <w:tcBorders>
                    <w:tl2br w:val="nil"/>
                    <w:tr2bl w:val="nil"/>
                  </w:tcBorders>
                  <w:noWrap w:val="0"/>
                  <w:vAlign w:val="center"/>
                </w:tcPr>
                <w:p w14:paraId="01091F05">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禁止在合规园区外新建、扩建钢铁、石化、化工、焦化、建材、有色、制浆造纸等高污染项目。</w:t>
                  </w:r>
                </w:p>
              </w:tc>
              <w:tc>
                <w:tcPr>
                  <w:tcW w:w="1007" w:type="pct"/>
                  <w:vMerge w:val="restart"/>
                  <w:tcBorders>
                    <w:tl2br w:val="nil"/>
                    <w:tr2bl w:val="nil"/>
                  </w:tcBorders>
                  <w:noWrap w:val="0"/>
                  <w:vAlign w:val="center"/>
                </w:tcPr>
                <w:p w14:paraId="1486FA85">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本项目位于</w:t>
                  </w:r>
                  <w:r>
                    <w:rPr>
                      <w:rFonts w:hint="default" w:ascii="Times New Roman" w:hAnsi="Times New Roman" w:cs="Times New Roman"/>
                      <w:color w:val="auto"/>
                      <w:sz w:val="18"/>
                      <w:szCs w:val="18"/>
                      <w:lang w:eastAsia="zh-CN"/>
                    </w:rPr>
                    <w:t>合川区</w:t>
                  </w:r>
                  <w:r>
                    <w:rPr>
                      <w:rFonts w:hint="eastAsia" w:ascii="Times New Roman" w:hAnsi="Times New Roman" w:cs="Times New Roman"/>
                      <w:color w:val="auto"/>
                      <w:sz w:val="18"/>
                      <w:szCs w:val="18"/>
                      <w:lang w:eastAsia="zh-CN"/>
                    </w:rPr>
                    <w:t>南溪组团A区</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该园区</w:t>
                  </w:r>
                  <w:r>
                    <w:rPr>
                      <w:rFonts w:hint="default" w:ascii="Times New Roman" w:hAnsi="Times New Roman" w:eastAsia="宋体" w:cs="Times New Roman"/>
                      <w:color w:val="auto"/>
                      <w:sz w:val="18"/>
                      <w:szCs w:val="18"/>
                    </w:rPr>
                    <w:t>属于合规园区</w:t>
                  </w:r>
                </w:p>
              </w:tc>
              <w:tc>
                <w:tcPr>
                  <w:tcW w:w="251" w:type="pct"/>
                  <w:tcBorders>
                    <w:tl2br w:val="nil"/>
                    <w:tr2bl w:val="nil"/>
                  </w:tcBorders>
                  <w:noWrap w:val="0"/>
                  <w:vAlign w:val="center"/>
                </w:tcPr>
                <w:p w14:paraId="722013D6">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26B23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0C28CBAB">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26</w:t>
                  </w:r>
                </w:p>
              </w:tc>
              <w:tc>
                <w:tcPr>
                  <w:tcW w:w="3489" w:type="pct"/>
                  <w:tcBorders>
                    <w:tl2br w:val="nil"/>
                    <w:tr2bl w:val="nil"/>
                  </w:tcBorders>
                  <w:noWrap w:val="0"/>
                  <w:vAlign w:val="center"/>
                </w:tcPr>
                <w:p w14:paraId="5E48B8AF">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禁止在合规园区外新建、扩建钢铁、石化、化工、焦化、建材、有色、制浆造纸等高污染项目。</w:t>
                  </w:r>
                </w:p>
              </w:tc>
              <w:tc>
                <w:tcPr>
                  <w:tcW w:w="1007" w:type="pct"/>
                  <w:vMerge w:val="continue"/>
                  <w:tcBorders>
                    <w:tl2br w:val="nil"/>
                    <w:tr2bl w:val="nil"/>
                  </w:tcBorders>
                  <w:noWrap w:val="0"/>
                  <w:vAlign w:val="center"/>
                </w:tcPr>
                <w:p w14:paraId="6067D2F4">
                  <w:pPr>
                    <w:pStyle w:val="112"/>
                    <w:spacing w:line="240" w:lineRule="auto"/>
                    <w:jc w:val="both"/>
                    <w:rPr>
                      <w:rFonts w:hint="default" w:ascii="Times New Roman" w:hAnsi="Times New Roman" w:eastAsia="宋体" w:cs="Times New Roman"/>
                      <w:color w:val="auto"/>
                      <w:sz w:val="18"/>
                      <w:szCs w:val="18"/>
                    </w:rPr>
                  </w:pPr>
                </w:p>
              </w:tc>
              <w:tc>
                <w:tcPr>
                  <w:tcW w:w="251" w:type="pct"/>
                  <w:tcBorders>
                    <w:tl2br w:val="nil"/>
                    <w:tr2bl w:val="nil"/>
                  </w:tcBorders>
                  <w:noWrap w:val="0"/>
                  <w:vAlign w:val="center"/>
                </w:tcPr>
                <w:p w14:paraId="3384F537">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4C2B7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4D6D7160">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27</w:t>
                  </w:r>
                </w:p>
              </w:tc>
              <w:tc>
                <w:tcPr>
                  <w:tcW w:w="3489" w:type="pct"/>
                  <w:tcBorders>
                    <w:tl2br w:val="nil"/>
                    <w:tr2bl w:val="nil"/>
                  </w:tcBorders>
                  <w:noWrap w:val="0"/>
                  <w:vAlign w:val="center"/>
                </w:tcPr>
                <w:p w14:paraId="248430DA">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禁止新建、扩建不符合国家石化、现代煤化工等产业布局规划的项目。</w:t>
                  </w:r>
                </w:p>
              </w:tc>
              <w:tc>
                <w:tcPr>
                  <w:tcW w:w="1007" w:type="pct"/>
                  <w:tcBorders>
                    <w:tl2br w:val="nil"/>
                    <w:tr2bl w:val="nil"/>
                  </w:tcBorders>
                  <w:noWrap w:val="0"/>
                  <w:vAlign w:val="center"/>
                </w:tcPr>
                <w:p w14:paraId="3F840454">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本项目不涉及</w:t>
                  </w:r>
                </w:p>
              </w:tc>
              <w:tc>
                <w:tcPr>
                  <w:tcW w:w="251" w:type="pct"/>
                  <w:tcBorders>
                    <w:tl2br w:val="nil"/>
                    <w:tr2bl w:val="nil"/>
                  </w:tcBorders>
                  <w:noWrap w:val="0"/>
                  <w:vAlign w:val="center"/>
                </w:tcPr>
                <w:p w14:paraId="78A647D0">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17C55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484F1FCF">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28</w:t>
                  </w:r>
                </w:p>
              </w:tc>
              <w:tc>
                <w:tcPr>
                  <w:tcW w:w="3489" w:type="pct"/>
                  <w:tcBorders>
                    <w:tl2br w:val="nil"/>
                    <w:tr2bl w:val="nil"/>
                  </w:tcBorders>
                  <w:noWrap w:val="0"/>
                  <w:vAlign w:val="center"/>
                </w:tcPr>
                <w:p w14:paraId="72339E4B">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禁止新建、扩建不符合国家石化、现代煤化工等产业布局规划的项目。</w:t>
                  </w:r>
                </w:p>
              </w:tc>
              <w:tc>
                <w:tcPr>
                  <w:tcW w:w="1007" w:type="pct"/>
                  <w:tcBorders>
                    <w:tl2br w:val="nil"/>
                    <w:tr2bl w:val="nil"/>
                  </w:tcBorders>
                  <w:noWrap w:val="0"/>
                  <w:vAlign w:val="center"/>
                </w:tcPr>
                <w:p w14:paraId="3FB80151">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本项目不涉及</w:t>
                  </w:r>
                </w:p>
              </w:tc>
              <w:tc>
                <w:tcPr>
                  <w:tcW w:w="251" w:type="pct"/>
                  <w:tcBorders>
                    <w:tl2br w:val="nil"/>
                    <w:tr2bl w:val="nil"/>
                  </w:tcBorders>
                  <w:noWrap w:val="0"/>
                  <w:vAlign w:val="center"/>
                </w:tcPr>
                <w:p w14:paraId="5DDFC56B">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4C365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09C959A6">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29</w:t>
                  </w:r>
                </w:p>
              </w:tc>
              <w:tc>
                <w:tcPr>
                  <w:tcW w:w="3489" w:type="pct"/>
                  <w:tcBorders>
                    <w:tl2br w:val="nil"/>
                    <w:tr2bl w:val="nil"/>
                  </w:tcBorders>
                  <w:noWrap w:val="0"/>
                  <w:vAlign w:val="center"/>
                </w:tcPr>
                <w:p w14:paraId="1202A4F6">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禁止新建、扩建法律法规和相关政策明令禁止的落后产能项目。禁止新建、扩建不符合国家产能置换要求的严重过剩产能行业的项目。禁止新建、扩建不符合要求的高耗能高排放项目。</w:t>
                  </w:r>
                </w:p>
              </w:tc>
              <w:tc>
                <w:tcPr>
                  <w:tcW w:w="1007" w:type="pct"/>
                  <w:tcBorders>
                    <w:tl2br w:val="nil"/>
                    <w:tr2bl w:val="nil"/>
                  </w:tcBorders>
                  <w:noWrap w:val="0"/>
                  <w:vAlign w:val="center"/>
                </w:tcPr>
                <w:p w14:paraId="24E89256">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本项目不属于落后产能、过剩产能及高耗能高排放项目</w:t>
                  </w:r>
                </w:p>
              </w:tc>
              <w:tc>
                <w:tcPr>
                  <w:tcW w:w="251" w:type="pct"/>
                  <w:tcBorders>
                    <w:tl2br w:val="nil"/>
                    <w:tr2bl w:val="nil"/>
                  </w:tcBorders>
                  <w:noWrap w:val="0"/>
                  <w:vAlign w:val="center"/>
                </w:tcPr>
                <w:p w14:paraId="75DB561D">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6A56F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66C46A35">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30</w:t>
                  </w:r>
                </w:p>
              </w:tc>
              <w:tc>
                <w:tcPr>
                  <w:tcW w:w="3489" w:type="pct"/>
                  <w:tcBorders>
                    <w:tl2br w:val="nil"/>
                    <w:tr2bl w:val="nil"/>
                  </w:tcBorders>
                  <w:noWrap w:val="0"/>
                  <w:vAlign w:val="center"/>
                </w:tcPr>
                <w:p w14:paraId="23C53637">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新建、扩建法律法规和相关政策明令禁止的落后产能项目。对《产业结构调整指导目录》中淘汰类项目，禁止投资；限制类的新建项目，禁止投资，对属于限制类的现有生产能力，允许企业在一定期限内采取措施改造升级。 </w:t>
                  </w:r>
                </w:p>
              </w:tc>
              <w:tc>
                <w:tcPr>
                  <w:tcW w:w="1007" w:type="pct"/>
                  <w:tcBorders>
                    <w:tl2br w:val="nil"/>
                    <w:tr2bl w:val="nil"/>
                  </w:tcBorders>
                  <w:noWrap w:val="0"/>
                  <w:vAlign w:val="center"/>
                </w:tcPr>
                <w:p w14:paraId="1EC4B7EA">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本项目不属于淘汰类项目</w:t>
                  </w:r>
                </w:p>
              </w:tc>
              <w:tc>
                <w:tcPr>
                  <w:tcW w:w="251" w:type="pct"/>
                  <w:tcBorders>
                    <w:tl2br w:val="nil"/>
                    <w:tr2bl w:val="nil"/>
                  </w:tcBorders>
                  <w:noWrap w:val="0"/>
                  <w:vAlign w:val="center"/>
                </w:tcPr>
                <w:p w14:paraId="10EDCFD3">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1AF16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50" w:type="pct"/>
                  <w:tcBorders>
                    <w:tl2br w:val="nil"/>
                    <w:tr2bl w:val="nil"/>
                  </w:tcBorders>
                  <w:noWrap w:val="0"/>
                  <w:vAlign w:val="center"/>
                </w:tcPr>
                <w:p w14:paraId="600EB5E6">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31</w:t>
                  </w:r>
                </w:p>
              </w:tc>
              <w:tc>
                <w:tcPr>
                  <w:tcW w:w="3489" w:type="pct"/>
                  <w:tcBorders>
                    <w:tl2br w:val="nil"/>
                    <w:tr2bl w:val="nil"/>
                  </w:tcBorders>
                  <w:noWrap w:val="0"/>
                  <w:vAlign w:val="center"/>
                </w:tcPr>
                <w:p w14:paraId="3FF7ADB4">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禁止新建、扩建不符合国家产能置换要求的严重过剩产能行业的项目。对于不符合国家产能置换要求的严重过剩产能行业，不得以其他任何名义、任何方式备案新增产能项目。</w:t>
                  </w:r>
                </w:p>
              </w:tc>
              <w:tc>
                <w:tcPr>
                  <w:tcW w:w="1007" w:type="pct"/>
                  <w:tcBorders>
                    <w:tl2br w:val="nil"/>
                    <w:tr2bl w:val="nil"/>
                  </w:tcBorders>
                  <w:noWrap w:val="0"/>
                  <w:vAlign w:val="center"/>
                </w:tcPr>
                <w:p w14:paraId="3F4E30BF">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本项目不属于严重过剩产能行业项目</w:t>
                  </w:r>
                </w:p>
              </w:tc>
              <w:tc>
                <w:tcPr>
                  <w:tcW w:w="251" w:type="pct"/>
                  <w:tcBorders>
                    <w:tl2br w:val="nil"/>
                    <w:tr2bl w:val="nil"/>
                  </w:tcBorders>
                  <w:noWrap w:val="0"/>
                  <w:vAlign w:val="center"/>
                </w:tcPr>
                <w:p w14:paraId="0557FE47">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1C225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038C3A12">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32</w:t>
                  </w:r>
                </w:p>
              </w:tc>
              <w:tc>
                <w:tcPr>
                  <w:tcW w:w="3489" w:type="pct"/>
                  <w:tcBorders>
                    <w:tl2br w:val="nil"/>
                    <w:tr2bl w:val="nil"/>
                  </w:tcBorders>
                  <w:noWrap w:val="0"/>
                  <w:vAlign w:val="center"/>
                </w:tcPr>
                <w:p w14:paraId="68CA61B9">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禁止建设以下燃油汽车投资项目</w:t>
                  </w:r>
                </w:p>
              </w:tc>
              <w:tc>
                <w:tcPr>
                  <w:tcW w:w="1007" w:type="pct"/>
                  <w:tcBorders>
                    <w:tl2br w:val="nil"/>
                    <w:tr2bl w:val="nil"/>
                  </w:tcBorders>
                  <w:noWrap w:val="0"/>
                  <w:vAlign w:val="center"/>
                </w:tcPr>
                <w:p w14:paraId="5B5E9122">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本项目不涉及</w:t>
                  </w:r>
                </w:p>
              </w:tc>
              <w:tc>
                <w:tcPr>
                  <w:tcW w:w="251" w:type="pct"/>
                  <w:tcBorders>
                    <w:tl2br w:val="nil"/>
                    <w:tr2bl w:val="nil"/>
                  </w:tcBorders>
                  <w:noWrap w:val="0"/>
                  <w:vAlign w:val="center"/>
                </w:tcPr>
                <w:p w14:paraId="28A1A3F2">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27016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0" w:type="pct"/>
                  <w:tcBorders>
                    <w:tl2br w:val="nil"/>
                    <w:tr2bl w:val="nil"/>
                  </w:tcBorders>
                  <w:noWrap w:val="0"/>
                  <w:vAlign w:val="center"/>
                </w:tcPr>
                <w:p w14:paraId="1FE8960C">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33</w:t>
                  </w:r>
                </w:p>
              </w:tc>
              <w:tc>
                <w:tcPr>
                  <w:tcW w:w="3489" w:type="pct"/>
                  <w:tcBorders>
                    <w:tl2br w:val="nil"/>
                    <w:tr2bl w:val="nil"/>
                  </w:tcBorders>
                  <w:noWrap w:val="0"/>
                  <w:vAlign w:val="center"/>
                </w:tcPr>
                <w:p w14:paraId="78CEEB1C">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禁止新建、扩建不符合要求的高耗能、高排放、低水平项目。</w:t>
                  </w:r>
                </w:p>
              </w:tc>
              <w:tc>
                <w:tcPr>
                  <w:tcW w:w="1007" w:type="pct"/>
                  <w:tcBorders>
                    <w:tl2br w:val="nil"/>
                    <w:tr2bl w:val="nil"/>
                  </w:tcBorders>
                  <w:noWrap w:val="0"/>
                  <w:vAlign w:val="center"/>
                </w:tcPr>
                <w:p w14:paraId="2314E568">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本项目不属于高耗能、高排放、低水平项目</w:t>
                  </w:r>
                </w:p>
              </w:tc>
              <w:tc>
                <w:tcPr>
                  <w:tcW w:w="251" w:type="pct"/>
                  <w:tcBorders>
                    <w:tl2br w:val="nil"/>
                    <w:tr2bl w:val="nil"/>
                  </w:tcBorders>
                  <w:noWrap w:val="0"/>
                  <w:vAlign w:val="center"/>
                </w:tcPr>
                <w:p w14:paraId="39D3377E">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bl>
          <w:p w14:paraId="41AD7E03">
            <w:pPr>
              <w:adjustRightInd w:val="0"/>
              <w:snapToGrid w:val="0"/>
              <w:spacing w:line="360" w:lineRule="auto"/>
              <w:ind w:left="0" w:leftChars="0" w:firstLine="0" w:firstLineChars="0"/>
              <w:rPr>
                <w:rFonts w:hint="default" w:ascii="Times New Roman" w:hAnsi="Times New Roman" w:eastAsia="宋体" w:cs="Times New Roman"/>
                <w:b/>
                <w:bCs/>
                <w:color w:val="auto"/>
                <w:sz w:val="21"/>
                <w:szCs w:val="21"/>
              </w:rPr>
            </w:pPr>
            <w:r>
              <w:rPr>
                <w:rFonts w:hint="eastAsia" w:cs="Times New Roman"/>
                <w:b/>
                <w:bCs/>
                <w:color w:val="auto"/>
                <w:sz w:val="21"/>
                <w:szCs w:val="21"/>
                <w:lang w:val="en-US" w:eastAsia="zh-CN"/>
              </w:rPr>
              <w:t>三</w:t>
            </w: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《重庆市产业投资准入工作手册》（渝发改投资〔2022〕1436号）符合性分析</w:t>
            </w:r>
          </w:p>
          <w:p w14:paraId="4924E32F">
            <w:pPr>
              <w:autoSpaceDE w:val="0"/>
              <w:autoSpaceDN w:val="0"/>
              <w:adjustRightInd w:val="0"/>
              <w:snapToGrid w:val="0"/>
              <w:spacing w:line="360" w:lineRule="auto"/>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表1-</w:t>
            </w:r>
            <w:r>
              <w:rPr>
                <w:rFonts w:hint="default" w:ascii="Times New Roman" w:hAnsi="Times New Roman" w:cs="Times New Roman"/>
                <w:b/>
                <w:color w:val="auto"/>
                <w:kern w:val="0"/>
                <w:sz w:val="21"/>
                <w:szCs w:val="21"/>
                <w:lang w:val="en-US" w:eastAsia="zh-CN"/>
              </w:rPr>
              <w:t>6</w:t>
            </w:r>
            <w:r>
              <w:rPr>
                <w:rFonts w:hint="default" w:ascii="Times New Roman" w:hAnsi="Times New Roman" w:eastAsia="宋体" w:cs="Times New Roman"/>
                <w:b/>
                <w:color w:val="auto"/>
                <w:kern w:val="0"/>
                <w:sz w:val="21"/>
                <w:szCs w:val="21"/>
              </w:rPr>
              <w:t xml:space="preserve">  </w:t>
            </w:r>
            <w:r>
              <w:rPr>
                <w:rFonts w:hint="default" w:ascii="Times New Roman" w:hAnsi="Times New Roman" w:eastAsia="宋体" w:cs="Times New Roman"/>
                <w:b/>
                <w:bCs/>
                <w:color w:val="auto"/>
                <w:sz w:val="21"/>
                <w:szCs w:val="21"/>
              </w:rPr>
              <w:t>与《重庆市产业投资准入工作手册》（渝发改投资〔2022〕1436号）符合性分析</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3788"/>
              <w:gridCol w:w="2427"/>
              <w:gridCol w:w="736"/>
            </w:tblGrid>
            <w:tr w14:paraId="43A16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3" w:type="pct"/>
                  <w:gridSpan w:val="2"/>
                  <w:tcBorders>
                    <w:tl2br w:val="nil"/>
                    <w:tr2bl w:val="nil"/>
                  </w:tcBorders>
                  <w:noWrap w:val="0"/>
                  <w:vAlign w:val="center"/>
                </w:tcPr>
                <w:p w14:paraId="72CE4E63">
                  <w:pPr>
                    <w:pStyle w:val="63"/>
                    <w:adjustRightInd w:val="0"/>
                    <w:snapToGrid w:val="0"/>
                    <w:spacing w:line="240" w:lineRule="auto"/>
                    <w:ind w:firstLine="0" w:firstLineChars="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重庆市工业布局及产业准入要求</w:t>
                  </w:r>
                </w:p>
              </w:tc>
              <w:tc>
                <w:tcPr>
                  <w:tcW w:w="1493" w:type="pct"/>
                  <w:tcBorders>
                    <w:tl2br w:val="nil"/>
                    <w:tr2bl w:val="nil"/>
                  </w:tcBorders>
                  <w:noWrap w:val="0"/>
                  <w:vAlign w:val="center"/>
                </w:tcPr>
                <w:p w14:paraId="10E43A6F">
                  <w:pPr>
                    <w:pStyle w:val="63"/>
                    <w:adjustRightInd w:val="0"/>
                    <w:snapToGrid w:val="0"/>
                    <w:spacing w:line="240" w:lineRule="auto"/>
                    <w:ind w:firstLine="0" w:firstLineChars="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项目情况</w:t>
                  </w:r>
                </w:p>
              </w:tc>
              <w:tc>
                <w:tcPr>
                  <w:tcW w:w="453" w:type="pct"/>
                  <w:tcBorders>
                    <w:tl2br w:val="nil"/>
                    <w:tr2bl w:val="nil"/>
                  </w:tcBorders>
                  <w:noWrap w:val="0"/>
                  <w:vAlign w:val="center"/>
                </w:tcPr>
                <w:p w14:paraId="1073A6AA">
                  <w:pPr>
                    <w:pStyle w:val="63"/>
                    <w:adjustRightInd w:val="0"/>
                    <w:snapToGrid w:val="0"/>
                    <w:spacing w:line="240" w:lineRule="auto"/>
                    <w:ind w:firstLine="0" w:firstLineChars="0"/>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符合性</w:t>
                  </w:r>
                </w:p>
              </w:tc>
            </w:tr>
            <w:tr w14:paraId="58CAF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restart"/>
                  <w:tcBorders>
                    <w:tl2br w:val="nil"/>
                    <w:tr2bl w:val="nil"/>
                  </w:tcBorders>
                  <w:noWrap w:val="0"/>
                  <w:vAlign w:val="center"/>
                </w:tcPr>
                <w:p w14:paraId="10BA00FB">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shd w:val="clear" w:color="auto" w:fill="FFFFFF"/>
                    </w:rPr>
                    <w:t>全市范围内不予准入的产业</w:t>
                  </w:r>
                </w:p>
              </w:tc>
              <w:tc>
                <w:tcPr>
                  <w:tcW w:w="2329" w:type="pct"/>
                  <w:tcBorders>
                    <w:tl2br w:val="nil"/>
                    <w:tr2bl w:val="nil"/>
                  </w:tcBorders>
                  <w:noWrap w:val="0"/>
                  <w:vAlign w:val="center"/>
                </w:tcPr>
                <w:p w14:paraId="2A88ED43">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shd w:val="clear" w:color="auto" w:fill="FFFFFF"/>
                      <w:lang w:eastAsia="zh-CN"/>
                    </w:rPr>
                    <w:t>1.</w:t>
                  </w:r>
                  <w:r>
                    <w:rPr>
                      <w:rFonts w:hint="default" w:ascii="Times New Roman" w:hAnsi="Times New Roman" w:eastAsia="宋体" w:cs="Times New Roman"/>
                      <w:color w:val="auto"/>
                      <w:sz w:val="18"/>
                      <w:szCs w:val="18"/>
                      <w:shd w:val="clear" w:color="auto" w:fill="FFFFFF"/>
                    </w:rPr>
                    <w:t>国家产业结构调整指导目录中的淘汰类项目。</w:t>
                  </w:r>
                </w:p>
              </w:tc>
              <w:tc>
                <w:tcPr>
                  <w:tcW w:w="1493" w:type="pct"/>
                  <w:tcBorders>
                    <w:tl2br w:val="nil"/>
                    <w:tr2bl w:val="nil"/>
                  </w:tcBorders>
                  <w:noWrap w:val="0"/>
                  <w:vAlign w:val="center"/>
                </w:tcPr>
                <w:p w14:paraId="2B0A2EA7">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项目不属于鼓励类、限制类、淘汰类项目，属于允许类项目</w:t>
                  </w:r>
                </w:p>
              </w:tc>
              <w:tc>
                <w:tcPr>
                  <w:tcW w:w="453" w:type="pct"/>
                  <w:tcBorders>
                    <w:tl2br w:val="nil"/>
                    <w:tr2bl w:val="nil"/>
                  </w:tcBorders>
                  <w:noWrap w:val="0"/>
                  <w:vAlign w:val="center"/>
                </w:tcPr>
                <w:p w14:paraId="47EDD707">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56E62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continue"/>
                  <w:tcBorders>
                    <w:tl2br w:val="nil"/>
                    <w:tr2bl w:val="nil"/>
                  </w:tcBorders>
                  <w:noWrap w:val="0"/>
                  <w:vAlign w:val="center"/>
                </w:tcPr>
                <w:p w14:paraId="0AB370D7">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p>
              </w:tc>
              <w:tc>
                <w:tcPr>
                  <w:tcW w:w="2329" w:type="pct"/>
                  <w:tcBorders>
                    <w:tl2br w:val="nil"/>
                    <w:tr2bl w:val="nil"/>
                  </w:tcBorders>
                  <w:noWrap w:val="0"/>
                  <w:vAlign w:val="center"/>
                </w:tcPr>
                <w:p w14:paraId="01A46518">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shd w:val="clear" w:color="auto" w:fill="FFFFFF"/>
                      <w:lang w:eastAsia="zh-CN"/>
                    </w:rPr>
                    <w:t>2.</w:t>
                  </w:r>
                  <w:r>
                    <w:rPr>
                      <w:rFonts w:hint="default" w:ascii="Times New Roman" w:hAnsi="Times New Roman" w:eastAsia="宋体" w:cs="Times New Roman"/>
                      <w:color w:val="auto"/>
                      <w:sz w:val="18"/>
                      <w:szCs w:val="18"/>
                      <w:shd w:val="clear" w:color="auto" w:fill="FFFFFF"/>
                    </w:rPr>
                    <w:t>天然林商业性采伐。</w:t>
                  </w:r>
                </w:p>
              </w:tc>
              <w:tc>
                <w:tcPr>
                  <w:tcW w:w="1493" w:type="pct"/>
                  <w:tcBorders>
                    <w:tl2br w:val="nil"/>
                    <w:tr2bl w:val="nil"/>
                  </w:tcBorders>
                  <w:noWrap w:val="0"/>
                  <w:vAlign w:val="center"/>
                </w:tcPr>
                <w:p w14:paraId="4D2CF771">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不属于上述项目</w:t>
                  </w:r>
                </w:p>
              </w:tc>
              <w:tc>
                <w:tcPr>
                  <w:tcW w:w="453" w:type="pct"/>
                  <w:tcBorders>
                    <w:tl2br w:val="nil"/>
                    <w:tr2bl w:val="nil"/>
                  </w:tcBorders>
                  <w:noWrap w:val="0"/>
                  <w:vAlign w:val="center"/>
                </w:tcPr>
                <w:p w14:paraId="7DD6DC1B">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56D7E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continue"/>
                  <w:tcBorders>
                    <w:tl2br w:val="nil"/>
                    <w:tr2bl w:val="nil"/>
                  </w:tcBorders>
                  <w:noWrap w:val="0"/>
                  <w:vAlign w:val="center"/>
                </w:tcPr>
                <w:p w14:paraId="3765AD27">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p>
              </w:tc>
              <w:tc>
                <w:tcPr>
                  <w:tcW w:w="2329" w:type="pct"/>
                  <w:tcBorders>
                    <w:tl2br w:val="nil"/>
                    <w:tr2bl w:val="nil"/>
                  </w:tcBorders>
                  <w:noWrap w:val="0"/>
                  <w:vAlign w:val="center"/>
                </w:tcPr>
                <w:p w14:paraId="5291C72F">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shd w:val="clear" w:color="auto" w:fill="FFFFFF"/>
                      <w:lang w:eastAsia="zh-CN"/>
                    </w:rPr>
                    <w:t>3.</w:t>
                  </w:r>
                  <w:r>
                    <w:rPr>
                      <w:rFonts w:hint="default" w:ascii="Times New Roman" w:hAnsi="Times New Roman" w:eastAsia="宋体" w:cs="Times New Roman"/>
                      <w:color w:val="auto"/>
                      <w:sz w:val="18"/>
                      <w:szCs w:val="18"/>
                      <w:shd w:val="clear" w:color="auto" w:fill="FFFFFF"/>
                    </w:rPr>
                    <w:t>法律法规和相关政策明令不予准入的其他项目。</w:t>
                  </w:r>
                </w:p>
              </w:tc>
              <w:tc>
                <w:tcPr>
                  <w:tcW w:w="1493" w:type="pct"/>
                  <w:tcBorders>
                    <w:tl2br w:val="nil"/>
                    <w:tr2bl w:val="nil"/>
                  </w:tcBorders>
                  <w:noWrap w:val="0"/>
                  <w:vAlign w:val="center"/>
                </w:tcPr>
                <w:p w14:paraId="5AA768A7">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项目</w:t>
                  </w:r>
                  <w:r>
                    <w:rPr>
                      <w:rFonts w:hint="default" w:ascii="Times New Roman" w:hAnsi="Times New Roman" w:eastAsia="宋体" w:cs="Times New Roman"/>
                      <w:color w:val="auto"/>
                      <w:sz w:val="18"/>
                      <w:szCs w:val="18"/>
                    </w:rPr>
                    <w:t>属于允许类项目</w:t>
                  </w:r>
                </w:p>
              </w:tc>
              <w:tc>
                <w:tcPr>
                  <w:tcW w:w="453" w:type="pct"/>
                  <w:tcBorders>
                    <w:tl2br w:val="nil"/>
                    <w:tr2bl w:val="nil"/>
                  </w:tcBorders>
                  <w:noWrap w:val="0"/>
                  <w:vAlign w:val="center"/>
                </w:tcPr>
                <w:p w14:paraId="6E6156D4">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2DAA9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restart"/>
                  <w:tcBorders>
                    <w:tl2br w:val="nil"/>
                    <w:tr2bl w:val="nil"/>
                  </w:tcBorders>
                  <w:noWrap w:val="0"/>
                  <w:vAlign w:val="center"/>
                </w:tcPr>
                <w:p w14:paraId="2BEA61C4">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shd w:val="clear" w:color="auto" w:fill="FFFFFF"/>
                    </w:rPr>
                    <w:t>重点区域范围内不予准入的产业</w:t>
                  </w:r>
                </w:p>
              </w:tc>
              <w:tc>
                <w:tcPr>
                  <w:tcW w:w="2329" w:type="pct"/>
                  <w:tcBorders>
                    <w:tl2br w:val="nil"/>
                    <w:tr2bl w:val="nil"/>
                  </w:tcBorders>
                  <w:noWrap w:val="0"/>
                  <w:vAlign w:val="center"/>
                </w:tcPr>
                <w:p w14:paraId="50C5C953">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lang w:eastAsia="zh-CN"/>
                    </w:rPr>
                    <w:t>1.</w:t>
                  </w:r>
                  <w:r>
                    <w:rPr>
                      <w:rFonts w:hint="default" w:ascii="Times New Roman" w:hAnsi="Times New Roman" w:eastAsia="宋体" w:cs="Times New Roman"/>
                      <w:color w:val="auto"/>
                      <w:sz w:val="18"/>
                      <w:szCs w:val="18"/>
                    </w:rPr>
                    <w:t>外环绕城高速公路以内长江、嘉陵江水域采砂。</w:t>
                  </w:r>
                </w:p>
              </w:tc>
              <w:tc>
                <w:tcPr>
                  <w:tcW w:w="1493" w:type="pct"/>
                  <w:tcBorders>
                    <w:tl2br w:val="nil"/>
                    <w:tr2bl w:val="nil"/>
                  </w:tcBorders>
                  <w:noWrap w:val="0"/>
                  <w:vAlign w:val="center"/>
                </w:tcPr>
                <w:p w14:paraId="4905961D">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不属于上述项目</w:t>
                  </w:r>
                </w:p>
              </w:tc>
              <w:tc>
                <w:tcPr>
                  <w:tcW w:w="453" w:type="pct"/>
                  <w:tcBorders>
                    <w:tl2br w:val="nil"/>
                    <w:tr2bl w:val="nil"/>
                  </w:tcBorders>
                  <w:noWrap w:val="0"/>
                  <w:vAlign w:val="center"/>
                </w:tcPr>
                <w:p w14:paraId="01FCF2C1">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6DA3F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continue"/>
                  <w:tcBorders>
                    <w:tl2br w:val="nil"/>
                    <w:tr2bl w:val="nil"/>
                  </w:tcBorders>
                  <w:noWrap w:val="0"/>
                  <w:vAlign w:val="center"/>
                </w:tcPr>
                <w:p w14:paraId="72EF2DB6">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p>
              </w:tc>
              <w:tc>
                <w:tcPr>
                  <w:tcW w:w="2329" w:type="pct"/>
                  <w:tcBorders>
                    <w:tl2br w:val="nil"/>
                    <w:tr2bl w:val="nil"/>
                  </w:tcBorders>
                  <w:noWrap w:val="0"/>
                  <w:vAlign w:val="center"/>
                </w:tcPr>
                <w:p w14:paraId="4A49774F">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shd w:val="clear" w:color="auto" w:fill="FFFFFF"/>
                    </w:rPr>
                  </w:pPr>
                  <w:r>
                    <w:rPr>
                      <w:rFonts w:hint="eastAsia" w:ascii="Times New Roman" w:hAnsi="Times New Roman" w:cs="Times New Roman"/>
                      <w:color w:val="auto"/>
                      <w:sz w:val="18"/>
                      <w:szCs w:val="18"/>
                      <w:lang w:eastAsia="zh-CN"/>
                    </w:rPr>
                    <w:t>2.</w:t>
                  </w:r>
                  <w:r>
                    <w:rPr>
                      <w:rFonts w:hint="default" w:ascii="Times New Roman" w:hAnsi="Times New Roman" w:eastAsia="宋体" w:cs="Times New Roman"/>
                      <w:color w:val="auto"/>
                      <w:sz w:val="18"/>
                      <w:szCs w:val="18"/>
                    </w:rPr>
                    <w:t>二十五度以上陡坡地开垦种植农作物。</w:t>
                  </w:r>
                </w:p>
              </w:tc>
              <w:tc>
                <w:tcPr>
                  <w:tcW w:w="1493" w:type="pct"/>
                  <w:tcBorders>
                    <w:tl2br w:val="nil"/>
                    <w:tr2bl w:val="nil"/>
                  </w:tcBorders>
                  <w:noWrap w:val="0"/>
                  <w:vAlign w:val="center"/>
                </w:tcPr>
                <w:p w14:paraId="76DBAEB5">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不属于上述项目</w:t>
                  </w:r>
                </w:p>
              </w:tc>
              <w:tc>
                <w:tcPr>
                  <w:tcW w:w="453" w:type="pct"/>
                  <w:tcBorders>
                    <w:tl2br w:val="nil"/>
                    <w:tr2bl w:val="nil"/>
                  </w:tcBorders>
                  <w:noWrap w:val="0"/>
                  <w:vAlign w:val="center"/>
                </w:tcPr>
                <w:p w14:paraId="5674ED79">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4272D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continue"/>
                  <w:tcBorders>
                    <w:tl2br w:val="nil"/>
                    <w:tr2bl w:val="nil"/>
                  </w:tcBorders>
                  <w:noWrap w:val="0"/>
                  <w:vAlign w:val="center"/>
                </w:tcPr>
                <w:p w14:paraId="03BCFDB4">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p>
              </w:tc>
              <w:tc>
                <w:tcPr>
                  <w:tcW w:w="2329" w:type="pct"/>
                  <w:tcBorders>
                    <w:tl2br w:val="nil"/>
                    <w:tr2bl w:val="nil"/>
                  </w:tcBorders>
                  <w:noWrap w:val="0"/>
                  <w:vAlign w:val="center"/>
                </w:tcPr>
                <w:p w14:paraId="0C5389A2">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lang w:eastAsia="zh-CN"/>
                    </w:rPr>
                    <w:t>3.</w:t>
                  </w:r>
                  <w:r>
                    <w:rPr>
                      <w:rFonts w:hint="default" w:ascii="Times New Roman" w:hAnsi="Times New Roman" w:eastAsia="宋体" w:cs="Times New Roman"/>
                      <w:color w:val="auto"/>
                      <w:sz w:val="18"/>
                      <w:szCs w:val="18"/>
                    </w:rPr>
                    <w:t>在自然保护区核心区、缓冲区的岸线和河段范围内投资建设旅游和生产经营项目。</w:t>
                  </w:r>
                </w:p>
              </w:tc>
              <w:tc>
                <w:tcPr>
                  <w:tcW w:w="1493" w:type="pct"/>
                  <w:tcBorders>
                    <w:tl2br w:val="nil"/>
                    <w:tr2bl w:val="nil"/>
                  </w:tcBorders>
                  <w:noWrap w:val="0"/>
                  <w:vAlign w:val="center"/>
                </w:tcPr>
                <w:p w14:paraId="087385E4">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项目位于</w:t>
                  </w:r>
                  <w:r>
                    <w:rPr>
                      <w:rFonts w:hint="default" w:ascii="Times New Roman" w:hAnsi="Times New Roman" w:cs="Times New Roman"/>
                      <w:color w:val="auto"/>
                      <w:sz w:val="18"/>
                      <w:szCs w:val="18"/>
                      <w:lang w:eastAsia="zh-CN"/>
                    </w:rPr>
                    <w:t>合川区</w:t>
                  </w:r>
                  <w:r>
                    <w:rPr>
                      <w:rFonts w:hint="eastAsia" w:ascii="Times New Roman" w:hAnsi="Times New Roman" w:cs="Times New Roman"/>
                      <w:color w:val="auto"/>
                      <w:sz w:val="18"/>
                      <w:szCs w:val="18"/>
                      <w:lang w:eastAsia="zh-CN"/>
                    </w:rPr>
                    <w:t>南溪组团A区</w:t>
                  </w:r>
                  <w:r>
                    <w:rPr>
                      <w:rFonts w:hint="default" w:ascii="Times New Roman" w:hAnsi="Times New Roman" w:eastAsia="宋体" w:cs="Times New Roman"/>
                      <w:color w:val="auto"/>
                      <w:sz w:val="18"/>
                      <w:szCs w:val="18"/>
                    </w:rPr>
                    <w:t>，不涉及上述区域</w:t>
                  </w:r>
                </w:p>
              </w:tc>
              <w:tc>
                <w:tcPr>
                  <w:tcW w:w="453" w:type="pct"/>
                  <w:tcBorders>
                    <w:tl2br w:val="nil"/>
                    <w:tr2bl w:val="nil"/>
                  </w:tcBorders>
                  <w:noWrap w:val="0"/>
                  <w:vAlign w:val="center"/>
                </w:tcPr>
                <w:p w14:paraId="66546F52">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58457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continue"/>
                  <w:tcBorders>
                    <w:tl2br w:val="nil"/>
                    <w:tr2bl w:val="nil"/>
                  </w:tcBorders>
                  <w:noWrap w:val="0"/>
                  <w:vAlign w:val="center"/>
                </w:tcPr>
                <w:p w14:paraId="303C2DCE">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p>
              </w:tc>
              <w:tc>
                <w:tcPr>
                  <w:tcW w:w="2329" w:type="pct"/>
                  <w:tcBorders>
                    <w:tl2br w:val="nil"/>
                    <w:tr2bl w:val="nil"/>
                  </w:tcBorders>
                  <w:noWrap w:val="0"/>
                  <w:vAlign w:val="center"/>
                </w:tcPr>
                <w:p w14:paraId="667C91E6">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lang w:eastAsia="zh-CN"/>
                    </w:rPr>
                    <w:t>4.</w:t>
                  </w:r>
                  <w:r>
                    <w:rPr>
                      <w:rFonts w:hint="default" w:ascii="Times New Roman" w:hAnsi="Times New Roman" w:eastAsia="宋体" w:cs="Times New Roman"/>
                      <w:color w:val="auto"/>
                      <w:sz w:val="18"/>
                      <w:szCs w:val="18"/>
                    </w:rPr>
                    <w:t>饮用水水源一级保护区的岸线和河段范围内新建、改建、扩建与供水设施和保护水源无关的项目，以及网箱养殖、畜禽养殖、放养畜禽、旅游等可能污染饮用水水体的投资建设项目。在饮用水水源二级保护区的岸线和河段范围内新建、改建、扩建排放污染物的投资建设项目。</w:t>
                  </w:r>
                </w:p>
              </w:tc>
              <w:tc>
                <w:tcPr>
                  <w:tcW w:w="1493" w:type="pct"/>
                  <w:tcBorders>
                    <w:tl2br w:val="nil"/>
                    <w:tr2bl w:val="nil"/>
                  </w:tcBorders>
                  <w:noWrap w:val="0"/>
                  <w:vAlign w:val="center"/>
                </w:tcPr>
                <w:p w14:paraId="7B1D46F9">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项目位于</w:t>
                  </w:r>
                  <w:r>
                    <w:rPr>
                      <w:rFonts w:hint="default" w:ascii="Times New Roman" w:hAnsi="Times New Roman" w:cs="Times New Roman"/>
                      <w:color w:val="auto"/>
                      <w:sz w:val="18"/>
                      <w:szCs w:val="18"/>
                      <w:lang w:eastAsia="zh-CN"/>
                    </w:rPr>
                    <w:t>合川区</w:t>
                  </w:r>
                  <w:r>
                    <w:rPr>
                      <w:rFonts w:hint="eastAsia" w:ascii="Times New Roman" w:hAnsi="Times New Roman" w:cs="Times New Roman"/>
                      <w:color w:val="auto"/>
                      <w:sz w:val="18"/>
                      <w:szCs w:val="18"/>
                      <w:lang w:eastAsia="zh-CN"/>
                    </w:rPr>
                    <w:t>南溪组团A区</w:t>
                  </w:r>
                  <w:r>
                    <w:rPr>
                      <w:rFonts w:hint="default" w:ascii="Times New Roman" w:hAnsi="Times New Roman" w:eastAsia="宋体" w:cs="Times New Roman"/>
                      <w:color w:val="auto"/>
                      <w:sz w:val="18"/>
                      <w:szCs w:val="18"/>
                    </w:rPr>
                    <w:t>，不涉及上述区域</w:t>
                  </w:r>
                </w:p>
              </w:tc>
              <w:tc>
                <w:tcPr>
                  <w:tcW w:w="453" w:type="pct"/>
                  <w:tcBorders>
                    <w:tl2br w:val="nil"/>
                    <w:tr2bl w:val="nil"/>
                  </w:tcBorders>
                  <w:noWrap w:val="0"/>
                  <w:vAlign w:val="center"/>
                </w:tcPr>
                <w:p w14:paraId="21804CA6">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0B12B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continue"/>
                  <w:tcBorders>
                    <w:tl2br w:val="nil"/>
                    <w:tr2bl w:val="nil"/>
                  </w:tcBorders>
                  <w:noWrap w:val="0"/>
                  <w:vAlign w:val="center"/>
                </w:tcPr>
                <w:p w14:paraId="756B9330">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p>
              </w:tc>
              <w:tc>
                <w:tcPr>
                  <w:tcW w:w="2329" w:type="pct"/>
                  <w:tcBorders>
                    <w:tl2br w:val="nil"/>
                    <w:tr2bl w:val="nil"/>
                  </w:tcBorders>
                  <w:noWrap w:val="0"/>
                  <w:vAlign w:val="center"/>
                </w:tcPr>
                <w:p w14:paraId="63724F09">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shd w:val="clear" w:color="auto" w:fill="FFFFFF"/>
                    </w:rPr>
                  </w:pPr>
                  <w:r>
                    <w:rPr>
                      <w:rFonts w:hint="eastAsia" w:ascii="Times New Roman" w:hAnsi="Times New Roman" w:cs="Times New Roman"/>
                      <w:color w:val="auto"/>
                      <w:sz w:val="18"/>
                      <w:szCs w:val="18"/>
                      <w:lang w:eastAsia="zh-CN"/>
                    </w:rPr>
                    <w:t>5.</w:t>
                  </w:r>
                  <w:r>
                    <w:rPr>
                      <w:rFonts w:hint="default" w:ascii="Times New Roman" w:hAnsi="Times New Roman" w:eastAsia="宋体" w:cs="Times New Roman"/>
                      <w:color w:val="auto"/>
                      <w:sz w:val="18"/>
                      <w:szCs w:val="18"/>
                    </w:rPr>
                    <w:t>长江干流岸线3公里范围内和重要支流岸线1公里范围内新建、改建、扩建尾矿库、冶炼渣库和磷石膏库（以提升安全、生态环境保护水平为目的的改建除外）。</w:t>
                  </w:r>
                </w:p>
              </w:tc>
              <w:tc>
                <w:tcPr>
                  <w:tcW w:w="1493" w:type="pct"/>
                  <w:tcBorders>
                    <w:tl2br w:val="nil"/>
                    <w:tr2bl w:val="nil"/>
                  </w:tcBorders>
                  <w:noWrap w:val="0"/>
                  <w:vAlign w:val="center"/>
                </w:tcPr>
                <w:p w14:paraId="782723CE">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bCs/>
                      <w:color w:val="auto"/>
                      <w:sz w:val="18"/>
                      <w:szCs w:val="18"/>
                    </w:rPr>
                    <w:t>项目</w:t>
                  </w:r>
                  <w:r>
                    <w:rPr>
                      <w:rFonts w:hint="eastAsia" w:ascii="Times New Roman" w:hAnsi="Times New Roman" w:cs="Times New Roman"/>
                      <w:bCs/>
                      <w:color w:val="auto"/>
                      <w:sz w:val="18"/>
                      <w:szCs w:val="18"/>
                      <w:lang w:eastAsia="zh-CN"/>
                    </w:rPr>
                    <w:t>距离建梁河距离约360m</w:t>
                  </w:r>
                  <w:r>
                    <w:rPr>
                      <w:rFonts w:hint="default" w:ascii="Times New Roman" w:hAnsi="Times New Roman" w:eastAsia="宋体" w:cs="Times New Roman"/>
                      <w:bCs/>
                      <w:color w:val="auto"/>
                      <w:sz w:val="18"/>
                      <w:szCs w:val="18"/>
                    </w:rPr>
                    <w:t>，</w:t>
                  </w:r>
                  <w:r>
                    <w:rPr>
                      <w:rFonts w:hint="default" w:ascii="Times New Roman" w:hAnsi="Times New Roman" w:eastAsia="宋体" w:cs="Times New Roman"/>
                      <w:bCs/>
                      <w:color w:val="auto"/>
                      <w:sz w:val="18"/>
                      <w:szCs w:val="18"/>
                      <w:lang w:val="en-US" w:eastAsia="zh-CN"/>
                    </w:rPr>
                    <w:t>且</w:t>
                  </w:r>
                  <w:r>
                    <w:rPr>
                      <w:rFonts w:hint="default" w:ascii="Times New Roman" w:hAnsi="Times New Roman" w:eastAsia="宋体" w:cs="Times New Roman"/>
                      <w:bCs/>
                      <w:color w:val="auto"/>
                      <w:sz w:val="18"/>
                      <w:szCs w:val="18"/>
                    </w:rPr>
                    <w:t>本项目</w:t>
                  </w:r>
                  <w:r>
                    <w:rPr>
                      <w:rFonts w:hint="default" w:ascii="Times New Roman" w:hAnsi="Times New Roman" w:eastAsia="宋体" w:cs="Times New Roman"/>
                      <w:color w:val="auto"/>
                      <w:sz w:val="18"/>
                      <w:szCs w:val="18"/>
                    </w:rPr>
                    <w:t>不属于上述项目</w:t>
                  </w:r>
                </w:p>
              </w:tc>
              <w:tc>
                <w:tcPr>
                  <w:tcW w:w="453" w:type="pct"/>
                  <w:tcBorders>
                    <w:tl2br w:val="nil"/>
                    <w:tr2bl w:val="nil"/>
                  </w:tcBorders>
                  <w:noWrap w:val="0"/>
                  <w:vAlign w:val="center"/>
                </w:tcPr>
                <w:p w14:paraId="57B21F56">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43154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continue"/>
                  <w:tcBorders>
                    <w:tl2br w:val="nil"/>
                    <w:tr2bl w:val="nil"/>
                  </w:tcBorders>
                  <w:noWrap w:val="0"/>
                  <w:vAlign w:val="center"/>
                </w:tcPr>
                <w:p w14:paraId="26945F61">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p>
              </w:tc>
              <w:tc>
                <w:tcPr>
                  <w:tcW w:w="2329" w:type="pct"/>
                  <w:tcBorders>
                    <w:tl2br w:val="nil"/>
                    <w:tr2bl w:val="nil"/>
                  </w:tcBorders>
                  <w:noWrap w:val="0"/>
                  <w:vAlign w:val="center"/>
                </w:tcPr>
                <w:p w14:paraId="1D21DC85">
                  <w:pPr>
                    <w:pStyle w:val="63"/>
                    <w:adjustRightInd w:val="0"/>
                    <w:snapToGrid w:val="0"/>
                    <w:spacing w:line="240" w:lineRule="auto"/>
                    <w:ind w:firstLine="0" w:firstLineChars="0"/>
                    <w:jc w:val="center"/>
                    <w:rPr>
                      <w:rFonts w:hint="default" w:ascii="Times New Roman" w:hAnsi="Times New Roman" w:eastAsia="宋体" w:cs="Times New Roman"/>
                      <w:color w:val="auto"/>
                      <w:spacing w:val="-4"/>
                      <w:sz w:val="18"/>
                      <w:szCs w:val="18"/>
                      <w:shd w:val="clear" w:color="auto" w:fill="FFFFFF"/>
                    </w:rPr>
                  </w:pPr>
                  <w:r>
                    <w:rPr>
                      <w:rFonts w:hint="eastAsia" w:ascii="Times New Roman" w:hAnsi="Times New Roman" w:cs="Times New Roman"/>
                      <w:color w:val="auto"/>
                      <w:sz w:val="18"/>
                      <w:szCs w:val="18"/>
                      <w:lang w:eastAsia="zh-CN"/>
                    </w:rPr>
                    <w:t>6.</w:t>
                  </w:r>
                  <w:r>
                    <w:rPr>
                      <w:rFonts w:hint="default" w:ascii="Times New Roman" w:hAnsi="Times New Roman" w:eastAsia="宋体" w:cs="Times New Roman"/>
                      <w:color w:val="auto"/>
                      <w:sz w:val="18"/>
                      <w:szCs w:val="18"/>
                    </w:rPr>
                    <w:t>在风景名胜区核心景区的岸线和河段范围内投资建设与风景名胜资源保护无关的项目。</w:t>
                  </w:r>
                </w:p>
              </w:tc>
              <w:tc>
                <w:tcPr>
                  <w:tcW w:w="1493" w:type="pct"/>
                  <w:vMerge w:val="restart"/>
                  <w:tcBorders>
                    <w:tl2br w:val="nil"/>
                    <w:tr2bl w:val="nil"/>
                  </w:tcBorders>
                  <w:noWrap w:val="0"/>
                  <w:vAlign w:val="center"/>
                </w:tcPr>
                <w:p w14:paraId="40AD525A">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项目位于</w:t>
                  </w:r>
                  <w:r>
                    <w:rPr>
                      <w:rFonts w:hint="default" w:ascii="Times New Roman" w:hAnsi="Times New Roman" w:cs="Times New Roman"/>
                      <w:color w:val="auto"/>
                      <w:sz w:val="18"/>
                      <w:szCs w:val="18"/>
                      <w:lang w:eastAsia="zh-CN"/>
                    </w:rPr>
                    <w:t>合川区</w:t>
                  </w:r>
                  <w:r>
                    <w:rPr>
                      <w:rFonts w:hint="eastAsia" w:ascii="Times New Roman" w:hAnsi="Times New Roman" w:cs="Times New Roman"/>
                      <w:color w:val="auto"/>
                      <w:sz w:val="18"/>
                      <w:szCs w:val="18"/>
                      <w:lang w:eastAsia="zh-CN"/>
                    </w:rPr>
                    <w:t>南溪组团A区</w:t>
                  </w:r>
                  <w:r>
                    <w:rPr>
                      <w:rFonts w:hint="default" w:ascii="Times New Roman" w:hAnsi="Times New Roman" w:eastAsia="宋体" w:cs="Times New Roman"/>
                      <w:color w:val="auto"/>
                      <w:sz w:val="18"/>
                      <w:szCs w:val="18"/>
                    </w:rPr>
                    <w:t>，不涉及上述区域</w:t>
                  </w:r>
                </w:p>
              </w:tc>
              <w:tc>
                <w:tcPr>
                  <w:tcW w:w="453" w:type="pct"/>
                  <w:tcBorders>
                    <w:tl2br w:val="nil"/>
                    <w:tr2bl w:val="nil"/>
                  </w:tcBorders>
                  <w:noWrap w:val="0"/>
                  <w:vAlign w:val="center"/>
                </w:tcPr>
                <w:p w14:paraId="09DEFCE8">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75107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continue"/>
                  <w:tcBorders>
                    <w:tl2br w:val="nil"/>
                    <w:tr2bl w:val="nil"/>
                  </w:tcBorders>
                  <w:noWrap w:val="0"/>
                  <w:vAlign w:val="center"/>
                </w:tcPr>
                <w:p w14:paraId="6DBACF70">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p>
              </w:tc>
              <w:tc>
                <w:tcPr>
                  <w:tcW w:w="2329" w:type="pct"/>
                  <w:tcBorders>
                    <w:tl2br w:val="nil"/>
                    <w:tr2bl w:val="nil"/>
                  </w:tcBorders>
                  <w:noWrap w:val="0"/>
                  <w:vAlign w:val="center"/>
                </w:tcPr>
                <w:p w14:paraId="14D50189">
                  <w:pPr>
                    <w:pStyle w:val="63"/>
                    <w:adjustRightInd w:val="0"/>
                    <w:snapToGrid w:val="0"/>
                    <w:spacing w:line="240" w:lineRule="auto"/>
                    <w:ind w:firstLine="0" w:firstLineChars="0"/>
                    <w:jc w:val="center"/>
                    <w:rPr>
                      <w:rFonts w:hint="default" w:ascii="Times New Roman" w:hAnsi="Times New Roman" w:eastAsia="宋体" w:cs="Times New Roman"/>
                      <w:color w:val="auto"/>
                      <w:spacing w:val="-4"/>
                      <w:sz w:val="18"/>
                      <w:szCs w:val="18"/>
                      <w:shd w:val="clear" w:color="auto" w:fill="FFFFFF"/>
                    </w:rPr>
                  </w:pPr>
                  <w:r>
                    <w:rPr>
                      <w:rFonts w:hint="eastAsia" w:ascii="Times New Roman" w:hAnsi="Times New Roman" w:cs="Times New Roman"/>
                      <w:color w:val="auto"/>
                      <w:sz w:val="18"/>
                      <w:szCs w:val="18"/>
                      <w:lang w:eastAsia="zh-CN"/>
                    </w:rPr>
                    <w:t>7.</w:t>
                  </w:r>
                  <w:r>
                    <w:rPr>
                      <w:rFonts w:hint="default" w:ascii="Times New Roman" w:hAnsi="Times New Roman" w:eastAsia="宋体" w:cs="Times New Roman"/>
                      <w:color w:val="auto"/>
                      <w:sz w:val="18"/>
                      <w:szCs w:val="18"/>
                    </w:rPr>
                    <w:t>在国家湿地公园的岸线和河段范围内挖沙、采矿，以及任何不符合主体功能定位的投资建设项目。</w:t>
                  </w:r>
                </w:p>
              </w:tc>
              <w:tc>
                <w:tcPr>
                  <w:tcW w:w="1493" w:type="pct"/>
                  <w:vMerge w:val="continue"/>
                  <w:tcBorders>
                    <w:tl2br w:val="nil"/>
                    <w:tr2bl w:val="nil"/>
                  </w:tcBorders>
                  <w:noWrap w:val="0"/>
                  <w:vAlign w:val="center"/>
                </w:tcPr>
                <w:p w14:paraId="383A1C9B">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p>
              </w:tc>
              <w:tc>
                <w:tcPr>
                  <w:tcW w:w="453" w:type="pct"/>
                  <w:tcBorders>
                    <w:tl2br w:val="nil"/>
                    <w:tr2bl w:val="nil"/>
                  </w:tcBorders>
                  <w:noWrap w:val="0"/>
                  <w:vAlign w:val="center"/>
                </w:tcPr>
                <w:p w14:paraId="70CEA4FF">
                  <w:pPr>
                    <w:adjustRightInd w:val="0"/>
                    <w:snapToGrid w:val="0"/>
                    <w:spacing w:line="240" w:lineRule="auto"/>
                    <w:ind w:left="0" w:leftChars="0" w:firstLine="0" w:firstLineChars="0"/>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564C0D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continue"/>
                  <w:tcBorders>
                    <w:tl2br w:val="nil"/>
                    <w:tr2bl w:val="nil"/>
                  </w:tcBorders>
                  <w:noWrap w:val="0"/>
                  <w:vAlign w:val="center"/>
                </w:tcPr>
                <w:p w14:paraId="2968934B">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p>
              </w:tc>
              <w:tc>
                <w:tcPr>
                  <w:tcW w:w="2329" w:type="pct"/>
                  <w:tcBorders>
                    <w:tl2br w:val="nil"/>
                    <w:tr2bl w:val="nil"/>
                  </w:tcBorders>
                  <w:noWrap w:val="0"/>
                  <w:vAlign w:val="center"/>
                </w:tcPr>
                <w:p w14:paraId="08A91F06">
                  <w:pPr>
                    <w:pStyle w:val="63"/>
                    <w:adjustRightInd w:val="0"/>
                    <w:snapToGrid w:val="0"/>
                    <w:spacing w:line="240" w:lineRule="auto"/>
                    <w:ind w:firstLine="0" w:firstLineChars="0"/>
                    <w:jc w:val="center"/>
                    <w:rPr>
                      <w:rFonts w:hint="default" w:ascii="Times New Roman" w:hAnsi="Times New Roman" w:eastAsia="宋体" w:cs="Times New Roman"/>
                      <w:color w:val="auto"/>
                      <w:spacing w:val="-4"/>
                      <w:sz w:val="18"/>
                      <w:szCs w:val="18"/>
                      <w:shd w:val="clear" w:color="auto" w:fill="FFFFFF"/>
                    </w:rPr>
                  </w:pPr>
                  <w:r>
                    <w:rPr>
                      <w:rFonts w:hint="eastAsia" w:ascii="Times New Roman" w:hAnsi="Times New Roman" w:cs="Times New Roman"/>
                      <w:color w:val="auto"/>
                      <w:sz w:val="18"/>
                      <w:szCs w:val="18"/>
                      <w:lang w:eastAsia="zh-CN"/>
                    </w:rPr>
                    <w:t>8.</w:t>
                  </w:r>
                  <w:r>
                    <w:rPr>
                      <w:rFonts w:hint="default" w:ascii="Times New Roman" w:hAnsi="Times New Roman" w:eastAsia="宋体" w:cs="Times New Roman"/>
                      <w:color w:val="auto"/>
                      <w:sz w:val="18"/>
                      <w:szCs w:val="18"/>
                    </w:rPr>
                    <w:t>在《长江岸线保护和开发利用总体规划》划定的岸线保护区和保留区内投资建设除事关公共安全及公众利益的防洪护岸、河道治理、供水、生态环境保护、航道整治、国家重要基础设施以外的项目。</w:t>
                  </w:r>
                </w:p>
              </w:tc>
              <w:tc>
                <w:tcPr>
                  <w:tcW w:w="1493" w:type="pct"/>
                  <w:vMerge w:val="continue"/>
                  <w:tcBorders>
                    <w:tl2br w:val="nil"/>
                    <w:tr2bl w:val="nil"/>
                  </w:tcBorders>
                  <w:noWrap w:val="0"/>
                  <w:vAlign w:val="center"/>
                </w:tcPr>
                <w:p w14:paraId="03FEF070">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p>
              </w:tc>
              <w:tc>
                <w:tcPr>
                  <w:tcW w:w="453" w:type="pct"/>
                  <w:tcBorders>
                    <w:tl2br w:val="nil"/>
                    <w:tr2bl w:val="nil"/>
                  </w:tcBorders>
                  <w:noWrap w:val="0"/>
                  <w:vAlign w:val="center"/>
                </w:tcPr>
                <w:p w14:paraId="15EFB00E">
                  <w:pPr>
                    <w:adjustRightInd w:val="0"/>
                    <w:snapToGrid w:val="0"/>
                    <w:spacing w:line="240" w:lineRule="auto"/>
                    <w:ind w:left="0" w:leftChars="0" w:firstLine="0" w:firstLineChars="0"/>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632EE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continue"/>
                  <w:tcBorders>
                    <w:tl2br w:val="nil"/>
                    <w:tr2bl w:val="nil"/>
                  </w:tcBorders>
                  <w:noWrap w:val="0"/>
                  <w:vAlign w:val="center"/>
                </w:tcPr>
                <w:p w14:paraId="4B8D1770">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p>
              </w:tc>
              <w:tc>
                <w:tcPr>
                  <w:tcW w:w="2329" w:type="pct"/>
                  <w:tcBorders>
                    <w:tl2br w:val="nil"/>
                    <w:tr2bl w:val="nil"/>
                  </w:tcBorders>
                  <w:noWrap w:val="0"/>
                  <w:vAlign w:val="center"/>
                </w:tcPr>
                <w:p w14:paraId="6E7B23B2">
                  <w:pPr>
                    <w:pStyle w:val="63"/>
                    <w:adjustRightInd w:val="0"/>
                    <w:snapToGrid w:val="0"/>
                    <w:spacing w:line="240" w:lineRule="auto"/>
                    <w:ind w:firstLine="0" w:firstLineChars="0"/>
                    <w:jc w:val="left"/>
                    <w:rPr>
                      <w:rFonts w:hint="default" w:ascii="Times New Roman" w:hAnsi="Times New Roman" w:eastAsia="宋体" w:cs="Times New Roman"/>
                      <w:color w:val="auto"/>
                      <w:spacing w:val="-4"/>
                      <w:sz w:val="18"/>
                      <w:szCs w:val="18"/>
                      <w:shd w:val="clear" w:color="auto" w:fill="FFFFFF"/>
                    </w:rPr>
                  </w:pPr>
                  <w:r>
                    <w:rPr>
                      <w:rFonts w:hint="eastAsia" w:ascii="Times New Roman" w:hAnsi="Times New Roman" w:cs="Times New Roman"/>
                      <w:color w:val="auto"/>
                      <w:sz w:val="18"/>
                      <w:szCs w:val="18"/>
                      <w:lang w:eastAsia="zh-CN"/>
                    </w:rPr>
                    <w:t>9.</w:t>
                  </w:r>
                  <w:r>
                    <w:rPr>
                      <w:rFonts w:hint="default" w:ascii="Times New Roman" w:hAnsi="Times New Roman" w:eastAsia="宋体" w:cs="Times New Roman"/>
                      <w:color w:val="auto"/>
                      <w:sz w:val="18"/>
                      <w:szCs w:val="18"/>
                    </w:rPr>
                    <w:t>在《全国重要江河湖泊水功能区划》划定的河段及湖泊保护区、保留区内投资建设不利于水资源及自然生态保护的项目。</w:t>
                  </w:r>
                </w:p>
              </w:tc>
              <w:tc>
                <w:tcPr>
                  <w:tcW w:w="1493" w:type="pct"/>
                  <w:vMerge w:val="continue"/>
                  <w:tcBorders>
                    <w:tl2br w:val="nil"/>
                    <w:tr2bl w:val="nil"/>
                  </w:tcBorders>
                  <w:noWrap w:val="0"/>
                  <w:vAlign w:val="center"/>
                </w:tcPr>
                <w:p w14:paraId="4B583DF5">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p>
              </w:tc>
              <w:tc>
                <w:tcPr>
                  <w:tcW w:w="453" w:type="pct"/>
                  <w:tcBorders>
                    <w:tl2br w:val="nil"/>
                    <w:tr2bl w:val="nil"/>
                  </w:tcBorders>
                  <w:noWrap w:val="0"/>
                  <w:vAlign w:val="center"/>
                </w:tcPr>
                <w:p w14:paraId="2498540B">
                  <w:pPr>
                    <w:adjustRightInd w:val="0"/>
                    <w:snapToGrid w:val="0"/>
                    <w:spacing w:line="240" w:lineRule="auto"/>
                    <w:ind w:left="0" w:leftChars="0" w:firstLine="0" w:firstLineChars="0"/>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5BA744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restart"/>
                  <w:tcBorders>
                    <w:tl2br w:val="nil"/>
                    <w:tr2bl w:val="nil"/>
                  </w:tcBorders>
                  <w:noWrap w:val="0"/>
                  <w:vAlign w:val="center"/>
                </w:tcPr>
                <w:p w14:paraId="3E4C1162">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全市范围内限制准入的产业</w:t>
                  </w:r>
                </w:p>
              </w:tc>
              <w:tc>
                <w:tcPr>
                  <w:tcW w:w="2329" w:type="pct"/>
                  <w:tcBorders>
                    <w:tl2br w:val="nil"/>
                    <w:tr2bl w:val="nil"/>
                  </w:tcBorders>
                  <w:noWrap w:val="0"/>
                  <w:vAlign w:val="center"/>
                </w:tcPr>
                <w:p w14:paraId="39845A44">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lang w:eastAsia="zh-CN"/>
                    </w:rPr>
                    <w:t>1.</w:t>
                  </w:r>
                  <w:r>
                    <w:rPr>
                      <w:rFonts w:hint="default" w:ascii="Times New Roman" w:hAnsi="Times New Roman" w:eastAsia="宋体" w:cs="Times New Roman"/>
                      <w:color w:val="auto"/>
                      <w:sz w:val="18"/>
                      <w:szCs w:val="18"/>
                    </w:rPr>
                    <w:t>新建、扩建不符合国家产能置换要求的严重过剩产能行业的项目。新建、扩建不符合要求的高耗能高排放项目。</w:t>
                  </w:r>
                </w:p>
              </w:tc>
              <w:tc>
                <w:tcPr>
                  <w:tcW w:w="1493" w:type="pct"/>
                  <w:tcBorders>
                    <w:tl2br w:val="nil"/>
                    <w:tr2bl w:val="nil"/>
                  </w:tcBorders>
                  <w:noWrap w:val="0"/>
                  <w:vAlign w:val="center"/>
                </w:tcPr>
                <w:p w14:paraId="5CD5814F">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本项目不属于产能过剩行业</w:t>
                  </w:r>
                </w:p>
              </w:tc>
              <w:tc>
                <w:tcPr>
                  <w:tcW w:w="453" w:type="pct"/>
                  <w:tcBorders>
                    <w:tl2br w:val="nil"/>
                    <w:tr2bl w:val="nil"/>
                  </w:tcBorders>
                  <w:noWrap w:val="0"/>
                  <w:vAlign w:val="center"/>
                </w:tcPr>
                <w:p w14:paraId="3AF142BD">
                  <w:pPr>
                    <w:adjustRightInd w:val="0"/>
                    <w:snapToGrid w:val="0"/>
                    <w:spacing w:line="240" w:lineRule="auto"/>
                    <w:ind w:left="0" w:leftChars="0" w:firstLine="0" w:firstLineChars="0"/>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38CA9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continue"/>
                  <w:tcBorders>
                    <w:tl2br w:val="nil"/>
                    <w:tr2bl w:val="nil"/>
                  </w:tcBorders>
                  <w:noWrap w:val="0"/>
                  <w:vAlign w:val="center"/>
                </w:tcPr>
                <w:p w14:paraId="08A7F640">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p>
              </w:tc>
              <w:tc>
                <w:tcPr>
                  <w:tcW w:w="2329" w:type="pct"/>
                  <w:tcBorders>
                    <w:tl2br w:val="nil"/>
                    <w:tr2bl w:val="nil"/>
                  </w:tcBorders>
                  <w:noWrap w:val="0"/>
                  <w:vAlign w:val="center"/>
                </w:tcPr>
                <w:p w14:paraId="6EA54412">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lang w:eastAsia="zh-CN"/>
                    </w:rPr>
                    <w:t>2.</w:t>
                  </w:r>
                  <w:r>
                    <w:rPr>
                      <w:rFonts w:hint="default" w:ascii="Times New Roman" w:hAnsi="Times New Roman" w:eastAsia="宋体" w:cs="Times New Roman"/>
                      <w:color w:val="auto"/>
                      <w:sz w:val="18"/>
                      <w:szCs w:val="18"/>
                    </w:rPr>
                    <w:t>新建、扩建不符合国家石化、现代煤化工等产业布局规划的项目。</w:t>
                  </w:r>
                </w:p>
              </w:tc>
              <w:tc>
                <w:tcPr>
                  <w:tcW w:w="1493" w:type="pct"/>
                  <w:tcBorders>
                    <w:tl2br w:val="nil"/>
                    <w:tr2bl w:val="nil"/>
                  </w:tcBorders>
                  <w:noWrap w:val="0"/>
                  <w:vAlign w:val="center"/>
                </w:tcPr>
                <w:p w14:paraId="1FD65340">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不属于上述项目</w:t>
                  </w:r>
                </w:p>
              </w:tc>
              <w:tc>
                <w:tcPr>
                  <w:tcW w:w="453" w:type="pct"/>
                  <w:tcBorders>
                    <w:tl2br w:val="nil"/>
                    <w:tr2bl w:val="nil"/>
                  </w:tcBorders>
                  <w:noWrap w:val="0"/>
                  <w:vAlign w:val="center"/>
                </w:tcPr>
                <w:p w14:paraId="74320FAF">
                  <w:pPr>
                    <w:adjustRightInd w:val="0"/>
                    <w:snapToGrid w:val="0"/>
                    <w:spacing w:line="240" w:lineRule="auto"/>
                    <w:ind w:left="0" w:leftChars="0" w:firstLine="0" w:firstLineChars="0"/>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02614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continue"/>
                  <w:tcBorders>
                    <w:tl2br w:val="nil"/>
                    <w:tr2bl w:val="nil"/>
                  </w:tcBorders>
                  <w:noWrap w:val="0"/>
                  <w:vAlign w:val="center"/>
                </w:tcPr>
                <w:p w14:paraId="511C5FDD">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p>
              </w:tc>
              <w:tc>
                <w:tcPr>
                  <w:tcW w:w="2329" w:type="pct"/>
                  <w:tcBorders>
                    <w:tl2br w:val="nil"/>
                    <w:tr2bl w:val="nil"/>
                  </w:tcBorders>
                  <w:noWrap w:val="0"/>
                  <w:vAlign w:val="center"/>
                </w:tcPr>
                <w:p w14:paraId="4CB0A1BF">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lang w:eastAsia="zh-CN"/>
                    </w:rPr>
                    <w:t>3.</w:t>
                  </w:r>
                  <w:r>
                    <w:rPr>
                      <w:rFonts w:hint="default" w:ascii="Times New Roman" w:hAnsi="Times New Roman" w:eastAsia="宋体" w:cs="Times New Roman"/>
                      <w:color w:val="auto"/>
                      <w:sz w:val="18"/>
                      <w:szCs w:val="18"/>
                    </w:rPr>
                    <w:t>在合规园区外新建、扩建钢铁、石化、化工、焦化、建材、有色、制浆造纸等高污染项目。</w:t>
                  </w:r>
                </w:p>
              </w:tc>
              <w:tc>
                <w:tcPr>
                  <w:tcW w:w="1493" w:type="pct"/>
                  <w:tcBorders>
                    <w:tl2br w:val="nil"/>
                    <w:tr2bl w:val="nil"/>
                  </w:tcBorders>
                  <w:noWrap w:val="0"/>
                  <w:vAlign w:val="center"/>
                </w:tcPr>
                <w:p w14:paraId="58E746FA">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项目位于</w:t>
                  </w:r>
                  <w:r>
                    <w:rPr>
                      <w:rFonts w:hint="default" w:ascii="Times New Roman" w:hAnsi="Times New Roman" w:cs="Times New Roman"/>
                      <w:color w:val="auto"/>
                      <w:sz w:val="18"/>
                      <w:szCs w:val="18"/>
                      <w:lang w:eastAsia="zh-CN"/>
                    </w:rPr>
                    <w:t>合川区</w:t>
                  </w:r>
                  <w:r>
                    <w:rPr>
                      <w:rFonts w:hint="eastAsia" w:ascii="Times New Roman" w:hAnsi="Times New Roman" w:cs="Times New Roman"/>
                      <w:color w:val="auto"/>
                      <w:sz w:val="18"/>
                      <w:szCs w:val="18"/>
                      <w:lang w:eastAsia="zh-CN"/>
                    </w:rPr>
                    <w:t>南溪组团A区</w:t>
                  </w:r>
                  <w:r>
                    <w:rPr>
                      <w:rFonts w:hint="default" w:ascii="Times New Roman" w:hAnsi="Times New Roman" w:eastAsia="宋体" w:cs="Times New Roman"/>
                      <w:color w:val="auto"/>
                      <w:sz w:val="18"/>
                      <w:szCs w:val="18"/>
                    </w:rPr>
                    <w:t>，不属于上述行业</w:t>
                  </w:r>
                </w:p>
              </w:tc>
              <w:tc>
                <w:tcPr>
                  <w:tcW w:w="453" w:type="pct"/>
                  <w:tcBorders>
                    <w:tl2br w:val="nil"/>
                    <w:tr2bl w:val="nil"/>
                  </w:tcBorders>
                  <w:noWrap w:val="0"/>
                  <w:vAlign w:val="center"/>
                </w:tcPr>
                <w:p w14:paraId="3238FDC2">
                  <w:pPr>
                    <w:adjustRightInd w:val="0"/>
                    <w:snapToGrid w:val="0"/>
                    <w:spacing w:line="240" w:lineRule="auto"/>
                    <w:ind w:left="0" w:leftChars="0" w:firstLine="0" w:firstLineChars="0"/>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22432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continue"/>
                  <w:tcBorders>
                    <w:tl2br w:val="nil"/>
                    <w:tr2bl w:val="nil"/>
                  </w:tcBorders>
                  <w:noWrap w:val="0"/>
                  <w:vAlign w:val="center"/>
                </w:tcPr>
                <w:p w14:paraId="74C3FC9B">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p>
              </w:tc>
              <w:tc>
                <w:tcPr>
                  <w:tcW w:w="2329" w:type="pct"/>
                  <w:tcBorders>
                    <w:tl2br w:val="nil"/>
                    <w:tr2bl w:val="nil"/>
                  </w:tcBorders>
                  <w:noWrap w:val="0"/>
                  <w:vAlign w:val="center"/>
                </w:tcPr>
                <w:p w14:paraId="7DDF6CA5">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lang w:eastAsia="zh-CN"/>
                    </w:rPr>
                    <w:t>4.</w:t>
                  </w:r>
                  <w:r>
                    <w:rPr>
                      <w:rFonts w:hint="default" w:ascii="Times New Roman" w:hAnsi="Times New Roman" w:eastAsia="宋体" w:cs="Times New Roman"/>
                      <w:color w:val="auto"/>
                      <w:sz w:val="18"/>
                      <w:szCs w:val="18"/>
                    </w:rPr>
                    <w:t>《汽车产业投资管理规定》（国家发展和改革委员会令第22号）明确禁止建设的汽车投资项目。</w:t>
                  </w:r>
                </w:p>
              </w:tc>
              <w:tc>
                <w:tcPr>
                  <w:tcW w:w="1493" w:type="pct"/>
                  <w:tcBorders>
                    <w:tl2br w:val="nil"/>
                    <w:tr2bl w:val="nil"/>
                  </w:tcBorders>
                  <w:noWrap w:val="0"/>
                  <w:vAlign w:val="center"/>
                </w:tcPr>
                <w:p w14:paraId="7C502DE4">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项目不属于</w:t>
                  </w:r>
                  <w:r>
                    <w:rPr>
                      <w:rFonts w:hint="default" w:ascii="Times New Roman" w:hAnsi="Times New Roman" w:eastAsia="宋体" w:cs="Times New Roman"/>
                      <w:color w:val="auto"/>
                      <w:sz w:val="18"/>
                      <w:szCs w:val="18"/>
                      <w:lang w:val="en-US" w:eastAsia="zh-CN"/>
                    </w:rPr>
                    <w:t>上述明确禁止建设的汽车投资项目</w:t>
                  </w:r>
                </w:p>
              </w:tc>
              <w:tc>
                <w:tcPr>
                  <w:tcW w:w="453" w:type="pct"/>
                  <w:tcBorders>
                    <w:tl2br w:val="nil"/>
                    <w:tr2bl w:val="nil"/>
                  </w:tcBorders>
                  <w:noWrap w:val="0"/>
                  <w:vAlign w:val="center"/>
                </w:tcPr>
                <w:p w14:paraId="2EB5FD67">
                  <w:pPr>
                    <w:adjustRightInd w:val="0"/>
                    <w:snapToGrid w:val="0"/>
                    <w:spacing w:line="240" w:lineRule="auto"/>
                    <w:ind w:left="0" w:leftChars="0" w:firstLine="0" w:firstLineChars="0"/>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63EE0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restart"/>
                  <w:tcBorders>
                    <w:tl2br w:val="nil"/>
                    <w:tr2bl w:val="nil"/>
                  </w:tcBorders>
                  <w:noWrap w:val="0"/>
                  <w:vAlign w:val="center"/>
                </w:tcPr>
                <w:p w14:paraId="529EA7E0">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shd w:val="clear" w:color="auto" w:fill="FFFFFF"/>
                    </w:rPr>
                    <w:t>重点区域范围内限制准入的产业</w:t>
                  </w:r>
                </w:p>
              </w:tc>
              <w:tc>
                <w:tcPr>
                  <w:tcW w:w="2329" w:type="pct"/>
                  <w:tcBorders>
                    <w:tl2br w:val="nil"/>
                    <w:tr2bl w:val="nil"/>
                  </w:tcBorders>
                  <w:noWrap w:val="0"/>
                  <w:vAlign w:val="center"/>
                </w:tcPr>
                <w:p w14:paraId="557B25C3">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lang w:eastAsia="zh-CN"/>
                    </w:rPr>
                    <w:t>1.</w:t>
                  </w:r>
                  <w:r>
                    <w:rPr>
                      <w:rFonts w:hint="default" w:ascii="Times New Roman" w:hAnsi="Times New Roman" w:eastAsia="宋体" w:cs="Times New Roman"/>
                      <w:color w:val="auto"/>
                      <w:sz w:val="18"/>
                      <w:szCs w:val="18"/>
                    </w:rPr>
                    <w:t>长江干支流、重要湖泊岸线1公里范围内新建、扩建化工园区和化工项目，长江、嘉陵江、乌江岸线1公里范围内布局新建纸浆制造、印染等存在环境风险的项目。</w:t>
                  </w:r>
                </w:p>
              </w:tc>
              <w:tc>
                <w:tcPr>
                  <w:tcW w:w="1493" w:type="pct"/>
                  <w:tcBorders>
                    <w:tl2br w:val="nil"/>
                    <w:tr2bl w:val="nil"/>
                  </w:tcBorders>
                  <w:noWrap w:val="0"/>
                  <w:vAlign w:val="center"/>
                </w:tcPr>
                <w:p w14:paraId="16D76A03">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bCs/>
                      <w:color w:val="auto"/>
                      <w:sz w:val="18"/>
                      <w:szCs w:val="18"/>
                    </w:rPr>
                    <w:t>项目</w:t>
                  </w:r>
                  <w:r>
                    <w:rPr>
                      <w:rFonts w:hint="eastAsia" w:ascii="Times New Roman" w:hAnsi="Times New Roman" w:cs="Times New Roman"/>
                      <w:bCs/>
                      <w:color w:val="auto"/>
                      <w:sz w:val="18"/>
                      <w:szCs w:val="18"/>
                      <w:lang w:eastAsia="zh-CN"/>
                    </w:rPr>
                    <w:t>距离建梁河距离约360m但</w:t>
                  </w:r>
                  <w:r>
                    <w:rPr>
                      <w:rFonts w:hint="default" w:ascii="Times New Roman" w:hAnsi="Times New Roman" w:eastAsia="宋体" w:cs="Times New Roman"/>
                      <w:color w:val="auto"/>
                      <w:kern w:val="0"/>
                      <w:sz w:val="18"/>
                      <w:szCs w:val="18"/>
                    </w:rPr>
                    <w:t>本项目不属于</w:t>
                  </w:r>
                  <w:r>
                    <w:rPr>
                      <w:rFonts w:hint="default" w:ascii="Times New Roman" w:hAnsi="Times New Roman" w:eastAsia="宋体" w:cs="Times New Roman"/>
                      <w:color w:val="auto"/>
                      <w:sz w:val="18"/>
                      <w:szCs w:val="18"/>
                    </w:rPr>
                    <w:t>上述项目</w:t>
                  </w:r>
                </w:p>
              </w:tc>
              <w:tc>
                <w:tcPr>
                  <w:tcW w:w="453" w:type="pct"/>
                  <w:tcBorders>
                    <w:tl2br w:val="nil"/>
                    <w:tr2bl w:val="nil"/>
                  </w:tcBorders>
                  <w:noWrap w:val="0"/>
                  <w:vAlign w:val="center"/>
                </w:tcPr>
                <w:p w14:paraId="033F758A">
                  <w:pPr>
                    <w:adjustRightInd w:val="0"/>
                    <w:snapToGrid w:val="0"/>
                    <w:spacing w:line="240" w:lineRule="auto"/>
                    <w:ind w:left="0" w:leftChars="0" w:firstLine="0" w:firstLineChars="0"/>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1DC63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3" w:type="pct"/>
                  <w:vMerge w:val="continue"/>
                  <w:tcBorders>
                    <w:tl2br w:val="nil"/>
                    <w:tr2bl w:val="nil"/>
                  </w:tcBorders>
                  <w:noWrap w:val="0"/>
                  <w:vAlign w:val="center"/>
                </w:tcPr>
                <w:p w14:paraId="23BF626D">
                  <w:pPr>
                    <w:pStyle w:val="63"/>
                    <w:adjustRightInd w:val="0"/>
                    <w:snapToGrid w:val="0"/>
                    <w:spacing w:line="240" w:lineRule="auto"/>
                    <w:ind w:firstLine="0" w:firstLineChars="0"/>
                    <w:jc w:val="center"/>
                    <w:rPr>
                      <w:rFonts w:hint="default" w:ascii="Times New Roman" w:hAnsi="Times New Roman" w:eastAsia="宋体" w:cs="Times New Roman"/>
                      <w:color w:val="auto"/>
                      <w:sz w:val="18"/>
                      <w:szCs w:val="18"/>
                      <w:shd w:val="clear" w:color="auto" w:fill="FFFFFF"/>
                    </w:rPr>
                  </w:pPr>
                </w:p>
              </w:tc>
              <w:tc>
                <w:tcPr>
                  <w:tcW w:w="2329" w:type="pct"/>
                  <w:tcBorders>
                    <w:tl2br w:val="nil"/>
                    <w:tr2bl w:val="nil"/>
                  </w:tcBorders>
                  <w:noWrap w:val="0"/>
                  <w:vAlign w:val="center"/>
                </w:tcPr>
                <w:p w14:paraId="1FBA6A2D">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lang w:eastAsia="zh-CN"/>
                    </w:rPr>
                    <w:t>2.</w:t>
                  </w:r>
                  <w:r>
                    <w:rPr>
                      <w:rFonts w:hint="default" w:ascii="Times New Roman" w:hAnsi="Times New Roman" w:eastAsia="宋体" w:cs="Times New Roman"/>
                      <w:color w:val="auto"/>
                      <w:sz w:val="18"/>
                      <w:szCs w:val="18"/>
                    </w:rPr>
                    <w:t>在水产种质资源保护区的岸线和河段范围内新建围湖造田等投资建设项目。</w:t>
                  </w:r>
                </w:p>
              </w:tc>
              <w:tc>
                <w:tcPr>
                  <w:tcW w:w="1493" w:type="pct"/>
                  <w:tcBorders>
                    <w:tl2br w:val="nil"/>
                    <w:tr2bl w:val="nil"/>
                  </w:tcBorders>
                  <w:noWrap w:val="0"/>
                  <w:vAlign w:val="center"/>
                </w:tcPr>
                <w:p w14:paraId="28162E57">
                  <w:pPr>
                    <w:pStyle w:val="63"/>
                    <w:adjustRightInd w:val="0"/>
                    <w:snapToGrid w:val="0"/>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不属于上述项目</w:t>
                  </w:r>
                </w:p>
              </w:tc>
              <w:tc>
                <w:tcPr>
                  <w:tcW w:w="453" w:type="pct"/>
                  <w:tcBorders>
                    <w:tl2br w:val="nil"/>
                    <w:tr2bl w:val="nil"/>
                  </w:tcBorders>
                  <w:noWrap w:val="0"/>
                  <w:vAlign w:val="center"/>
                </w:tcPr>
                <w:p w14:paraId="21663E15">
                  <w:pPr>
                    <w:adjustRightInd w:val="0"/>
                    <w:snapToGrid w:val="0"/>
                    <w:spacing w:line="240" w:lineRule="auto"/>
                    <w:ind w:left="0" w:leftChars="0" w:firstLine="0" w:firstLineChars="0"/>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bl>
          <w:p w14:paraId="0D3FB2B3">
            <w:pPr>
              <w:pStyle w:val="90"/>
              <w:snapToGrid w:val="0"/>
              <w:spacing w:line="360" w:lineRule="auto"/>
              <w:ind w:firstLine="420" w:firstLineChars="200"/>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综上，本项目符合《重庆市产业投资准入工作手册》（渝发改投资〔2022〕1436号）相关要求。</w:t>
            </w:r>
          </w:p>
          <w:p w14:paraId="5A20AD04">
            <w:pPr>
              <w:pStyle w:val="90"/>
              <w:snapToGrid w:val="0"/>
              <w:spacing w:line="360" w:lineRule="auto"/>
              <w:ind w:left="0" w:leftChars="0" w:firstLine="0" w:firstLineChars="0"/>
              <w:textAlignment w:val="auto"/>
              <w:rPr>
                <w:rFonts w:hint="default" w:ascii="Times New Roman" w:hAnsi="Times New Roman" w:eastAsia="宋体" w:cs="Times New Roman"/>
                <w:b/>
                <w:bCs w:val="0"/>
                <w:color w:val="auto"/>
                <w:sz w:val="21"/>
                <w:szCs w:val="21"/>
                <w:lang w:val="en-US" w:eastAsia="zh-CN"/>
              </w:rPr>
            </w:pPr>
            <w:r>
              <w:rPr>
                <w:rFonts w:hint="eastAsia" w:eastAsia="宋体" w:cs="Times New Roman"/>
                <w:b/>
                <w:bCs w:val="0"/>
                <w:color w:val="auto"/>
                <w:sz w:val="21"/>
                <w:szCs w:val="21"/>
                <w:lang w:val="en-US" w:eastAsia="zh-CN"/>
              </w:rPr>
              <w:t>四</w:t>
            </w:r>
            <w:r>
              <w:rPr>
                <w:rFonts w:hint="default" w:ascii="Times New Roman" w:hAnsi="Times New Roman" w:eastAsia="宋体" w:cs="Times New Roman"/>
                <w:b/>
                <w:bCs w:val="0"/>
                <w:color w:val="auto"/>
                <w:sz w:val="21"/>
                <w:szCs w:val="21"/>
                <w:lang w:val="en-US" w:eastAsia="zh-CN"/>
              </w:rPr>
              <w:t>、</w:t>
            </w:r>
            <w:r>
              <w:rPr>
                <w:rFonts w:hint="default" w:ascii="Times New Roman" w:hAnsi="Times New Roman" w:eastAsia="宋体" w:cs="Times New Roman"/>
                <w:b/>
                <w:bCs w:val="0"/>
                <w:color w:val="auto"/>
                <w:sz w:val="21"/>
                <w:szCs w:val="21"/>
              </w:rPr>
              <w:t>与《重庆市发展和改革委员会重庆市经济和信息化委员会关于严格工业布局和准入的通知》（渝发改工〔2018〕781号）的符合性</w:t>
            </w:r>
            <w:r>
              <w:rPr>
                <w:rFonts w:hint="default" w:ascii="Times New Roman" w:hAnsi="Times New Roman" w:eastAsia="宋体" w:cs="Times New Roman"/>
                <w:b/>
                <w:bCs w:val="0"/>
                <w:color w:val="auto"/>
                <w:sz w:val="21"/>
                <w:szCs w:val="21"/>
                <w:lang w:val="en-US" w:eastAsia="zh-CN"/>
              </w:rPr>
              <w:t>分析</w:t>
            </w:r>
          </w:p>
          <w:p w14:paraId="0E571F5B">
            <w:pPr>
              <w:pStyle w:val="90"/>
              <w:snapToGrid w:val="0"/>
              <w:spacing w:line="360" w:lineRule="auto"/>
              <w:ind w:firstLine="422" w:firstLineChars="200"/>
              <w:jc w:val="center"/>
              <w:textAlignment w:val="auto"/>
              <w:rPr>
                <w:rFonts w:hint="default" w:ascii="Times New Roman" w:hAnsi="Times New Roman" w:eastAsia="宋体" w:cs="Times New Roman"/>
                <w:b/>
                <w:bCs w:val="0"/>
                <w:color w:val="auto"/>
                <w:sz w:val="21"/>
                <w:szCs w:val="21"/>
                <w:lang w:val="zh-CN"/>
              </w:rPr>
            </w:pPr>
            <w:r>
              <w:rPr>
                <w:rFonts w:hint="default" w:ascii="Times New Roman" w:hAnsi="Times New Roman" w:eastAsia="宋体" w:cs="Times New Roman"/>
                <w:b/>
                <w:bCs w:val="0"/>
                <w:color w:val="auto"/>
                <w:sz w:val="21"/>
                <w:szCs w:val="21"/>
                <w:lang w:val="zh-CN"/>
              </w:rPr>
              <w:t>表</w:t>
            </w:r>
            <w:r>
              <w:rPr>
                <w:rFonts w:hint="default" w:ascii="Times New Roman" w:hAnsi="Times New Roman" w:eastAsia="宋体" w:cs="Times New Roman"/>
                <w:b/>
                <w:bCs w:val="0"/>
                <w:color w:val="auto"/>
                <w:sz w:val="21"/>
                <w:szCs w:val="21"/>
                <w:lang w:val="en-US" w:eastAsia="zh-CN"/>
              </w:rPr>
              <w:t>1-7</w:t>
            </w:r>
            <w:r>
              <w:rPr>
                <w:rFonts w:hint="default" w:ascii="Times New Roman" w:hAnsi="Times New Roman" w:eastAsia="宋体" w:cs="Times New Roman"/>
                <w:b/>
                <w:bCs w:val="0"/>
                <w:color w:val="auto"/>
                <w:sz w:val="21"/>
                <w:szCs w:val="21"/>
              </w:rPr>
              <w:t xml:space="preserve">  </w:t>
            </w:r>
            <w:r>
              <w:rPr>
                <w:rFonts w:hint="default" w:ascii="Times New Roman" w:hAnsi="Times New Roman" w:eastAsia="宋体" w:cs="Times New Roman"/>
                <w:b/>
                <w:bCs w:val="0"/>
                <w:color w:val="auto"/>
                <w:sz w:val="21"/>
                <w:szCs w:val="21"/>
                <w:lang w:val="zh-CN"/>
              </w:rPr>
              <w:t>关于严格工业布局和准入的通知符合性分析表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4276"/>
              <w:gridCol w:w="2159"/>
              <w:gridCol w:w="1075"/>
            </w:tblGrid>
            <w:tr w14:paraId="72B01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81" w:type="pct"/>
                  <w:tcBorders>
                    <w:tl2br w:val="nil"/>
                    <w:tr2bl w:val="nil"/>
                  </w:tcBorders>
                  <w:noWrap w:val="0"/>
                  <w:tcMar>
                    <w:top w:w="28" w:type="dxa"/>
                    <w:left w:w="57" w:type="dxa"/>
                    <w:bottom w:w="28" w:type="dxa"/>
                    <w:right w:w="57" w:type="dxa"/>
                  </w:tcMar>
                  <w:vAlign w:val="center"/>
                </w:tcPr>
                <w:p w14:paraId="4505D89A">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w:t>
                  </w:r>
                </w:p>
              </w:tc>
              <w:tc>
                <w:tcPr>
                  <w:tcW w:w="2630" w:type="pct"/>
                  <w:tcBorders>
                    <w:tl2br w:val="nil"/>
                    <w:tr2bl w:val="nil"/>
                  </w:tcBorders>
                  <w:noWrap w:val="0"/>
                  <w:tcMar>
                    <w:top w:w="28" w:type="dxa"/>
                    <w:left w:w="57" w:type="dxa"/>
                    <w:bottom w:w="28" w:type="dxa"/>
                    <w:right w:w="57" w:type="dxa"/>
                  </w:tcMar>
                  <w:vAlign w:val="center"/>
                </w:tcPr>
                <w:p w14:paraId="46FDA546">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《通知》中相关要求</w:t>
                  </w:r>
                </w:p>
              </w:tc>
              <w:tc>
                <w:tcPr>
                  <w:tcW w:w="1328" w:type="pct"/>
                  <w:tcBorders>
                    <w:tl2br w:val="nil"/>
                    <w:tr2bl w:val="nil"/>
                  </w:tcBorders>
                  <w:noWrap w:val="0"/>
                  <w:tcMar>
                    <w:top w:w="28" w:type="dxa"/>
                    <w:left w:w="57" w:type="dxa"/>
                    <w:bottom w:w="28" w:type="dxa"/>
                    <w:right w:w="57" w:type="dxa"/>
                  </w:tcMar>
                  <w:vAlign w:val="center"/>
                </w:tcPr>
                <w:p w14:paraId="4620843D">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项目情况</w:t>
                  </w:r>
                </w:p>
              </w:tc>
              <w:tc>
                <w:tcPr>
                  <w:tcW w:w="661" w:type="pct"/>
                  <w:tcBorders>
                    <w:tl2br w:val="nil"/>
                    <w:tr2bl w:val="nil"/>
                  </w:tcBorders>
                  <w:noWrap w:val="0"/>
                  <w:tcMar>
                    <w:top w:w="28" w:type="dxa"/>
                    <w:left w:w="57" w:type="dxa"/>
                    <w:bottom w:w="28" w:type="dxa"/>
                    <w:right w:w="57" w:type="dxa"/>
                  </w:tcMar>
                  <w:vAlign w:val="center"/>
                </w:tcPr>
                <w:p w14:paraId="37561166">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符合性</w:t>
                  </w:r>
                </w:p>
              </w:tc>
            </w:tr>
            <w:tr w14:paraId="02235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81" w:type="pct"/>
                  <w:tcBorders>
                    <w:tl2br w:val="nil"/>
                    <w:tr2bl w:val="nil"/>
                  </w:tcBorders>
                  <w:noWrap w:val="0"/>
                  <w:tcMar>
                    <w:top w:w="28" w:type="dxa"/>
                    <w:left w:w="57" w:type="dxa"/>
                    <w:bottom w:w="28" w:type="dxa"/>
                    <w:right w:w="57" w:type="dxa"/>
                  </w:tcMar>
                  <w:vAlign w:val="center"/>
                </w:tcPr>
                <w:p w14:paraId="5E4AA49D">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优化空间布局</w:t>
                  </w:r>
                </w:p>
              </w:tc>
              <w:tc>
                <w:tcPr>
                  <w:tcW w:w="2630" w:type="pct"/>
                  <w:tcBorders>
                    <w:tl2br w:val="nil"/>
                    <w:tr2bl w:val="nil"/>
                  </w:tcBorders>
                  <w:noWrap w:val="0"/>
                  <w:tcMar>
                    <w:top w:w="28" w:type="dxa"/>
                    <w:left w:w="57" w:type="dxa"/>
                    <w:bottom w:w="28" w:type="dxa"/>
                    <w:right w:w="57" w:type="dxa"/>
                  </w:tcMar>
                  <w:vAlign w:val="center"/>
                </w:tcPr>
                <w:p w14:paraId="249A3D7E">
                  <w:pPr>
                    <w:pStyle w:val="112"/>
                    <w:adjustRightInd w:val="0"/>
                    <w:snapToGrid w:val="0"/>
                    <w:spacing w:line="240" w:lineRule="auto"/>
                    <w:ind w:firstLine="360" w:firstLineChars="20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对在长江干流及主要支流岸线1公里范围内新建重化工、纺织、造纸等存在污染风险的工业项目，不得办理项目核准或备案手续。禁止在长江干流及主要支流岸线5公里范围内新布局工业园区，有序推进现有工业园区空间布局的调整优化。</w:t>
                  </w:r>
                </w:p>
              </w:tc>
              <w:tc>
                <w:tcPr>
                  <w:tcW w:w="1328" w:type="pct"/>
                  <w:tcBorders>
                    <w:tl2br w:val="nil"/>
                    <w:tr2bl w:val="nil"/>
                  </w:tcBorders>
                  <w:noWrap w:val="0"/>
                  <w:tcMar>
                    <w:top w:w="28" w:type="dxa"/>
                    <w:left w:w="57" w:type="dxa"/>
                    <w:bottom w:w="28" w:type="dxa"/>
                    <w:right w:w="57" w:type="dxa"/>
                  </w:tcMar>
                  <w:vAlign w:val="center"/>
                </w:tcPr>
                <w:p w14:paraId="2E55D68B">
                  <w:pPr>
                    <w:pStyle w:val="112"/>
                    <w:adjustRightInd w:val="0"/>
                    <w:snapToGrid w:val="0"/>
                    <w:spacing w:line="240" w:lineRule="auto"/>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项目建设性质不属于重化工、纺织、造纸业。</w:t>
                  </w:r>
                </w:p>
              </w:tc>
              <w:tc>
                <w:tcPr>
                  <w:tcW w:w="661" w:type="pct"/>
                  <w:tcBorders>
                    <w:tl2br w:val="nil"/>
                    <w:tr2bl w:val="nil"/>
                  </w:tcBorders>
                  <w:noWrap w:val="0"/>
                  <w:tcMar>
                    <w:top w:w="28" w:type="dxa"/>
                    <w:left w:w="57" w:type="dxa"/>
                    <w:bottom w:w="28" w:type="dxa"/>
                    <w:right w:w="57" w:type="dxa"/>
                  </w:tcMar>
                  <w:vAlign w:val="center"/>
                </w:tcPr>
                <w:p w14:paraId="13541268">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387A2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81" w:type="pct"/>
                  <w:tcBorders>
                    <w:tl2br w:val="nil"/>
                    <w:tr2bl w:val="nil"/>
                  </w:tcBorders>
                  <w:noWrap w:val="0"/>
                  <w:tcMar>
                    <w:top w:w="28" w:type="dxa"/>
                    <w:left w:w="57" w:type="dxa"/>
                    <w:bottom w:w="28" w:type="dxa"/>
                    <w:right w:w="57" w:type="dxa"/>
                  </w:tcMar>
                  <w:vAlign w:val="center"/>
                </w:tcPr>
                <w:p w14:paraId="69FD4B16">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项目入园</w:t>
                  </w:r>
                </w:p>
              </w:tc>
              <w:tc>
                <w:tcPr>
                  <w:tcW w:w="2630" w:type="pct"/>
                  <w:tcBorders>
                    <w:tl2br w:val="nil"/>
                    <w:tr2bl w:val="nil"/>
                  </w:tcBorders>
                  <w:noWrap w:val="0"/>
                  <w:tcMar>
                    <w:top w:w="28" w:type="dxa"/>
                    <w:left w:w="57" w:type="dxa"/>
                    <w:bottom w:w="28" w:type="dxa"/>
                    <w:right w:w="57" w:type="dxa"/>
                  </w:tcMar>
                  <w:vAlign w:val="center"/>
                </w:tcPr>
                <w:p w14:paraId="594A2FF6">
                  <w:pPr>
                    <w:pStyle w:val="112"/>
                    <w:adjustRightInd w:val="0"/>
                    <w:snapToGrid w:val="0"/>
                    <w:spacing w:line="240" w:lineRule="auto"/>
                    <w:ind w:firstLine="360" w:firstLineChars="20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新建有污染物排放的工业项目，除在安全生产或者产业布局等方面有特殊要求外，应当进入工业园区（工业集聚区，下同）。对未进入工业园区的项目，或在工业园区（工业集聚区）以外区域实施单纯增加产能的技改（扩建）的项目，不得办理项目核准或备案手续</w:t>
                  </w:r>
                </w:p>
              </w:tc>
              <w:tc>
                <w:tcPr>
                  <w:tcW w:w="1328" w:type="pct"/>
                  <w:tcBorders>
                    <w:tl2br w:val="nil"/>
                    <w:tr2bl w:val="nil"/>
                  </w:tcBorders>
                  <w:noWrap w:val="0"/>
                  <w:tcMar>
                    <w:top w:w="28" w:type="dxa"/>
                    <w:left w:w="57" w:type="dxa"/>
                    <w:bottom w:w="28" w:type="dxa"/>
                    <w:right w:w="57" w:type="dxa"/>
                  </w:tcMar>
                  <w:vAlign w:val="center"/>
                </w:tcPr>
                <w:p w14:paraId="2EC94A99">
                  <w:pPr>
                    <w:pStyle w:val="112"/>
                    <w:adjustRightInd w:val="0"/>
                    <w:snapToGrid w:val="0"/>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项目位于</w:t>
                  </w:r>
                  <w:r>
                    <w:rPr>
                      <w:rFonts w:hint="default" w:ascii="Times New Roman" w:hAnsi="Times New Roman" w:cs="Times New Roman"/>
                      <w:color w:val="auto"/>
                      <w:sz w:val="18"/>
                      <w:szCs w:val="18"/>
                      <w:lang w:eastAsia="zh-CN"/>
                    </w:rPr>
                    <w:t>合川区</w:t>
                  </w:r>
                  <w:r>
                    <w:rPr>
                      <w:rFonts w:hint="eastAsia" w:ascii="Times New Roman" w:hAnsi="Times New Roman" w:cs="Times New Roman"/>
                      <w:color w:val="auto"/>
                      <w:sz w:val="18"/>
                      <w:szCs w:val="18"/>
                      <w:lang w:eastAsia="zh-CN"/>
                    </w:rPr>
                    <w:t>南溪组团A区</w:t>
                  </w:r>
                  <w:r>
                    <w:rPr>
                      <w:rFonts w:hint="default" w:ascii="Times New Roman" w:hAnsi="Times New Roman" w:eastAsia="宋体" w:cs="Times New Roman"/>
                      <w:color w:val="auto"/>
                      <w:sz w:val="18"/>
                      <w:szCs w:val="18"/>
                    </w:rPr>
                    <w:t>，属工业用地。</w:t>
                  </w:r>
                </w:p>
              </w:tc>
              <w:tc>
                <w:tcPr>
                  <w:tcW w:w="661" w:type="pct"/>
                  <w:tcBorders>
                    <w:tl2br w:val="nil"/>
                    <w:tr2bl w:val="nil"/>
                  </w:tcBorders>
                  <w:noWrap w:val="0"/>
                  <w:tcMar>
                    <w:top w:w="28" w:type="dxa"/>
                    <w:left w:w="57" w:type="dxa"/>
                    <w:bottom w:w="28" w:type="dxa"/>
                    <w:right w:w="57" w:type="dxa"/>
                  </w:tcMar>
                  <w:vAlign w:val="center"/>
                </w:tcPr>
                <w:p w14:paraId="2ED5C862">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3FD7A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381" w:type="pct"/>
                  <w:tcBorders>
                    <w:tl2br w:val="nil"/>
                    <w:tr2bl w:val="nil"/>
                  </w:tcBorders>
                  <w:noWrap w:val="0"/>
                  <w:tcMar>
                    <w:top w:w="28" w:type="dxa"/>
                    <w:left w:w="57" w:type="dxa"/>
                    <w:bottom w:w="28" w:type="dxa"/>
                    <w:right w:w="57" w:type="dxa"/>
                  </w:tcMar>
                  <w:vAlign w:val="center"/>
                </w:tcPr>
                <w:p w14:paraId="1C940D6A">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严格产业准入</w:t>
                  </w:r>
                </w:p>
              </w:tc>
              <w:tc>
                <w:tcPr>
                  <w:tcW w:w="2630" w:type="pct"/>
                  <w:tcBorders>
                    <w:tl2br w:val="nil"/>
                    <w:tr2bl w:val="nil"/>
                  </w:tcBorders>
                  <w:noWrap w:val="0"/>
                  <w:tcMar>
                    <w:top w:w="28" w:type="dxa"/>
                    <w:left w:w="57" w:type="dxa"/>
                    <w:bottom w:w="28" w:type="dxa"/>
                    <w:right w:w="57" w:type="dxa"/>
                  </w:tcMar>
                  <w:vAlign w:val="center"/>
                </w:tcPr>
                <w:p w14:paraId="5C35E383">
                  <w:pPr>
                    <w:pStyle w:val="112"/>
                    <w:adjustRightInd w:val="0"/>
                    <w:snapToGrid w:val="0"/>
                    <w:spacing w:line="240" w:lineRule="auto"/>
                    <w:ind w:firstLine="360" w:firstLineChars="20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严格控制过剩产能和“两高一资”项目，严格限制造纸、印染、煤电、传统化工、传统燃油汽车、涉及重金属以及有毒有害和持久性污染物排放的项目。新建或扩建上述项目，必须符合国家及我市产业政策和布局，依法办理环境保护、安全生产、资源（能源）节约等有关手续。</w:t>
                  </w:r>
                </w:p>
              </w:tc>
              <w:tc>
                <w:tcPr>
                  <w:tcW w:w="1328" w:type="pct"/>
                  <w:tcBorders>
                    <w:tl2br w:val="nil"/>
                    <w:tr2bl w:val="nil"/>
                  </w:tcBorders>
                  <w:noWrap w:val="0"/>
                  <w:tcMar>
                    <w:top w:w="28" w:type="dxa"/>
                    <w:left w:w="57" w:type="dxa"/>
                    <w:bottom w:w="28" w:type="dxa"/>
                    <w:right w:w="57" w:type="dxa"/>
                  </w:tcMar>
                  <w:vAlign w:val="center"/>
                </w:tcPr>
                <w:p w14:paraId="62F0C9DD">
                  <w:pPr>
                    <w:pStyle w:val="112"/>
                    <w:adjustRightInd w:val="0"/>
                    <w:snapToGrid w:val="0"/>
                    <w:spacing w:line="240" w:lineRule="auto"/>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本项目不属于重金属以及有毒有害和持久性污染物排放的项目，本项目属于国家允许类。</w:t>
                  </w:r>
                </w:p>
              </w:tc>
              <w:tc>
                <w:tcPr>
                  <w:tcW w:w="661" w:type="pct"/>
                  <w:tcBorders>
                    <w:tl2br w:val="nil"/>
                    <w:tr2bl w:val="nil"/>
                  </w:tcBorders>
                  <w:noWrap w:val="0"/>
                  <w:tcMar>
                    <w:top w:w="28" w:type="dxa"/>
                    <w:left w:w="57" w:type="dxa"/>
                    <w:bottom w:w="28" w:type="dxa"/>
                    <w:right w:w="57" w:type="dxa"/>
                  </w:tcMar>
                  <w:vAlign w:val="center"/>
                </w:tcPr>
                <w:p w14:paraId="0BBF49C6">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bl>
          <w:p w14:paraId="50441F85">
            <w:pPr>
              <w:spacing w:line="360" w:lineRule="auto"/>
              <w:ind w:firstLine="4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根据上述分析，项目符合《重庆市发展和改革、重庆市经济和信息化委员会关于严格工业布局和准入的通知》（渝发改工〔2018〕781号）通知的相关要求中。</w:t>
            </w:r>
          </w:p>
          <w:p w14:paraId="18526799">
            <w:pPr>
              <w:spacing w:line="360" w:lineRule="auto"/>
              <w:jc w:val="both"/>
              <w:rPr>
                <w:rFonts w:hint="default" w:ascii="Times New Roman" w:hAnsi="Times New Roman" w:eastAsia="宋体" w:cs="Times New Roman"/>
                <w:b/>
                <w:bCs/>
                <w:color w:val="auto"/>
                <w:lang w:val="en-US" w:eastAsia="zh-CN"/>
              </w:rPr>
            </w:pPr>
            <w:r>
              <w:rPr>
                <w:rFonts w:hint="eastAsia" w:cs="Times New Roman"/>
                <w:b/>
                <w:bCs/>
                <w:color w:val="auto"/>
                <w:lang w:val="en-US" w:eastAsia="zh-CN"/>
              </w:rPr>
              <w:t>五</w:t>
            </w:r>
            <w:r>
              <w:rPr>
                <w:rFonts w:hint="default" w:ascii="Times New Roman" w:hAnsi="Times New Roman" w:eastAsia="宋体" w:cs="Times New Roman"/>
                <w:b/>
                <w:bCs/>
                <w:color w:val="auto"/>
                <w:lang w:val="en-US" w:eastAsia="zh-CN"/>
              </w:rPr>
              <w:t>、与《中华人民共和国长江保护法》符合性分析</w:t>
            </w:r>
          </w:p>
          <w:p w14:paraId="0B6A98C0">
            <w:pPr>
              <w:spacing w:line="360" w:lineRule="auto"/>
              <w:ind w:firstLine="48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表1-</w:t>
            </w:r>
            <w:r>
              <w:rPr>
                <w:rFonts w:hint="default" w:ascii="Times New Roman" w:hAnsi="Times New Roman" w:cs="Times New Roman"/>
                <w:b/>
                <w:bCs/>
                <w:color w:val="auto"/>
                <w:lang w:val="en-US" w:eastAsia="zh-CN"/>
              </w:rPr>
              <w:t>8</w:t>
            </w:r>
            <w:r>
              <w:rPr>
                <w:rFonts w:hint="default" w:ascii="Times New Roman" w:hAnsi="Times New Roman" w:eastAsia="宋体" w:cs="Times New Roman"/>
                <w:b/>
                <w:bCs/>
                <w:color w:val="auto"/>
                <w:lang w:val="en-US" w:eastAsia="zh-CN"/>
              </w:rPr>
              <w:t xml:space="preserve">  与《中华人民共和国长江保护法》符合性分析对照表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3643"/>
              <w:gridCol w:w="2782"/>
              <w:gridCol w:w="978"/>
            </w:tblGrid>
            <w:tr w14:paraId="3F01D8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tcBorders>
                    <w:tl2br w:val="nil"/>
                    <w:tr2bl w:val="nil"/>
                  </w:tcBorders>
                  <w:noWrap w:val="0"/>
                  <w:vAlign w:val="center"/>
                </w:tcPr>
                <w:p w14:paraId="388E528E">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序号</w:t>
                  </w:r>
                </w:p>
              </w:tc>
              <w:tc>
                <w:tcPr>
                  <w:tcW w:w="2241" w:type="pct"/>
                  <w:tcBorders>
                    <w:tl2br w:val="nil"/>
                    <w:tr2bl w:val="nil"/>
                  </w:tcBorders>
                  <w:noWrap w:val="0"/>
                  <w:vAlign w:val="center"/>
                </w:tcPr>
                <w:p w14:paraId="36B09096">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准入条件要求</w:t>
                  </w:r>
                </w:p>
              </w:tc>
              <w:tc>
                <w:tcPr>
                  <w:tcW w:w="1711" w:type="pct"/>
                  <w:tcBorders>
                    <w:tl2br w:val="nil"/>
                    <w:tr2bl w:val="nil"/>
                  </w:tcBorders>
                  <w:noWrap w:val="0"/>
                  <w:vAlign w:val="center"/>
                </w:tcPr>
                <w:p w14:paraId="72D6DCF1">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项目情况</w:t>
                  </w:r>
                </w:p>
              </w:tc>
              <w:tc>
                <w:tcPr>
                  <w:tcW w:w="601" w:type="pct"/>
                  <w:tcBorders>
                    <w:tl2br w:val="nil"/>
                    <w:tr2bl w:val="nil"/>
                  </w:tcBorders>
                  <w:noWrap w:val="0"/>
                  <w:vAlign w:val="center"/>
                </w:tcPr>
                <w:p w14:paraId="70109EEE">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符合性</w:t>
                  </w:r>
                </w:p>
              </w:tc>
            </w:tr>
            <w:tr w14:paraId="458B9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tcBorders>
                    <w:tl2br w:val="nil"/>
                    <w:tr2bl w:val="nil"/>
                  </w:tcBorders>
                  <w:noWrap w:val="0"/>
                  <w:vAlign w:val="center"/>
                </w:tcPr>
                <w:p w14:paraId="52152A7D">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p>
              </w:tc>
              <w:tc>
                <w:tcPr>
                  <w:tcW w:w="2241" w:type="pct"/>
                  <w:tcBorders>
                    <w:tl2br w:val="nil"/>
                    <w:tr2bl w:val="nil"/>
                  </w:tcBorders>
                  <w:noWrap w:val="0"/>
                  <w:vAlign w:val="center"/>
                </w:tcPr>
                <w:p w14:paraId="1E666530">
                  <w:pPr>
                    <w:pStyle w:val="112"/>
                    <w:spacing w:line="240" w:lineRule="auto"/>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第二十二条长江流域产业结构和布局应当与长江流域生态系统和资源环境承载能力相适应。禁止在长江流域重点生态功能区布局对生态系统有严重影响的产业。</w:t>
                  </w:r>
                </w:p>
              </w:tc>
              <w:tc>
                <w:tcPr>
                  <w:tcW w:w="1711" w:type="pct"/>
                  <w:tcBorders>
                    <w:tl2br w:val="nil"/>
                    <w:tr2bl w:val="nil"/>
                  </w:tcBorders>
                  <w:noWrap w:val="0"/>
                  <w:vAlign w:val="center"/>
                </w:tcPr>
                <w:p w14:paraId="6B482AF9">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项目占地范围内不涉及重点生态功能区。</w:t>
                  </w:r>
                </w:p>
              </w:tc>
              <w:tc>
                <w:tcPr>
                  <w:tcW w:w="601" w:type="pct"/>
                  <w:tcBorders>
                    <w:tl2br w:val="nil"/>
                    <w:tr2bl w:val="nil"/>
                  </w:tcBorders>
                  <w:noWrap w:val="0"/>
                  <w:vAlign w:val="center"/>
                </w:tcPr>
                <w:p w14:paraId="5999A9AD">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358DA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445" w:type="pct"/>
                  <w:tcBorders>
                    <w:tl2br w:val="nil"/>
                    <w:tr2bl w:val="nil"/>
                  </w:tcBorders>
                  <w:noWrap w:val="0"/>
                  <w:vAlign w:val="center"/>
                </w:tcPr>
                <w:p w14:paraId="72D14D6D">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p>
              </w:tc>
              <w:tc>
                <w:tcPr>
                  <w:tcW w:w="2241" w:type="pct"/>
                  <w:tcBorders>
                    <w:tl2br w:val="nil"/>
                    <w:tr2bl w:val="nil"/>
                  </w:tcBorders>
                  <w:noWrap w:val="0"/>
                  <w:vAlign w:val="center"/>
                </w:tcPr>
                <w:p w14:paraId="10FC1314">
                  <w:pPr>
                    <w:pStyle w:val="112"/>
                    <w:spacing w:line="240" w:lineRule="auto"/>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第二十六条禁止在长江干支流岸线一公里范围内新建、扩建化工园区和化工项目。</w:t>
                  </w:r>
                </w:p>
                <w:p w14:paraId="1AC52D66">
                  <w:pPr>
                    <w:pStyle w:val="112"/>
                    <w:spacing w:line="240" w:lineRule="auto"/>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禁止在长江干流岸线三公里范围内和重要支流岸线一公里范围内新建、改建、扩建尾矿库；但是以提升安全、生态环境保护水平为目的的改建除外。</w:t>
                  </w:r>
                </w:p>
              </w:tc>
              <w:tc>
                <w:tcPr>
                  <w:tcW w:w="1711" w:type="pct"/>
                  <w:tcBorders>
                    <w:tl2br w:val="nil"/>
                    <w:tr2bl w:val="nil"/>
                  </w:tcBorders>
                  <w:noWrap w:val="0"/>
                  <w:vAlign w:val="center"/>
                </w:tcPr>
                <w:p w14:paraId="50DCDA09">
                  <w:pPr>
                    <w:pStyle w:val="112"/>
                    <w:spacing w:line="240" w:lineRule="auto"/>
                    <w:jc w:val="both"/>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bCs/>
                      <w:color w:val="auto"/>
                      <w:sz w:val="18"/>
                      <w:szCs w:val="18"/>
                    </w:rPr>
                    <w:t>项目</w:t>
                  </w:r>
                  <w:r>
                    <w:rPr>
                      <w:rFonts w:hint="eastAsia" w:ascii="Times New Roman" w:hAnsi="Times New Roman" w:cs="Times New Roman"/>
                      <w:bCs/>
                      <w:color w:val="auto"/>
                      <w:sz w:val="18"/>
                      <w:szCs w:val="18"/>
                      <w:lang w:eastAsia="zh-CN"/>
                    </w:rPr>
                    <w:t>距离建梁河距离约360m</w:t>
                  </w:r>
                  <w:r>
                    <w:rPr>
                      <w:rFonts w:hint="default" w:ascii="Times New Roman" w:hAnsi="Times New Roman" w:eastAsia="宋体" w:cs="Times New Roman"/>
                      <w:color w:val="auto"/>
                      <w:sz w:val="18"/>
                      <w:szCs w:val="18"/>
                      <w:lang w:val="en-US" w:eastAsia="zh-CN"/>
                    </w:rPr>
                    <w:t>，</w:t>
                  </w:r>
                  <w:r>
                    <w:rPr>
                      <w:rFonts w:hint="eastAsia" w:ascii="Times New Roman" w:hAnsi="Times New Roman" w:cs="Times New Roman"/>
                      <w:color w:val="auto"/>
                      <w:sz w:val="18"/>
                      <w:szCs w:val="18"/>
                      <w:lang w:val="en-US" w:eastAsia="zh-CN"/>
                    </w:rPr>
                    <w:t>但</w:t>
                  </w:r>
                  <w:r>
                    <w:rPr>
                      <w:rFonts w:hint="default" w:ascii="Times New Roman" w:hAnsi="Times New Roman" w:eastAsia="宋体" w:cs="Times New Roman"/>
                      <w:color w:val="auto"/>
                      <w:sz w:val="18"/>
                      <w:szCs w:val="18"/>
                    </w:rPr>
                    <w:t>不属于</w:t>
                  </w:r>
                  <w:r>
                    <w:rPr>
                      <w:rFonts w:hint="default" w:ascii="Times New Roman" w:hAnsi="Times New Roman" w:eastAsia="宋体" w:cs="Times New Roman"/>
                      <w:color w:val="auto"/>
                      <w:sz w:val="18"/>
                      <w:szCs w:val="18"/>
                      <w:lang w:val="en-US" w:eastAsia="zh-CN"/>
                    </w:rPr>
                    <w:t>上述</w:t>
                  </w:r>
                  <w:r>
                    <w:rPr>
                      <w:rFonts w:hint="default" w:ascii="Times New Roman" w:hAnsi="Times New Roman" w:eastAsia="宋体" w:cs="Times New Roman"/>
                      <w:color w:val="auto"/>
                      <w:sz w:val="18"/>
                      <w:szCs w:val="18"/>
                    </w:rPr>
                    <w:t>项目。</w:t>
                  </w:r>
                </w:p>
              </w:tc>
              <w:tc>
                <w:tcPr>
                  <w:tcW w:w="601" w:type="pct"/>
                  <w:tcBorders>
                    <w:tl2br w:val="nil"/>
                    <w:tr2bl w:val="nil"/>
                  </w:tcBorders>
                  <w:noWrap w:val="0"/>
                  <w:vAlign w:val="center"/>
                </w:tcPr>
                <w:p w14:paraId="6849DF8B">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6A6DD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tcBorders>
                    <w:tl2br w:val="nil"/>
                    <w:tr2bl w:val="nil"/>
                  </w:tcBorders>
                  <w:noWrap w:val="0"/>
                  <w:vAlign w:val="center"/>
                </w:tcPr>
                <w:p w14:paraId="7F0321F8">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p>
              </w:tc>
              <w:tc>
                <w:tcPr>
                  <w:tcW w:w="2241" w:type="pct"/>
                  <w:tcBorders>
                    <w:tl2br w:val="nil"/>
                    <w:tr2bl w:val="nil"/>
                  </w:tcBorders>
                  <w:noWrap w:val="0"/>
                  <w:vAlign w:val="center"/>
                </w:tcPr>
                <w:p w14:paraId="19EA9BF4">
                  <w:pPr>
                    <w:pStyle w:val="112"/>
                    <w:spacing w:line="240" w:lineRule="auto"/>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第三十四条长江流域省级人民政府组织划定饮用水水源保护区，加强饮用水水源保护，保障饮用水安全。</w:t>
                  </w:r>
                </w:p>
              </w:tc>
              <w:tc>
                <w:tcPr>
                  <w:tcW w:w="1711" w:type="pct"/>
                  <w:tcBorders>
                    <w:tl2br w:val="nil"/>
                    <w:tr2bl w:val="nil"/>
                  </w:tcBorders>
                  <w:noWrap w:val="0"/>
                  <w:vAlign w:val="center"/>
                </w:tcPr>
                <w:p w14:paraId="4BF88922">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项目范围内不涉及饮用水源保护区。</w:t>
                  </w:r>
                </w:p>
              </w:tc>
              <w:tc>
                <w:tcPr>
                  <w:tcW w:w="601" w:type="pct"/>
                  <w:tcBorders>
                    <w:tl2br w:val="nil"/>
                    <w:tr2bl w:val="nil"/>
                  </w:tcBorders>
                  <w:noWrap w:val="0"/>
                  <w:vAlign w:val="center"/>
                </w:tcPr>
                <w:p w14:paraId="6BC8F458">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1F09F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tcBorders>
                    <w:tl2br w:val="nil"/>
                    <w:tr2bl w:val="nil"/>
                  </w:tcBorders>
                  <w:noWrap w:val="0"/>
                  <w:vAlign w:val="center"/>
                </w:tcPr>
                <w:p w14:paraId="234B2E33">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4</w:t>
                  </w:r>
                </w:p>
              </w:tc>
              <w:tc>
                <w:tcPr>
                  <w:tcW w:w="2241" w:type="pct"/>
                  <w:tcBorders>
                    <w:tl2br w:val="nil"/>
                    <w:tr2bl w:val="nil"/>
                  </w:tcBorders>
                  <w:noWrap w:val="0"/>
                  <w:vAlign w:val="center"/>
                </w:tcPr>
                <w:p w14:paraId="0A25926A">
                  <w:pPr>
                    <w:pStyle w:val="112"/>
                    <w:spacing w:line="240" w:lineRule="auto"/>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第四十条长江流域县级以上地方人民政府应当加强对长江流域</w:t>
                  </w:r>
                </w:p>
                <w:p w14:paraId="1B35317E">
                  <w:pPr>
                    <w:pStyle w:val="112"/>
                    <w:spacing w:line="240" w:lineRule="auto"/>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草原资源的保护，对具有调节气候、涵养水源、保持水土、防风固沙等特殊作用的基本草原实施严格管理。</w:t>
                  </w:r>
                </w:p>
              </w:tc>
              <w:tc>
                <w:tcPr>
                  <w:tcW w:w="1711" w:type="pct"/>
                  <w:tcBorders>
                    <w:tl2br w:val="nil"/>
                    <w:tr2bl w:val="nil"/>
                  </w:tcBorders>
                  <w:noWrap w:val="0"/>
                  <w:vAlign w:val="center"/>
                </w:tcPr>
                <w:p w14:paraId="132BAE51">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项目范围内不涉及具有调节气候、涵养水源、保持水土、防风固沙等特殊作用的基本草原。</w:t>
                  </w:r>
                </w:p>
              </w:tc>
              <w:tc>
                <w:tcPr>
                  <w:tcW w:w="601" w:type="pct"/>
                  <w:tcBorders>
                    <w:tl2br w:val="nil"/>
                    <w:tr2bl w:val="nil"/>
                  </w:tcBorders>
                  <w:noWrap w:val="0"/>
                  <w:vAlign w:val="center"/>
                </w:tcPr>
                <w:p w14:paraId="0CFE5DBE">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6C672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tcBorders>
                    <w:tl2br w:val="nil"/>
                    <w:tr2bl w:val="nil"/>
                  </w:tcBorders>
                  <w:noWrap w:val="0"/>
                  <w:vAlign w:val="center"/>
                </w:tcPr>
                <w:p w14:paraId="5E408839">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5</w:t>
                  </w:r>
                </w:p>
              </w:tc>
              <w:tc>
                <w:tcPr>
                  <w:tcW w:w="2241" w:type="pct"/>
                  <w:tcBorders>
                    <w:tl2br w:val="nil"/>
                    <w:tr2bl w:val="nil"/>
                  </w:tcBorders>
                  <w:noWrap w:val="0"/>
                  <w:vAlign w:val="center"/>
                </w:tcPr>
                <w:p w14:paraId="48241620">
                  <w:pPr>
                    <w:pStyle w:val="112"/>
                    <w:spacing w:line="240" w:lineRule="auto"/>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第四十九条禁止在长江流域河湖管理范围内倾倒、填埋、堆放、弃置、处理固体废物。长江流域县级以上地方人民政府应当加强对固体废物非法转移和倾倒的联防联控。</w:t>
                  </w:r>
                </w:p>
              </w:tc>
              <w:tc>
                <w:tcPr>
                  <w:tcW w:w="1711" w:type="pct"/>
                  <w:tcBorders>
                    <w:tl2br w:val="nil"/>
                    <w:tr2bl w:val="nil"/>
                  </w:tcBorders>
                  <w:noWrap w:val="0"/>
                  <w:vAlign w:val="center"/>
                </w:tcPr>
                <w:p w14:paraId="28EF812F">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项目固体废物</w:t>
                  </w:r>
                  <w:r>
                    <w:rPr>
                      <w:rFonts w:hint="eastAsia" w:cs="Times New Roman"/>
                      <w:color w:val="auto"/>
                      <w:sz w:val="18"/>
                      <w:szCs w:val="18"/>
                      <w:lang w:val="en-US" w:eastAsia="zh-CN"/>
                    </w:rPr>
                    <w:t>将得到</w:t>
                  </w:r>
                  <w:r>
                    <w:rPr>
                      <w:rFonts w:hint="default" w:ascii="Times New Roman" w:hAnsi="Times New Roman" w:eastAsia="宋体" w:cs="Times New Roman"/>
                      <w:color w:val="auto"/>
                      <w:sz w:val="18"/>
                      <w:szCs w:val="18"/>
                    </w:rPr>
                    <w:t>妥善</w:t>
                  </w:r>
                  <w:r>
                    <w:rPr>
                      <w:rFonts w:hint="eastAsia" w:cs="Times New Roman"/>
                      <w:color w:val="auto"/>
                      <w:sz w:val="18"/>
                      <w:szCs w:val="18"/>
                      <w:lang w:val="en-US" w:eastAsia="zh-CN"/>
                    </w:rPr>
                    <w:t>规范</w:t>
                  </w:r>
                  <w:r>
                    <w:rPr>
                      <w:rFonts w:hint="default" w:ascii="Times New Roman" w:hAnsi="Times New Roman" w:eastAsia="宋体" w:cs="Times New Roman"/>
                      <w:color w:val="auto"/>
                      <w:sz w:val="18"/>
                      <w:szCs w:val="18"/>
                    </w:rPr>
                    <w:t>处置</w:t>
                  </w:r>
                  <w:r>
                    <w:rPr>
                      <w:rFonts w:hint="eastAsia" w:cs="Times New Roman"/>
                      <w:color w:val="auto"/>
                      <w:sz w:val="18"/>
                      <w:szCs w:val="18"/>
                      <w:lang w:eastAsia="zh-CN"/>
                    </w:rPr>
                    <w:t>。</w:t>
                  </w:r>
                </w:p>
              </w:tc>
              <w:tc>
                <w:tcPr>
                  <w:tcW w:w="601" w:type="pct"/>
                  <w:tcBorders>
                    <w:tl2br w:val="nil"/>
                    <w:tr2bl w:val="nil"/>
                  </w:tcBorders>
                  <w:noWrap w:val="0"/>
                  <w:vAlign w:val="center"/>
                </w:tcPr>
                <w:p w14:paraId="5A7BC44A">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449D4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tcBorders>
                    <w:tl2br w:val="nil"/>
                    <w:tr2bl w:val="nil"/>
                  </w:tcBorders>
                  <w:noWrap w:val="0"/>
                  <w:vAlign w:val="center"/>
                </w:tcPr>
                <w:p w14:paraId="2F1C05A4">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6</w:t>
                  </w:r>
                </w:p>
              </w:tc>
              <w:tc>
                <w:tcPr>
                  <w:tcW w:w="2241" w:type="pct"/>
                  <w:tcBorders>
                    <w:tl2br w:val="nil"/>
                    <w:tr2bl w:val="nil"/>
                  </w:tcBorders>
                  <w:noWrap w:val="0"/>
                  <w:vAlign w:val="center"/>
                </w:tcPr>
                <w:p w14:paraId="0A81131B">
                  <w:pPr>
                    <w:pStyle w:val="112"/>
                    <w:spacing w:line="240" w:lineRule="auto"/>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第六十一条禁止在长江流域水土流失严重、生态脆弱的区域开展可能造成水土流失的生产建设活动。确因国家发展战略和国计民生需要建设的，应当经科学论证，并依法办理审批手续。</w:t>
                  </w:r>
                </w:p>
                <w:p w14:paraId="48570C21">
                  <w:pPr>
                    <w:pStyle w:val="112"/>
                    <w:spacing w:line="240" w:lineRule="auto"/>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长江流域县级以上地方人民政府应当对石漠化的土地因地制宜采取综合治理措施，修复生态系统，防止土地石漠化蔓延。</w:t>
                  </w:r>
                </w:p>
              </w:tc>
              <w:tc>
                <w:tcPr>
                  <w:tcW w:w="1711" w:type="pct"/>
                  <w:tcBorders>
                    <w:tl2br w:val="nil"/>
                    <w:tr2bl w:val="nil"/>
                  </w:tcBorders>
                  <w:noWrap w:val="0"/>
                  <w:vAlign w:val="center"/>
                </w:tcPr>
                <w:p w14:paraId="0056B092">
                  <w:pPr>
                    <w:pStyle w:val="112"/>
                    <w:spacing w:line="240" w:lineRule="auto"/>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项目不属于水土流失严重、生态脆弱的区域。</w:t>
                  </w:r>
                </w:p>
              </w:tc>
              <w:tc>
                <w:tcPr>
                  <w:tcW w:w="601" w:type="pct"/>
                  <w:tcBorders>
                    <w:tl2br w:val="nil"/>
                    <w:tr2bl w:val="nil"/>
                  </w:tcBorders>
                  <w:noWrap w:val="0"/>
                  <w:vAlign w:val="center"/>
                </w:tcPr>
                <w:p w14:paraId="7CD3841E">
                  <w:pPr>
                    <w:pStyle w:val="112"/>
                    <w:spacing w:line="240" w:lineRule="auto"/>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bl>
          <w:p w14:paraId="401B5C1C">
            <w:pPr>
              <w:spacing w:line="360" w:lineRule="auto"/>
              <w:ind w:firstLine="48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color w:val="auto"/>
                <w:sz w:val="21"/>
                <w:szCs w:val="21"/>
              </w:rPr>
              <w:t>由表中所列对比结果可见，项目符合《中华人民共和国长江保护法》的相关要</w:t>
            </w:r>
            <w:r>
              <w:rPr>
                <w:rFonts w:hint="default" w:ascii="Times New Roman" w:hAnsi="Times New Roman" w:eastAsia="宋体" w:cs="Times New Roman"/>
                <w:b w:val="0"/>
                <w:bCs w:val="0"/>
                <w:color w:val="auto"/>
                <w:kern w:val="2"/>
                <w:sz w:val="21"/>
                <w:szCs w:val="21"/>
                <w:lang w:val="en-US" w:eastAsia="zh-CN" w:bidi="ar-SA"/>
              </w:rPr>
              <w:t>求。</w:t>
            </w:r>
          </w:p>
          <w:p w14:paraId="6B523915">
            <w:pPr>
              <w:spacing w:line="360" w:lineRule="auto"/>
              <w:rPr>
                <w:rFonts w:hint="default" w:ascii="Times New Roman" w:hAnsi="Times New Roman" w:eastAsia="宋体"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六</w:t>
            </w:r>
            <w:r>
              <w:rPr>
                <w:rFonts w:hint="default" w:ascii="Times New Roman" w:hAnsi="Times New Roman" w:eastAsia="宋体" w:cs="Times New Roman"/>
                <w:b/>
                <w:bCs/>
                <w:color w:val="auto"/>
                <w:kern w:val="2"/>
                <w:sz w:val="21"/>
                <w:szCs w:val="21"/>
                <w:lang w:val="en-US" w:eastAsia="zh-CN" w:bidi="ar-SA"/>
              </w:rPr>
              <w:t>、与《重庆市环境保护条例》的符合性</w:t>
            </w:r>
          </w:p>
          <w:p w14:paraId="6BFE50F4">
            <w:pPr>
              <w:pStyle w:val="63"/>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重庆市环境保护条例》（2022年修订）第三十七条规定：除在安全或者产业布局等方面有特殊要求的项目外，新建有污染物排放的工业项目，应当进入工业园区或者工业集聚区，不得在工业园区或者工业集聚区以外区域实施单纯增加产能的技改或者扩建项目。</w:t>
            </w:r>
          </w:p>
          <w:p w14:paraId="073572AB">
            <w:pPr>
              <w:pStyle w:val="63"/>
              <w:keepNext w:val="0"/>
              <w:keepLines w:val="0"/>
              <w:pageBreakBefore w:val="0"/>
              <w:widowControl w:val="0"/>
              <w:kinsoku/>
              <w:wordWrap/>
              <w:overflowPunct/>
              <w:topLinePunct w:val="0"/>
              <w:bidi w:val="0"/>
              <w:adjustRightInd w:val="0"/>
              <w:snapToGrid w:val="0"/>
              <w:spacing w:line="360" w:lineRule="auto"/>
              <w:ind w:left="0" w:leftChars="0"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符合性分析：本项目为新建项目，位于</w:t>
            </w:r>
            <w:r>
              <w:rPr>
                <w:rFonts w:hint="default" w:ascii="Times New Roman" w:hAnsi="Times New Roman" w:cs="Times New Roman"/>
                <w:color w:val="auto"/>
                <w:sz w:val="21"/>
                <w:szCs w:val="21"/>
                <w:lang w:val="en-US" w:eastAsia="zh-CN"/>
              </w:rPr>
              <w:t>合川区</w:t>
            </w:r>
            <w:r>
              <w:rPr>
                <w:rFonts w:hint="eastAsia" w:ascii="Times New Roman" w:hAnsi="Times New Roman" w:cs="Times New Roman"/>
                <w:color w:val="auto"/>
                <w:sz w:val="21"/>
                <w:szCs w:val="21"/>
                <w:lang w:val="en-US" w:eastAsia="zh-CN"/>
              </w:rPr>
              <w:t>南溪组团A区</w:t>
            </w:r>
            <w:r>
              <w:rPr>
                <w:rFonts w:hint="default" w:ascii="Times New Roman" w:hAnsi="Times New Roman" w:eastAsia="宋体" w:cs="Times New Roman"/>
                <w:color w:val="auto"/>
                <w:sz w:val="21"/>
                <w:szCs w:val="21"/>
                <w:lang w:val="en-US" w:eastAsia="zh-CN"/>
              </w:rPr>
              <w:t>，</w:t>
            </w:r>
            <w:r>
              <w:rPr>
                <w:rFonts w:hint="eastAsia" w:ascii="Times New Roman" w:hAnsi="Times New Roman" w:cs="Times New Roman"/>
                <w:b w:val="0"/>
                <w:bCs/>
                <w:color w:val="auto"/>
                <w:kern w:val="0"/>
                <w:sz w:val="21"/>
                <w:szCs w:val="21"/>
                <w:lang w:val="en-US" w:eastAsia="zh-CN"/>
              </w:rPr>
              <w:t>主要生产塑料零部件</w:t>
            </w:r>
            <w:r>
              <w:rPr>
                <w:rFonts w:hint="default" w:ascii="Times New Roman" w:hAnsi="Times New Roman" w:cs="Times New Roman"/>
                <w:b w:val="0"/>
                <w:bCs/>
                <w:color w:val="auto"/>
                <w:kern w:val="0"/>
                <w:sz w:val="21"/>
                <w:szCs w:val="21"/>
                <w:lang w:val="en-US" w:eastAsia="zh-CN"/>
              </w:rPr>
              <w:t>，</w:t>
            </w:r>
            <w:r>
              <w:rPr>
                <w:rFonts w:hint="default" w:ascii="Times New Roman" w:hAnsi="Times New Roman" w:eastAsia="宋体" w:cs="Times New Roman"/>
                <w:color w:val="auto"/>
                <w:sz w:val="21"/>
                <w:szCs w:val="21"/>
                <w:lang w:val="en-US" w:eastAsia="zh-CN"/>
              </w:rPr>
              <w:t>选址符合《重庆市环境保护条例》（2022年修订）要求。</w:t>
            </w:r>
          </w:p>
          <w:p w14:paraId="2FE6CBCA">
            <w:pPr>
              <w:adjustRightInd w:val="0"/>
              <w:snapToGrid w:val="0"/>
              <w:spacing w:line="360" w:lineRule="auto"/>
              <w:ind w:firstLine="0" w:firstLineChars="0"/>
              <w:rPr>
                <w:rFonts w:hint="default" w:ascii="Times New Roman" w:hAnsi="Times New Roman" w:eastAsia="宋体" w:cs="Times New Roman"/>
                <w:b/>
                <w:bCs/>
                <w:color w:val="auto"/>
                <w:sz w:val="21"/>
                <w:szCs w:val="21"/>
              </w:rPr>
            </w:pPr>
            <w:r>
              <w:rPr>
                <w:rFonts w:hint="eastAsia" w:cs="Times New Roman"/>
                <w:b/>
                <w:bCs/>
                <w:color w:val="auto"/>
                <w:sz w:val="21"/>
                <w:szCs w:val="21"/>
                <w:lang w:val="en-US" w:eastAsia="zh-CN"/>
              </w:rPr>
              <w:t>七</w:t>
            </w: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与《挥发性有机物（VOCs）污染防治技术政策》《重点行业挥发性有机物综合治理方案》（环大气</w:t>
            </w:r>
            <w:r>
              <w:rPr>
                <w:rFonts w:hint="eastAsia" w:ascii="Times New Roman" w:hAnsi="Times New Roman" w:cs="Times New Roman"/>
                <w:b/>
                <w:bCs/>
                <w:color w:val="auto"/>
                <w:sz w:val="21"/>
                <w:szCs w:val="21"/>
                <w:lang w:eastAsia="zh-CN"/>
              </w:rPr>
              <w:t>〔2019〕53号</w:t>
            </w:r>
            <w:r>
              <w:rPr>
                <w:rFonts w:hint="default" w:ascii="Times New Roman" w:hAnsi="Times New Roman" w:eastAsia="宋体" w:cs="Times New Roman"/>
                <w:b/>
                <w:bCs/>
                <w:color w:val="auto"/>
                <w:sz w:val="21"/>
                <w:szCs w:val="21"/>
              </w:rPr>
              <w:t>）符合性分析</w:t>
            </w:r>
          </w:p>
          <w:p w14:paraId="79DB681E">
            <w:pPr>
              <w:adjustRightInd w:val="0"/>
              <w:snapToGrid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w:t>
            </w:r>
            <w:r>
              <w:rPr>
                <w:rFonts w:hint="eastAsia" w:cs="Times New Roman"/>
                <w:color w:val="auto"/>
                <w:sz w:val="21"/>
                <w:szCs w:val="21"/>
                <w:lang w:eastAsia="zh-CN"/>
              </w:rPr>
              <w:t>行业类别为C2929塑料零件及其他塑料制品制造</w:t>
            </w:r>
            <w:r>
              <w:rPr>
                <w:rFonts w:hint="default" w:ascii="Times New Roman" w:hAnsi="Times New Roman" w:eastAsia="宋体" w:cs="Times New Roman"/>
                <w:color w:val="auto"/>
                <w:sz w:val="21"/>
                <w:szCs w:val="21"/>
              </w:rPr>
              <w:t>，根据《挥发性有机物（VOCs）污染防治技术政策》《重点行业挥发性有机物综合治理方案》（环大气</w:t>
            </w:r>
            <w:r>
              <w:rPr>
                <w:rFonts w:hint="eastAsia" w:ascii="Times New Roman" w:hAnsi="Times New Roman" w:cs="Times New Roman"/>
                <w:color w:val="auto"/>
                <w:sz w:val="21"/>
                <w:szCs w:val="21"/>
                <w:lang w:eastAsia="zh-CN"/>
              </w:rPr>
              <w:t>〔2019〕53号</w:t>
            </w:r>
            <w:r>
              <w:rPr>
                <w:rFonts w:hint="default" w:ascii="Times New Roman" w:hAnsi="Times New Roman" w:eastAsia="宋体" w:cs="Times New Roman"/>
                <w:color w:val="auto"/>
                <w:sz w:val="21"/>
                <w:szCs w:val="21"/>
              </w:rPr>
              <w:t>），所涉及挥发性有机物污染防治要求及其符合性分析详见下表。</w:t>
            </w:r>
          </w:p>
          <w:p w14:paraId="4DC96CA1">
            <w:pPr>
              <w:adjustRightInd w:val="0"/>
              <w:snapToGrid w:val="0"/>
              <w:spacing w:line="360" w:lineRule="auto"/>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表1-</w:t>
            </w:r>
            <w:r>
              <w:rPr>
                <w:rFonts w:hint="default" w:ascii="Times New Roman" w:hAnsi="Times New Roman" w:cs="Times New Roman"/>
                <w:b/>
                <w:color w:val="auto"/>
                <w:sz w:val="21"/>
                <w:szCs w:val="21"/>
                <w:lang w:val="en-US" w:eastAsia="zh-CN"/>
              </w:rPr>
              <w:t>9</w:t>
            </w:r>
            <w:r>
              <w:rPr>
                <w:rFonts w:hint="default" w:ascii="Times New Roman" w:hAnsi="Times New Roman" w:eastAsia="宋体" w:cs="Times New Roman"/>
                <w:b/>
                <w:color w:val="auto"/>
                <w:sz w:val="21"/>
                <w:szCs w:val="21"/>
              </w:rPr>
              <w:t xml:space="preserve">  本项目涉及挥发性有机物污染防治要求及其符合性分析一览表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51"/>
              <w:gridCol w:w="1575"/>
            </w:tblGrid>
            <w:tr w14:paraId="2AB4D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0" w:type="pct"/>
                  <w:tcBorders>
                    <w:tl2br w:val="nil"/>
                    <w:tr2bl w:val="nil"/>
                  </w:tcBorders>
                  <w:noWrap w:val="0"/>
                  <w:vAlign w:val="center"/>
                </w:tcPr>
                <w:p w14:paraId="28F98130">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b/>
                      <w:bCs/>
                      <w:color w:val="auto"/>
                      <w:kern w:val="2"/>
                      <w:sz w:val="18"/>
                      <w:szCs w:val="18"/>
                      <w:lang w:val="en-US" w:eastAsia="zh-CN" w:bidi="ar-SA"/>
                    </w:rPr>
                    <w:t>挥发性有机物（VOCs）污染防治技术政策</w:t>
                  </w:r>
                </w:p>
              </w:tc>
              <w:tc>
                <w:tcPr>
                  <w:tcW w:w="969" w:type="pct"/>
                  <w:tcBorders>
                    <w:tl2br w:val="nil"/>
                    <w:tr2bl w:val="nil"/>
                  </w:tcBorders>
                  <w:noWrap w:val="0"/>
                  <w:vAlign w:val="center"/>
                </w:tcPr>
                <w:p w14:paraId="50979A02">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b/>
                      <w:bCs/>
                      <w:color w:val="auto"/>
                      <w:kern w:val="2"/>
                      <w:sz w:val="18"/>
                      <w:szCs w:val="18"/>
                      <w:lang w:val="en-US" w:eastAsia="zh-CN" w:bidi="ar-SA"/>
                    </w:rPr>
                    <w:t>符合性分析</w:t>
                  </w:r>
                </w:p>
              </w:tc>
            </w:tr>
            <w:tr w14:paraId="09F0C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0" w:type="pct"/>
                  <w:tcBorders>
                    <w:tl2br w:val="nil"/>
                    <w:tr2bl w:val="nil"/>
                  </w:tcBorders>
                  <w:noWrap w:val="0"/>
                  <w:vAlign w:val="center"/>
                </w:tcPr>
                <w:p w14:paraId="324255C2">
                  <w:pPr>
                    <w:adjustRightInd w:val="0"/>
                    <w:snapToGrid w:val="0"/>
                    <w:spacing w:line="240" w:lineRule="auto"/>
                    <w:ind w:firstLine="0" w:firstLineChars="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二、源头和过程控制</w:t>
                  </w:r>
                </w:p>
                <w:p w14:paraId="74C93A55">
                  <w:pPr>
                    <w:widowControl w:val="0"/>
                    <w:adjustRightInd w:val="0"/>
                    <w:snapToGrid w:val="0"/>
                    <w:spacing w:line="240" w:lineRule="auto"/>
                    <w:ind w:firstLine="360" w:firstLineChars="20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2.对生产装置排放的含VOCs工艺排气宜优先回收利用，不能（或不能完全）回收利用的经处理后达标排放；</w:t>
                  </w:r>
                </w:p>
                <w:p w14:paraId="1A7DAF1E">
                  <w:pPr>
                    <w:widowControl w:val="0"/>
                    <w:adjustRightInd w:val="0"/>
                    <w:snapToGrid w:val="0"/>
                    <w:spacing w:line="240" w:lineRule="auto"/>
                    <w:ind w:firstLine="360" w:firstLineChars="20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w:t>
                  </w:r>
                </w:p>
                <w:p w14:paraId="6E25E16E">
                  <w:pPr>
                    <w:widowControl w:val="0"/>
                    <w:adjustRightInd w:val="0"/>
                    <w:snapToGrid w:val="0"/>
                    <w:spacing w:line="240" w:lineRule="auto"/>
                    <w:ind w:firstLine="360" w:firstLineChars="20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6.含VOCs产品的使用过程中，应采取废气收集措施，提高废气收集效率，减少废气的无组织排放与逸散，并对收集后的废气进行回收或处理后达标排放</w:t>
                  </w:r>
                </w:p>
              </w:tc>
              <w:tc>
                <w:tcPr>
                  <w:tcW w:w="969" w:type="pct"/>
                  <w:vMerge w:val="restart"/>
                  <w:tcBorders>
                    <w:tl2br w:val="nil"/>
                    <w:tr2bl w:val="nil"/>
                  </w:tcBorders>
                  <w:noWrap w:val="0"/>
                  <w:vAlign w:val="center"/>
                </w:tcPr>
                <w:p w14:paraId="06C0BB81">
                  <w:pPr>
                    <w:widowControl w:val="0"/>
                    <w:spacing w:line="240" w:lineRule="auto"/>
                    <w:ind w:left="0" w:leftChars="0" w:firstLine="0" w:firstLineChars="0"/>
                    <w:jc w:val="both"/>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本项目属于</w:t>
                  </w:r>
                  <w:r>
                    <w:rPr>
                      <w:rFonts w:hint="default" w:ascii="Times New Roman" w:hAnsi="Times New Roman" w:cs="Times New Roman"/>
                      <w:color w:val="auto"/>
                      <w:kern w:val="0"/>
                      <w:sz w:val="18"/>
                      <w:szCs w:val="18"/>
                      <w:lang w:val="en-US" w:eastAsia="zh-CN" w:bidi="ar-SA"/>
                    </w:rPr>
                    <w:t>合川区</w:t>
                  </w:r>
                  <w:r>
                    <w:rPr>
                      <w:rFonts w:hint="eastAsia" w:ascii="Times New Roman" w:hAnsi="Times New Roman" w:cs="Times New Roman"/>
                      <w:color w:val="auto"/>
                      <w:kern w:val="0"/>
                      <w:sz w:val="18"/>
                      <w:szCs w:val="18"/>
                      <w:lang w:val="en-US" w:eastAsia="zh-CN" w:bidi="ar-SA"/>
                    </w:rPr>
                    <w:t>南溪组团A区</w:t>
                  </w:r>
                  <w:r>
                    <w:rPr>
                      <w:rFonts w:hint="default" w:ascii="Times New Roman" w:hAnsi="Times New Roman" w:eastAsia="宋体" w:cs="Times New Roman"/>
                      <w:color w:val="auto"/>
                      <w:kern w:val="0"/>
                      <w:sz w:val="18"/>
                      <w:szCs w:val="18"/>
                      <w:lang w:val="en-US" w:eastAsia="zh-CN" w:bidi="ar-SA"/>
                    </w:rPr>
                    <w:t>，项目符合所在园区入园规划。本项目行业类别为C2929塑料零件及其他塑料制品制造，</w:t>
                  </w:r>
                  <w:r>
                    <w:rPr>
                      <w:rFonts w:hint="eastAsia" w:ascii="Times New Roman" w:hAnsi="Times New Roman" w:cs="Times New Roman"/>
                      <w:color w:val="auto"/>
                      <w:kern w:val="0"/>
                      <w:sz w:val="18"/>
                      <w:szCs w:val="18"/>
                      <w:lang w:val="en-US" w:eastAsia="zh-CN" w:bidi="ar-SA"/>
                    </w:rPr>
                    <w:t>主要生产塑料零部件</w:t>
                  </w:r>
                  <w:r>
                    <w:rPr>
                      <w:rFonts w:hint="default" w:ascii="Times New Roman" w:hAnsi="Times New Roman" w:eastAsia="宋体" w:cs="Times New Roman"/>
                      <w:color w:val="auto"/>
                      <w:kern w:val="0"/>
                      <w:sz w:val="18"/>
                      <w:szCs w:val="18"/>
                      <w:lang w:val="en-US" w:eastAsia="zh-CN" w:bidi="ar-SA"/>
                    </w:rPr>
                    <w:t>，本项目营运期</w:t>
                  </w:r>
                  <w:r>
                    <w:rPr>
                      <w:rFonts w:hint="default" w:ascii="Times New Roman" w:hAnsi="Times New Roman" w:cs="Times New Roman"/>
                      <w:color w:val="auto"/>
                      <w:kern w:val="0"/>
                      <w:sz w:val="18"/>
                      <w:szCs w:val="18"/>
                    </w:rPr>
                    <w:t>注塑时加热挤出</w:t>
                  </w:r>
                  <w:r>
                    <w:rPr>
                      <w:rFonts w:hint="default" w:ascii="Times New Roman" w:hAnsi="Times New Roman" w:cs="Times New Roman"/>
                      <w:color w:val="auto"/>
                      <w:sz w:val="18"/>
                      <w:szCs w:val="18"/>
                    </w:rPr>
                    <w:t>产生的有机废气经</w:t>
                  </w:r>
                  <w:r>
                    <w:rPr>
                      <w:rFonts w:hint="default" w:ascii="Times New Roman" w:hAnsi="Times New Roman" w:cs="Times New Roman"/>
                      <w:color w:val="auto"/>
                      <w:sz w:val="18"/>
                      <w:szCs w:val="18"/>
                      <w:lang w:eastAsia="zh-CN"/>
                    </w:rPr>
                    <w:t>过滤棉+两级活性炭</w:t>
                  </w:r>
                  <w:r>
                    <w:rPr>
                      <w:rFonts w:hint="default" w:ascii="Times New Roman" w:hAnsi="Times New Roman" w:cs="Times New Roman"/>
                      <w:color w:val="auto"/>
                      <w:sz w:val="18"/>
                      <w:szCs w:val="18"/>
                    </w:rPr>
                    <w:t>吸附装置处理后达标排放</w:t>
                  </w:r>
                  <w:r>
                    <w:rPr>
                      <w:rFonts w:hint="default" w:ascii="Times New Roman" w:hAnsi="Times New Roman" w:cs="Times New Roman"/>
                      <w:color w:val="auto"/>
                      <w:sz w:val="18"/>
                      <w:szCs w:val="18"/>
                      <w:lang w:val="en-US" w:eastAsia="zh-CN"/>
                    </w:rPr>
                    <w:t>。</w:t>
                  </w:r>
                  <w:r>
                    <w:rPr>
                      <w:rFonts w:hint="default" w:ascii="Times New Roman" w:hAnsi="Times New Roman" w:eastAsia="宋体" w:cs="Times New Roman"/>
                      <w:color w:val="auto"/>
                      <w:sz w:val="18"/>
                      <w:szCs w:val="18"/>
                    </w:rPr>
                    <w:t>本项目</w:t>
                  </w:r>
                  <w:r>
                    <w:rPr>
                      <w:rFonts w:hint="default" w:ascii="Times New Roman" w:hAnsi="Times New Roman" w:eastAsia="宋体" w:cs="Times New Roman"/>
                      <w:color w:val="auto"/>
                      <w:sz w:val="18"/>
                      <w:szCs w:val="18"/>
                      <w:lang w:val="en-US" w:eastAsia="zh-CN"/>
                    </w:rPr>
                    <w:t>使用的</w:t>
                  </w:r>
                  <w:r>
                    <w:rPr>
                      <w:rFonts w:hint="default" w:ascii="Times New Roman" w:hAnsi="Times New Roman" w:cs="Times New Roman"/>
                      <w:color w:val="auto"/>
                      <w:sz w:val="18"/>
                      <w:szCs w:val="18"/>
                      <w:lang w:val="en-US" w:eastAsia="zh-CN"/>
                    </w:rPr>
                    <w:t>原材料</w:t>
                  </w:r>
                  <w:r>
                    <w:rPr>
                      <w:rFonts w:hint="default" w:ascii="Times New Roman" w:hAnsi="Times New Roman" w:eastAsia="宋体" w:cs="Times New Roman"/>
                      <w:color w:val="auto"/>
                      <w:sz w:val="18"/>
                      <w:szCs w:val="18"/>
                    </w:rPr>
                    <w:t>满足</w:t>
                  </w:r>
                  <w:r>
                    <w:rPr>
                      <w:rFonts w:hint="default" w:ascii="Times New Roman" w:hAnsi="Times New Roman" w:eastAsia="宋体" w:cs="Times New Roman"/>
                      <w:color w:val="auto"/>
                      <w:sz w:val="18"/>
                      <w:szCs w:val="18"/>
                      <w:lang w:val="en-US" w:eastAsia="zh-CN"/>
                    </w:rPr>
                    <w:t>国家</w:t>
                  </w:r>
                  <w:r>
                    <w:rPr>
                      <w:rFonts w:hint="default" w:ascii="Times New Roman" w:hAnsi="Times New Roman" w:eastAsia="宋体" w:cs="Times New Roman"/>
                      <w:color w:val="auto"/>
                      <w:sz w:val="18"/>
                      <w:szCs w:val="18"/>
                    </w:rPr>
                    <w:t>相关要求</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kern w:val="0"/>
                      <w:sz w:val="18"/>
                      <w:szCs w:val="18"/>
                      <w:lang w:val="en-US" w:eastAsia="zh-CN" w:bidi="ar-SA"/>
                    </w:rPr>
                    <w:t>且</w:t>
                  </w:r>
                  <w:r>
                    <w:rPr>
                      <w:rFonts w:hint="default" w:ascii="Times New Roman" w:hAnsi="Times New Roman" w:cs="Times New Roman"/>
                      <w:color w:val="auto"/>
                      <w:kern w:val="0"/>
                      <w:sz w:val="18"/>
                      <w:szCs w:val="18"/>
                      <w:lang w:val="en-US" w:eastAsia="zh-CN" w:bidi="ar-SA"/>
                    </w:rPr>
                    <w:t>废气处理设施的</w:t>
                  </w:r>
                  <w:r>
                    <w:rPr>
                      <w:rFonts w:hint="default" w:ascii="Times New Roman" w:hAnsi="Times New Roman" w:eastAsia="宋体" w:cs="Times New Roman"/>
                      <w:color w:val="auto"/>
                      <w:kern w:val="0"/>
                      <w:sz w:val="18"/>
                      <w:szCs w:val="18"/>
                      <w:lang w:val="en-US" w:eastAsia="zh-CN" w:bidi="ar-SA"/>
                    </w:rPr>
                    <w:t>活性炭定期更换按危废处理，项目营运期配备环保管理人员，建立健全VOCs治理设施的运行维护规程和日常管理制度，并对废气治理设施进行维护管理。</w:t>
                  </w:r>
                </w:p>
              </w:tc>
            </w:tr>
            <w:tr w14:paraId="746C2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0" w:type="pct"/>
                  <w:tcBorders>
                    <w:tl2br w:val="nil"/>
                    <w:tr2bl w:val="nil"/>
                  </w:tcBorders>
                  <w:noWrap w:val="0"/>
                  <w:vAlign w:val="center"/>
                </w:tcPr>
                <w:p w14:paraId="03FD4619">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三、末端治理与综合利用</w:t>
                  </w:r>
                </w:p>
                <w:p w14:paraId="7FB58CD5">
                  <w:pPr>
                    <w:adjustRightInd w:val="0"/>
                    <w:snapToGrid w:val="0"/>
                    <w:spacing w:line="240" w:lineRule="auto"/>
                    <w:ind w:firstLine="360" w:firstLineChars="20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（十三）对于含高浓度VOCs的废气，宜优先采用冷凝回收、吸附回收技术进行回收利用，并辅助以其他治理技术实现达标排放</w:t>
                  </w:r>
                </w:p>
                <w:p w14:paraId="4145578C">
                  <w:pPr>
                    <w:adjustRightInd w:val="0"/>
                    <w:snapToGrid w:val="0"/>
                    <w:spacing w:line="240" w:lineRule="auto"/>
                    <w:ind w:firstLine="360" w:firstLineChars="20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（十四）对于含中等浓度VOCs的废气，可采用吸附技术回收挥发</w:t>
                  </w:r>
                  <w:r>
                    <w:rPr>
                      <w:rFonts w:hint="eastAsia" w:ascii="Times New Roman" w:hAnsi="Times New Roman" w:cs="Times New Roman"/>
                      <w:color w:val="auto"/>
                      <w:sz w:val="18"/>
                      <w:szCs w:val="18"/>
                      <w:lang w:eastAsia="zh-CN"/>
                    </w:rPr>
                    <w:t>分</w:t>
                  </w:r>
                  <w:r>
                    <w:rPr>
                      <w:rFonts w:hint="default" w:ascii="Times New Roman" w:hAnsi="Times New Roman" w:eastAsia="宋体" w:cs="Times New Roman"/>
                      <w:color w:val="auto"/>
                      <w:sz w:val="18"/>
                      <w:szCs w:val="18"/>
                    </w:rPr>
                    <w:t>，或采用催化燃烧和热力焚烧技术净化后达标排放。当采用催化燃烧和热力焚烧技术进行净化时，应进行余热回收利用</w:t>
                  </w:r>
                </w:p>
                <w:p w14:paraId="038A3C77">
                  <w:pPr>
                    <w:widowControl w:val="0"/>
                    <w:adjustRightInd w:val="0"/>
                    <w:snapToGrid w:val="0"/>
                    <w:spacing w:line="240" w:lineRule="auto"/>
                    <w:ind w:firstLine="360" w:firstLineChars="20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十五）对于含低浓度VOCs的废气，有回收价值时可采用吸附技术、吸收技术对挥发份回收后达标排放；不宜回收时，可采用吸附浓缩燃烧技术、生物技术、吸收技术、等离子体技术或紫外光高级氧化技术等净化后达标排放</w:t>
                  </w:r>
                </w:p>
                <w:p w14:paraId="6128E2A1">
                  <w:pPr>
                    <w:adjustRightInd w:val="0"/>
                    <w:snapToGrid w:val="0"/>
                    <w:spacing w:line="240" w:lineRule="auto"/>
                    <w:ind w:firstLine="360" w:firstLineChars="20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（十九）严格控制VOCs处理过程中产生的二次污染，对于催化燃烧和热力焚烧过程中产生的含硫、氮、氯等无机废气，以及吸附、吸收、冷凝、生物等治理过程中所产生的含有机物废水，应处理后达标排放</w:t>
                  </w:r>
                </w:p>
                <w:p w14:paraId="3C1BDD14">
                  <w:pPr>
                    <w:widowControl w:val="0"/>
                    <w:adjustRightInd w:val="0"/>
                    <w:snapToGrid w:val="0"/>
                    <w:spacing w:line="240" w:lineRule="auto"/>
                    <w:ind w:firstLine="360" w:firstLineChars="20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（二十）对于不能再生的过滤材料、吸附剂及催化剂等净化材料，应按照国家固体废物管理的相关规定处理处置</w:t>
                  </w:r>
                </w:p>
              </w:tc>
              <w:tc>
                <w:tcPr>
                  <w:tcW w:w="969" w:type="pct"/>
                  <w:vMerge w:val="continue"/>
                  <w:tcBorders>
                    <w:tl2br w:val="nil"/>
                    <w:tr2bl w:val="nil"/>
                  </w:tcBorders>
                  <w:noWrap w:val="0"/>
                  <w:vAlign w:val="center"/>
                </w:tcPr>
                <w:p w14:paraId="4AADDC07">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p>
              </w:tc>
            </w:tr>
            <w:tr w14:paraId="1F949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0" w:type="pct"/>
                  <w:tcBorders>
                    <w:tl2br w:val="nil"/>
                    <w:tr2bl w:val="nil"/>
                  </w:tcBorders>
                  <w:noWrap w:val="0"/>
                  <w:vAlign w:val="center"/>
                </w:tcPr>
                <w:p w14:paraId="30AE6B08">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五、环境管理</w:t>
                  </w:r>
                </w:p>
                <w:p w14:paraId="55439B29">
                  <w:pPr>
                    <w:widowControl w:val="0"/>
                    <w:adjustRightInd w:val="0"/>
                    <w:snapToGrid w:val="0"/>
                    <w:spacing w:line="240" w:lineRule="auto"/>
                    <w:ind w:firstLine="360" w:firstLineChars="20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企业应建立健全VOCs治理设施的运行维护规程和台账等日常管理制度，并根据工艺要求定期对各类设备、电气、自控仪表等进行检修维护，确保设施的稳定运行。</w:t>
                  </w:r>
                </w:p>
              </w:tc>
              <w:tc>
                <w:tcPr>
                  <w:tcW w:w="969" w:type="pct"/>
                  <w:vMerge w:val="continue"/>
                  <w:tcBorders>
                    <w:tl2br w:val="nil"/>
                    <w:tr2bl w:val="nil"/>
                  </w:tcBorders>
                  <w:noWrap w:val="0"/>
                  <w:vAlign w:val="center"/>
                </w:tcPr>
                <w:p w14:paraId="5636F501">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p>
              </w:tc>
            </w:tr>
            <w:tr w14:paraId="30D49A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0" w:type="pct"/>
                  <w:tcBorders>
                    <w:tl2br w:val="nil"/>
                    <w:tr2bl w:val="nil"/>
                  </w:tcBorders>
                  <w:noWrap w:val="0"/>
                  <w:vAlign w:val="center"/>
                </w:tcPr>
                <w:p w14:paraId="6947F323">
                  <w:pPr>
                    <w:widowControl w:val="0"/>
                    <w:adjustRightInd w:val="0"/>
                    <w:snapToGrid w:val="0"/>
                    <w:spacing w:line="240" w:lineRule="auto"/>
                    <w:ind w:firstLine="361" w:firstLineChars="20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b/>
                      <w:bCs/>
                      <w:color w:val="auto"/>
                      <w:kern w:val="2"/>
                      <w:sz w:val="18"/>
                      <w:szCs w:val="18"/>
                      <w:lang w:val="en-US" w:eastAsia="zh-CN" w:bidi="ar-SA"/>
                    </w:rPr>
                    <w:t>重点行业挥发性有机物综合治理方案</w:t>
                  </w:r>
                </w:p>
              </w:tc>
              <w:tc>
                <w:tcPr>
                  <w:tcW w:w="969" w:type="pct"/>
                  <w:vMerge w:val="continue"/>
                  <w:tcBorders>
                    <w:tl2br w:val="nil"/>
                    <w:tr2bl w:val="nil"/>
                  </w:tcBorders>
                  <w:noWrap w:val="0"/>
                  <w:vAlign w:val="center"/>
                </w:tcPr>
                <w:p w14:paraId="4CAB992A">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p>
              </w:tc>
            </w:tr>
            <w:tr w14:paraId="5429E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30" w:type="pct"/>
                  <w:tcBorders>
                    <w:tl2br w:val="nil"/>
                    <w:tr2bl w:val="nil"/>
                  </w:tcBorders>
                  <w:noWrap w:val="0"/>
                  <w:vAlign w:val="center"/>
                </w:tcPr>
                <w:p w14:paraId="1FBDBB1A">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二）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p w14:paraId="6944427C">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三）推进建设适宜高效的治污设施。企业新建治污设施或对现有治污设施实施改造，应依据排放废气的浓度、组分、风量，温度、湿度、压力，以及生产工况等，合理选择治理技术。鼓励企业采用多种技术的组合工艺，提高VOCs治理效率。低浓度、大风量废气，宜采用沸石转轮吸附、活性炭吸附、减风增浓等浓缩技术，提高VOCs浓度后净化处理；</w:t>
                  </w:r>
                </w:p>
                <w:p w14:paraId="5A64C069">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（四）工业涂装VOCs综合治理。加大汽车、家具、集装箱、电子产品、工程机械等行业VOCs治理力度，重点区域应结合本地产业特征，加快实施其他行业涂装VOCs综合治理。</w:t>
                  </w:r>
                </w:p>
                <w:p w14:paraId="5DB81754">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强化源头控制，加快使用粉末、水性、高固体分、辐射固化等低VOCs含量的涂料替代溶剂型涂料。加快推广紧凑式涂装工艺、先进涂装技术和设备。</w:t>
                  </w:r>
                </w:p>
                <w:p w14:paraId="1F68F0AE">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有效控制无组织排放。涂料、稀释剂、清洗剂等原辅材料应密闭存储，调配、使用、回收等过程应采用密闭设备或在密闭空间内操作，采用密闭管道或密闭容器等输送。除大型工件外，禁止敞开式喷涂、晾（风）干作业。除工艺限制外，原则上实行集中调配。调配、喷涂和干燥等VOCs排放工序应配备有效的废气收集系统。</w:t>
                  </w:r>
                </w:p>
                <w:p w14:paraId="367B38B8">
                  <w:pPr>
                    <w:widowControl w:val="0"/>
                    <w:adjustRightInd w:val="0"/>
                    <w:snapToGrid w:val="0"/>
                    <w:spacing w:line="240" w:lineRule="auto"/>
                    <w:ind w:firstLine="0" w:firstLineChars="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推进建设适宜高效的治污设施。喷涂废气应设置高效漆雾处理装置。喷涂、晾（风）干废气宜采用吸附浓缩+燃烧处理方式，小风量的可采用一次性活性炭吸附等工艺。调配、流平等废气可与喷涂、晾（风）干废气一并处理。使用溶剂型涂料的生产线，烘干废气宜采用燃烧方式单独处理，具备条件的可采用回收式热力燃烧装置。</w:t>
                  </w:r>
                </w:p>
              </w:tc>
              <w:tc>
                <w:tcPr>
                  <w:tcW w:w="969" w:type="pct"/>
                  <w:vMerge w:val="continue"/>
                  <w:tcBorders>
                    <w:tl2br w:val="nil"/>
                    <w:tr2bl w:val="nil"/>
                  </w:tcBorders>
                  <w:noWrap w:val="0"/>
                  <w:vAlign w:val="center"/>
                </w:tcPr>
                <w:p w14:paraId="0407421B">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p>
              </w:tc>
            </w:tr>
          </w:tbl>
          <w:p w14:paraId="7BB8337E">
            <w:pPr>
              <w:autoSpaceDE w:val="0"/>
              <w:autoSpaceDN w:val="0"/>
              <w:adjustRightInd w:val="0"/>
              <w:spacing w:line="360" w:lineRule="auto"/>
              <w:ind w:firstLine="0" w:firstLineChars="0"/>
              <w:jc w:val="left"/>
              <w:rPr>
                <w:rFonts w:hint="default" w:ascii="Times New Roman" w:hAnsi="Times New Roman" w:eastAsia="宋体" w:cs="Times New Roman"/>
                <w:b/>
                <w:bCs/>
                <w:color w:val="auto"/>
                <w:sz w:val="21"/>
                <w:szCs w:val="21"/>
              </w:rPr>
            </w:pPr>
            <w:r>
              <w:rPr>
                <w:rFonts w:hint="eastAsia" w:cs="Times New Roman"/>
                <w:b/>
                <w:bCs/>
                <w:color w:val="auto"/>
                <w:sz w:val="21"/>
                <w:szCs w:val="21"/>
                <w:lang w:val="en-US" w:eastAsia="zh-CN"/>
              </w:rPr>
              <w:t>八</w:t>
            </w:r>
            <w:r>
              <w:rPr>
                <w:rFonts w:hint="default" w:ascii="Times New Roman" w:hAnsi="Times New Roman" w:eastAsia="宋体" w:cs="Times New Roman"/>
                <w:b/>
                <w:bCs/>
                <w:color w:val="auto"/>
                <w:sz w:val="21"/>
                <w:szCs w:val="21"/>
                <w:lang w:val="en-US" w:eastAsia="zh-CN"/>
              </w:rPr>
              <w:t>、</w:t>
            </w:r>
            <w:r>
              <w:rPr>
                <w:rFonts w:hint="default" w:ascii="Times New Roman" w:hAnsi="Times New Roman" w:eastAsia="宋体" w:cs="Times New Roman"/>
                <w:b/>
                <w:bCs/>
                <w:color w:val="auto"/>
                <w:sz w:val="21"/>
                <w:szCs w:val="21"/>
              </w:rPr>
              <w:t>与《挥发性有机物无组织排放控制标准》（</w:t>
            </w:r>
            <w:r>
              <w:rPr>
                <w:rFonts w:hint="eastAsia" w:cs="Times New Roman"/>
                <w:b/>
                <w:bCs/>
                <w:color w:val="auto"/>
                <w:sz w:val="21"/>
                <w:szCs w:val="21"/>
                <w:lang w:eastAsia="zh-CN"/>
              </w:rPr>
              <w:t>GB 37822</w:t>
            </w:r>
            <w:r>
              <w:rPr>
                <w:rFonts w:hint="default" w:ascii="Times New Roman" w:hAnsi="Times New Roman" w:eastAsia="宋体" w:cs="Times New Roman"/>
                <w:b/>
                <w:bCs/>
                <w:color w:val="auto"/>
                <w:sz w:val="21"/>
                <w:szCs w:val="21"/>
              </w:rPr>
              <w:t>-2019）符合性分析</w:t>
            </w:r>
          </w:p>
          <w:p w14:paraId="6C470C2B">
            <w:pPr>
              <w:widowControl w:val="0"/>
              <w:autoSpaceDE w:val="0"/>
              <w:autoSpaceDN w:val="0"/>
              <w:adjustRightInd w:val="0"/>
              <w:spacing w:line="360" w:lineRule="auto"/>
              <w:jc w:val="center"/>
              <w:textAlignment w:val="baseline"/>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表1-1</w:t>
            </w:r>
            <w:r>
              <w:rPr>
                <w:rFonts w:hint="default" w:ascii="Times New Roman" w:hAnsi="Times New Roman" w:cs="Times New Roman"/>
                <w:b/>
                <w:bCs/>
                <w:color w:val="auto"/>
                <w:kern w:val="2"/>
                <w:sz w:val="21"/>
                <w:szCs w:val="21"/>
                <w:lang w:val="en-US" w:eastAsia="zh-CN" w:bidi="ar-SA"/>
              </w:rPr>
              <w:t>0</w:t>
            </w:r>
            <w:r>
              <w:rPr>
                <w:rFonts w:hint="default" w:ascii="Times New Roman" w:hAnsi="Times New Roman" w:eastAsia="宋体" w:cs="Times New Roman"/>
                <w:b/>
                <w:bCs/>
                <w:color w:val="auto"/>
                <w:kern w:val="2"/>
                <w:sz w:val="21"/>
                <w:szCs w:val="21"/>
                <w:lang w:val="en-US" w:eastAsia="zh-CN" w:bidi="ar-SA"/>
              </w:rPr>
              <w:t xml:space="preserve">  与《挥发性有机物无组织排放控制标准》符合性分析</w:t>
            </w:r>
          </w:p>
          <w:tbl>
            <w:tblPr>
              <w:tblStyle w:val="30"/>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91"/>
              <w:gridCol w:w="2588"/>
              <w:gridCol w:w="743"/>
            </w:tblGrid>
            <w:tr w14:paraId="0EFA51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2949" w:type="pct"/>
                  <w:tcBorders>
                    <w:tl2br w:val="nil"/>
                    <w:tr2bl w:val="nil"/>
                  </w:tcBorders>
                  <w:noWrap w:val="0"/>
                  <w:vAlign w:val="center"/>
                </w:tcPr>
                <w:p w14:paraId="0082A3CE">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相关要求</w:t>
                  </w:r>
                </w:p>
              </w:tc>
              <w:tc>
                <w:tcPr>
                  <w:tcW w:w="1593" w:type="pct"/>
                  <w:tcBorders>
                    <w:tl2br w:val="nil"/>
                    <w:tr2bl w:val="nil"/>
                  </w:tcBorders>
                  <w:noWrap w:val="0"/>
                  <w:vAlign w:val="center"/>
                </w:tcPr>
                <w:p w14:paraId="354DB9FA">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项目情况</w:t>
                  </w:r>
                </w:p>
              </w:tc>
              <w:tc>
                <w:tcPr>
                  <w:tcW w:w="457" w:type="pct"/>
                  <w:tcBorders>
                    <w:tl2br w:val="nil"/>
                    <w:tr2bl w:val="nil"/>
                  </w:tcBorders>
                  <w:noWrap w:val="0"/>
                  <w:vAlign w:val="center"/>
                </w:tcPr>
                <w:p w14:paraId="1B1C43CD">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符合性</w:t>
                  </w:r>
                </w:p>
              </w:tc>
            </w:tr>
            <w:tr w14:paraId="0F94C4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49" w:type="pct"/>
                  <w:tcBorders>
                    <w:tl2br w:val="nil"/>
                    <w:tr2bl w:val="nil"/>
                  </w:tcBorders>
                  <w:noWrap w:val="0"/>
                  <w:vAlign w:val="center"/>
                </w:tcPr>
                <w:p w14:paraId="5C65060B">
                  <w:pPr>
                    <w:spacing w:line="240" w:lineRule="auto"/>
                    <w:ind w:firstLine="0" w:firstLineChars="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VOC</w:t>
                  </w:r>
                  <w:r>
                    <w:rPr>
                      <w:rFonts w:hint="default" w:ascii="Times New Roman" w:hAnsi="Times New Roman" w:eastAsia="宋体" w:cs="Times New Roman"/>
                      <w:color w:val="auto"/>
                      <w:sz w:val="18"/>
                      <w:szCs w:val="18"/>
                      <w:vertAlign w:val="subscript"/>
                    </w:rPr>
                    <w:t>S</w:t>
                  </w:r>
                  <w:r>
                    <w:rPr>
                      <w:rFonts w:hint="default" w:ascii="Times New Roman" w:hAnsi="Times New Roman" w:eastAsia="宋体" w:cs="Times New Roman"/>
                      <w:color w:val="auto"/>
                      <w:sz w:val="18"/>
                      <w:szCs w:val="18"/>
                    </w:rPr>
                    <w:t>物料应储存于密闭的容器、包装袋、储罐、储库、料仓中。</w:t>
                  </w:r>
                </w:p>
              </w:tc>
              <w:tc>
                <w:tcPr>
                  <w:tcW w:w="1593" w:type="pct"/>
                  <w:vMerge w:val="restart"/>
                  <w:tcBorders>
                    <w:tl2br w:val="nil"/>
                    <w:tr2bl w:val="nil"/>
                  </w:tcBorders>
                  <w:noWrap w:val="0"/>
                  <w:vAlign w:val="center"/>
                </w:tcPr>
                <w:p w14:paraId="54EE9316">
                  <w:pPr>
                    <w:spacing w:line="240" w:lineRule="auto"/>
                    <w:ind w:firstLine="0" w:firstLineChars="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w:t>
                  </w:r>
                  <w:r>
                    <w:rPr>
                      <w:rFonts w:hint="eastAsia" w:ascii="Times New Roman" w:hAnsi="Times New Roman" w:cs="Times New Roman"/>
                      <w:color w:val="auto"/>
                      <w:sz w:val="18"/>
                      <w:szCs w:val="18"/>
                      <w:lang w:eastAsia="zh-CN"/>
                    </w:rPr>
                    <w:t>原材料主要为</w:t>
                  </w:r>
                  <w:r>
                    <w:rPr>
                      <w:rFonts w:hint="eastAsia" w:ascii="Times New Roman" w:hAnsi="Times New Roman" w:cs="Times New Roman"/>
                      <w:color w:val="auto"/>
                      <w:sz w:val="18"/>
                      <w:szCs w:val="18"/>
                      <w:lang w:val="en-US" w:eastAsia="zh-CN"/>
                    </w:rPr>
                    <w:t>ABS塑料颗粒</w:t>
                  </w:r>
                  <w:r>
                    <w:rPr>
                      <w:rFonts w:hint="default" w:ascii="Times New Roman" w:hAnsi="Times New Roman" w:eastAsia="宋体" w:cs="Times New Roman"/>
                      <w:color w:val="auto"/>
                      <w:sz w:val="18"/>
                      <w:szCs w:val="18"/>
                    </w:rPr>
                    <w:t>，</w:t>
                  </w:r>
                  <w:r>
                    <w:rPr>
                      <w:rFonts w:hint="eastAsia" w:ascii="Times New Roman" w:hAnsi="Times New Roman" w:cs="Times New Roman"/>
                      <w:color w:val="auto"/>
                      <w:sz w:val="18"/>
                      <w:szCs w:val="18"/>
                      <w:lang w:eastAsia="zh-CN"/>
                    </w:rPr>
                    <w:t>在厂区内采用袋装储存，</w:t>
                  </w:r>
                  <w:r>
                    <w:rPr>
                      <w:rFonts w:hint="default" w:ascii="Times New Roman" w:hAnsi="Times New Roman" w:eastAsia="宋体" w:cs="Times New Roman"/>
                      <w:color w:val="auto"/>
                      <w:sz w:val="18"/>
                      <w:szCs w:val="18"/>
                    </w:rPr>
                    <w:t>储存过程中基本无VOC</w:t>
                  </w:r>
                  <w:r>
                    <w:rPr>
                      <w:rFonts w:hint="default" w:ascii="Times New Roman" w:hAnsi="Times New Roman" w:eastAsia="宋体" w:cs="Times New Roman"/>
                      <w:color w:val="auto"/>
                      <w:sz w:val="18"/>
                      <w:szCs w:val="18"/>
                      <w:vertAlign w:val="subscript"/>
                    </w:rPr>
                    <w:t>S</w:t>
                  </w:r>
                  <w:r>
                    <w:rPr>
                      <w:rFonts w:hint="default" w:ascii="Times New Roman" w:hAnsi="Times New Roman" w:eastAsia="宋体" w:cs="Times New Roman"/>
                      <w:color w:val="auto"/>
                      <w:sz w:val="18"/>
                      <w:szCs w:val="18"/>
                    </w:rPr>
                    <w:t>产生。</w:t>
                  </w:r>
                </w:p>
              </w:tc>
              <w:tc>
                <w:tcPr>
                  <w:tcW w:w="457" w:type="pct"/>
                  <w:tcBorders>
                    <w:tl2br w:val="nil"/>
                    <w:tr2bl w:val="nil"/>
                  </w:tcBorders>
                  <w:noWrap w:val="0"/>
                  <w:vAlign w:val="center"/>
                </w:tcPr>
                <w:p w14:paraId="7CE0849A">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200F4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49" w:type="pct"/>
                  <w:tcBorders>
                    <w:tl2br w:val="nil"/>
                    <w:tr2bl w:val="nil"/>
                  </w:tcBorders>
                  <w:noWrap w:val="0"/>
                  <w:vAlign w:val="center"/>
                </w:tcPr>
                <w:p w14:paraId="7F620FC5">
                  <w:pPr>
                    <w:spacing w:line="240" w:lineRule="auto"/>
                    <w:ind w:firstLine="0" w:firstLineChars="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盛装VOC</w:t>
                  </w:r>
                  <w:r>
                    <w:rPr>
                      <w:rFonts w:hint="default" w:ascii="Times New Roman" w:hAnsi="Times New Roman" w:eastAsia="宋体" w:cs="Times New Roman"/>
                      <w:color w:val="auto"/>
                      <w:sz w:val="18"/>
                      <w:szCs w:val="18"/>
                      <w:vertAlign w:val="subscript"/>
                    </w:rPr>
                    <w:t>S</w:t>
                  </w:r>
                  <w:r>
                    <w:rPr>
                      <w:rFonts w:hint="default" w:ascii="Times New Roman" w:hAnsi="Times New Roman" w:eastAsia="宋体" w:cs="Times New Roman"/>
                      <w:color w:val="auto"/>
                      <w:sz w:val="18"/>
                      <w:szCs w:val="18"/>
                    </w:rPr>
                    <w:t>物料的容器或包装袋应存放于室内，或存放于设置有雨棚、遮阳和防渗设施的专用场地。盛装VOC</w:t>
                  </w:r>
                  <w:r>
                    <w:rPr>
                      <w:rFonts w:hint="default" w:ascii="Times New Roman" w:hAnsi="Times New Roman" w:eastAsia="宋体" w:cs="Times New Roman"/>
                      <w:color w:val="auto"/>
                      <w:sz w:val="18"/>
                      <w:szCs w:val="18"/>
                      <w:vertAlign w:val="subscript"/>
                    </w:rPr>
                    <w:t>S</w:t>
                  </w:r>
                  <w:r>
                    <w:rPr>
                      <w:rFonts w:hint="default" w:ascii="Times New Roman" w:hAnsi="Times New Roman" w:eastAsia="宋体" w:cs="Times New Roman"/>
                      <w:color w:val="auto"/>
                      <w:sz w:val="18"/>
                      <w:szCs w:val="18"/>
                    </w:rPr>
                    <w:t>物料的容器或包装袋在非取用状态时应加盖、封口，保持密闭。</w:t>
                  </w:r>
                </w:p>
              </w:tc>
              <w:tc>
                <w:tcPr>
                  <w:tcW w:w="1593" w:type="pct"/>
                  <w:vMerge w:val="continue"/>
                  <w:tcBorders>
                    <w:tl2br w:val="nil"/>
                    <w:tr2bl w:val="nil"/>
                  </w:tcBorders>
                  <w:noWrap w:val="0"/>
                  <w:vAlign w:val="center"/>
                </w:tcPr>
                <w:p w14:paraId="73BD90CB">
                  <w:pPr>
                    <w:spacing w:line="240" w:lineRule="auto"/>
                    <w:ind w:firstLine="0" w:firstLineChars="0"/>
                    <w:rPr>
                      <w:rFonts w:hint="default" w:ascii="Times New Roman" w:hAnsi="Times New Roman" w:eastAsia="宋体" w:cs="Times New Roman"/>
                      <w:color w:val="auto"/>
                      <w:sz w:val="18"/>
                      <w:szCs w:val="18"/>
                    </w:rPr>
                  </w:pPr>
                </w:p>
              </w:tc>
              <w:tc>
                <w:tcPr>
                  <w:tcW w:w="457" w:type="pct"/>
                  <w:tcBorders>
                    <w:tl2br w:val="nil"/>
                    <w:tr2bl w:val="nil"/>
                  </w:tcBorders>
                  <w:noWrap w:val="0"/>
                  <w:vAlign w:val="center"/>
                </w:tcPr>
                <w:p w14:paraId="196173A0">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0B54B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49" w:type="pct"/>
                  <w:tcBorders>
                    <w:tl2br w:val="nil"/>
                    <w:tr2bl w:val="nil"/>
                  </w:tcBorders>
                  <w:noWrap w:val="0"/>
                  <w:vAlign w:val="center"/>
                </w:tcPr>
                <w:p w14:paraId="263BA497">
                  <w:pPr>
                    <w:spacing w:line="240" w:lineRule="auto"/>
                    <w:ind w:firstLine="0" w:firstLineChars="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粉状、粒状VOC</w:t>
                  </w:r>
                  <w:r>
                    <w:rPr>
                      <w:rFonts w:hint="default" w:ascii="Times New Roman" w:hAnsi="Times New Roman" w:eastAsia="宋体" w:cs="Times New Roman"/>
                      <w:color w:val="auto"/>
                      <w:sz w:val="18"/>
                      <w:szCs w:val="18"/>
                      <w:vertAlign w:val="subscript"/>
                    </w:rPr>
                    <w:t>S</w:t>
                  </w:r>
                  <w:r>
                    <w:rPr>
                      <w:rFonts w:hint="default" w:ascii="Times New Roman" w:hAnsi="Times New Roman" w:eastAsia="宋体" w:cs="Times New Roman"/>
                      <w:color w:val="auto"/>
                      <w:sz w:val="18"/>
                      <w:szCs w:val="18"/>
                    </w:rPr>
                    <w:t>物料应采用气力输送设备、管状带式输送机、螺旋输送机等密闭输送方式。或者采用密闭的包装袋、容器或罐车进行物料转移。</w:t>
                  </w:r>
                </w:p>
              </w:tc>
              <w:tc>
                <w:tcPr>
                  <w:tcW w:w="1593" w:type="pct"/>
                  <w:vMerge w:val="restart"/>
                  <w:tcBorders>
                    <w:tl2br w:val="nil"/>
                    <w:tr2bl w:val="nil"/>
                  </w:tcBorders>
                  <w:noWrap w:val="0"/>
                  <w:vAlign w:val="center"/>
                </w:tcPr>
                <w:p w14:paraId="32AD3B60">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w:t>
                  </w:r>
                  <w:r>
                    <w:rPr>
                      <w:rFonts w:hint="eastAsia" w:ascii="Times New Roman" w:hAnsi="Times New Roman" w:cs="Times New Roman"/>
                      <w:color w:val="auto"/>
                      <w:sz w:val="18"/>
                      <w:szCs w:val="18"/>
                      <w:lang w:val="en-US" w:eastAsia="zh-CN"/>
                    </w:rPr>
                    <w:t>ABS塑料颗粒</w:t>
                  </w:r>
                  <w:r>
                    <w:rPr>
                      <w:rFonts w:hint="default" w:ascii="Times New Roman" w:hAnsi="Times New Roman" w:cs="Times New Roman"/>
                      <w:color w:val="auto"/>
                      <w:sz w:val="18"/>
                      <w:szCs w:val="18"/>
                    </w:rPr>
                    <w:t>使用时通过气力输送至</w:t>
                  </w:r>
                  <w:r>
                    <w:rPr>
                      <w:rFonts w:hint="default" w:ascii="Times New Roman" w:hAnsi="Times New Roman" w:cs="Times New Roman"/>
                      <w:color w:val="auto"/>
                      <w:sz w:val="18"/>
                      <w:szCs w:val="18"/>
                      <w:lang w:val="en-US" w:eastAsia="zh-CN"/>
                    </w:rPr>
                    <w:t>设备</w:t>
                  </w:r>
                  <w:r>
                    <w:rPr>
                      <w:rFonts w:hint="default" w:ascii="Times New Roman" w:hAnsi="Times New Roman" w:cs="Times New Roman"/>
                      <w:color w:val="auto"/>
                      <w:sz w:val="18"/>
                      <w:szCs w:val="18"/>
                      <w:lang w:eastAsia="zh-CN"/>
                    </w:rPr>
                    <w:t>内</w:t>
                  </w:r>
                  <w:r>
                    <w:rPr>
                      <w:rFonts w:hint="default" w:ascii="Times New Roman" w:hAnsi="Times New Roman" w:cs="Times New Roman"/>
                      <w:color w:val="auto"/>
                      <w:sz w:val="18"/>
                      <w:szCs w:val="18"/>
                    </w:rPr>
                    <w:t>进行使用</w:t>
                  </w:r>
                </w:p>
              </w:tc>
              <w:tc>
                <w:tcPr>
                  <w:tcW w:w="457" w:type="pct"/>
                  <w:vMerge w:val="restart"/>
                  <w:tcBorders>
                    <w:tl2br w:val="nil"/>
                    <w:tr2bl w:val="nil"/>
                  </w:tcBorders>
                  <w:noWrap w:val="0"/>
                  <w:vAlign w:val="center"/>
                </w:tcPr>
                <w:p w14:paraId="65CC6FFC">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3C1FB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49" w:type="pct"/>
                  <w:tcBorders>
                    <w:tl2br w:val="nil"/>
                    <w:tr2bl w:val="nil"/>
                  </w:tcBorders>
                  <w:noWrap w:val="0"/>
                  <w:vAlign w:val="center"/>
                </w:tcPr>
                <w:p w14:paraId="12B64F2F">
                  <w:pPr>
                    <w:spacing w:line="240" w:lineRule="auto"/>
                    <w:ind w:firstLine="0" w:firstLineChars="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粉状、粒状VOC</w:t>
                  </w:r>
                  <w:r>
                    <w:rPr>
                      <w:rFonts w:hint="default" w:ascii="Times New Roman" w:hAnsi="Times New Roman" w:eastAsia="宋体" w:cs="Times New Roman"/>
                      <w:color w:val="auto"/>
                      <w:sz w:val="18"/>
                      <w:szCs w:val="18"/>
                      <w:vertAlign w:val="subscript"/>
                    </w:rPr>
                    <w:t>S</w:t>
                  </w:r>
                  <w:r>
                    <w:rPr>
                      <w:rFonts w:hint="default" w:ascii="Times New Roman" w:hAnsi="Times New Roman" w:eastAsia="宋体" w:cs="Times New Roman"/>
                      <w:color w:val="auto"/>
                      <w:sz w:val="18"/>
                      <w:szCs w:val="18"/>
                    </w:rPr>
                    <w:t>物料应采用气力输送方式或采用密闭固体投料器等给料方式密闭投加。无法密闭投加的，应在密闭空间内操作，或进行局部气体收集、废气应排至除尘设施、VOC</w:t>
                  </w:r>
                  <w:r>
                    <w:rPr>
                      <w:rFonts w:hint="default" w:ascii="Times New Roman" w:hAnsi="Times New Roman" w:eastAsia="宋体" w:cs="Times New Roman"/>
                      <w:color w:val="auto"/>
                      <w:sz w:val="18"/>
                      <w:szCs w:val="18"/>
                      <w:vertAlign w:val="subscript"/>
                    </w:rPr>
                    <w:t>S</w:t>
                  </w:r>
                  <w:r>
                    <w:rPr>
                      <w:rFonts w:hint="default" w:ascii="Times New Roman" w:hAnsi="Times New Roman" w:eastAsia="宋体" w:cs="Times New Roman"/>
                      <w:color w:val="auto"/>
                      <w:sz w:val="18"/>
                      <w:szCs w:val="18"/>
                    </w:rPr>
                    <w:t>废气收集处理系统。</w:t>
                  </w:r>
                </w:p>
              </w:tc>
              <w:tc>
                <w:tcPr>
                  <w:tcW w:w="1593" w:type="pct"/>
                  <w:vMerge w:val="continue"/>
                  <w:tcBorders>
                    <w:tl2br w:val="nil"/>
                    <w:tr2bl w:val="nil"/>
                  </w:tcBorders>
                  <w:noWrap w:val="0"/>
                  <w:vAlign w:val="center"/>
                </w:tcPr>
                <w:p w14:paraId="767DE1E4">
                  <w:pPr>
                    <w:spacing w:line="240" w:lineRule="auto"/>
                    <w:ind w:firstLine="0" w:firstLineChars="0"/>
                    <w:jc w:val="center"/>
                    <w:rPr>
                      <w:rFonts w:hint="default" w:ascii="Times New Roman" w:hAnsi="Times New Roman" w:eastAsia="宋体" w:cs="Times New Roman"/>
                      <w:color w:val="auto"/>
                      <w:sz w:val="18"/>
                      <w:szCs w:val="18"/>
                    </w:rPr>
                  </w:pPr>
                </w:p>
              </w:tc>
              <w:tc>
                <w:tcPr>
                  <w:tcW w:w="457" w:type="pct"/>
                  <w:vMerge w:val="continue"/>
                  <w:tcBorders>
                    <w:tl2br w:val="nil"/>
                    <w:tr2bl w:val="nil"/>
                  </w:tcBorders>
                  <w:noWrap w:val="0"/>
                  <w:vAlign w:val="center"/>
                </w:tcPr>
                <w:p w14:paraId="6E6BFB4C">
                  <w:pPr>
                    <w:spacing w:line="240" w:lineRule="auto"/>
                    <w:ind w:firstLine="0" w:firstLineChars="0"/>
                    <w:jc w:val="center"/>
                    <w:rPr>
                      <w:rFonts w:hint="default" w:ascii="Times New Roman" w:hAnsi="Times New Roman" w:eastAsia="宋体" w:cs="Times New Roman"/>
                      <w:color w:val="auto"/>
                      <w:sz w:val="18"/>
                      <w:szCs w:val="18"/>
                    </w:rPr>
                  </w:pPr>
                </w:p>
              </w:tc>
            </w:tr>
            <w:tr w14:paraId="18C67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49" w:type="pct"/>
                  <w:tcBorders>
                    <w:tl2br w:val="nil"/>
                    <w:tr2bl w:val="nil"/>
                  </w:tcBorders>
                  <w:noWrap w:val="0"/>
                  <w:vAlign w:val="center"/>
                </w:tcPr>
                <w:p w14:paraId="12FCA748">
                  <w:pPr>
                    <w:spacing w:line="240" w:lineRule="auto"/>
                    <w:ind w:firstLine="0" w:firstLineChars="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有机聚合物产品用于制品生产的过程，在缓和/混炼、塑炼/塑化/熔化、加工成型等作业中应采用密闭设备或密闭空间内操作，废气应排放至VOCs废气收集处理系统；无法密闭的应采取局部气体收集措施，废气应排放至VOCs废气收集处理系统</w:t>
                  </w:r>
                </w:p>
              </w:tc>
              <w:tc>
                <w:tcPr>
                  <w:tcW w:w="1593" w:type="pct"/>
                  <w:tcBorders>
                    <w:tl2br w:val="nil"/>
                    <w:tr2bl w:val="nil"/>
                  </w:tcBorders>
                  <w:noWrap w:val="0"/>
                  <w:vAlign w:val="center"/>
                </w:tcPr>
                <w:p w14:paraId="22F269DD">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本项目产生VOCs的工艺主要为</w:t>
                  </w:r>
                  <w:r>
                    <w:rPr>
                      <w:rFonts w:hint="default" w:ascii="Times New Roman" w:hAnsi="Times New Roman" w:cs="Times New Roman"/>
                      <w:color w:val="auto"/>
                      <w:sz w:val="18"/>
                      <w:szCs w:val="18"/>
                      <w:lang w:val="en-US" w:eastAsia="zh-CN"/>
                    </w:rPr>
                    <w:t>注塑</w:t>
                  </w:r>
                  <w:r>
                    <w:rPr>
                      <w:rFonts w:hint="default" w:ascii="Times New Roman" w:hAnsi="Times New Roman" w:eastAsia="宋体" w:cs="Times New Roman"/>
                      <w:color w:val="auto"/>
                      <w:sz w:val="18"/>
                      <w:szCs w:val="18"/>
                      <w:lang w:eastAsia="zh-CN"/>
                    </w:rPr>
                    <w:t>过程中产生的有机废气</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kern w:val="0"/>
                      <w:sz w:val="18"/>
                      <w:szCs w:val="18"/>
                    </w:rPr>
                    <w:t>注塑时加热挤出</w:t>
                  </w:r>
                  <w:r>
                    <w:rPr>
                      <w:rFonts w:hint="default" w:ascii="Times New Roman" w:hAnsi="Times New Roman" w:cs="Times New Roman"/>
                      <w:color w:val="auto"/>
                      <w:sz w:val="18"/>
                      <w:szCs w:val="18"/>
                    </w:rPr>
                    <w:t>产生的有机废气经</w:t>
                  </w:r>
                  <w:r>
                    <w:rPr>
                      <w:rFonts w:hint="default" w:ascii="Times New Roman" w:hAnsi="Times New Roman" w:cs="Times New Roman"/>
                      <w:color w:val="auto"/>
                      <w:sz w:val="18"/>
                      <w:szCs w:val="18"/>
                      <w:lang w:eastAsia="zh-CN"/>
                    </w:rPr>
                    <w:t>过滤棉+两级活性炭</w:t>
                  </w:r>
                  <w:r>
                    <w:rPr>
                      <w:rFonts w:hint="default" w:ascii="Times New Roman" w:hAnsi="Times New Roman" w:cs="Times New Roman"/>
                      <w:color w:val="auto"/>
                      <w:sz w:val="18"/>
                      <w:szCs w:val="18"/>
                    </w:rPr>
                    <w:t>吸附装置处理后达标排放</w:t>
                  </w:r>
                </w:p>
              </w:tc>
              <w:tc>
                <w:tcPr>
                  <w:tcW w:w="457" w:type="pct"/>
                  <w:tcBorders>
                    <w:tl2br w:val="nil"/>
                    <w:tr2bl w:val="nil"/>
                  </w:tcBorders>
                  <w:noWrap w:val="0"/>
                  <w:vAlign w:val="center"/>
                </w:tcPr>
                <w:p w14:paraId="63E02143">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75F32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49" w:type="pct"/>
                  <w:tcBorders>
                    <w:tl2br w:val="nil"/>
                    <w:tr2bl w:val="nil"/>
                  </w:tcBorders>
                  <w:noWrap w:val="0"/>
                  <w:vAlign w:val="center"/>
                </w:tcPr>
                <w:p w14:paraId="39F16BFB">
                  <w:pPr>
                    <w:spacing w:line="240" w:lineRule="auto"/>
                    <w:ind w:firstLine="0" w:firstLineChars="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VOC</w:t>
                  </w:r>
                  <w:r>
                    <w:rPr>
                      <w:rFonts w:hint="default" w:ascii="Times New Roman" w:hAnsi="Times New Roman" w:eastAsia="宋体" w:cs="Times New Roman"/>
                      <w:color w:val="auto"/>
                      <w:sz w:val="18"/>
                      <w:szCs w:val="18"/>
                      <w:vertAlign w:val="subscript"/>
                    </w:rPr>
                    <w:t>S</w:t>
                  </w:r>
                  <w:r>
                    <w:rPr>
                      <w:rFonts w:hint="default" w:ascii="Times New Roman" w:hAnsi="Times New Roman" w:eastAsia="宋体" w:cs="Times New Roman"/>
                      <w:color w:val="auto"/>
                      <w:sz w:val="18"/>
                      <w:szCs w:val="18"/>
                    </w:rPr>
                    <w:t>废气收集处理系统应与生产工艺设备同步运行。VOC</w:t>
                  </w:r>
                  <w:r>
                    <w:rPr>
                      <w:rFonts w:hint="default" w:ascii="Times New Roman" w:hAnsi="Times New Roman" w:eastAsia="宋体" w:cs="Times New Roman"/>
                      <w:color w:val="auto"/>
                      <w:sz w:val="18"/>
                      <w:szCs w:val="18"/>
                      <w:vertAlign w:val="subscript"/>
                    </w:rPr>
                    <w:t>S</w:t>
                  </w:r>
                  <w:r>
                    <w:rPr>
                      <w:rFonts w:hint="default" w:ascii="Times New Roman" w:hAnsi="Times New Roman" w:eastAsia="宋体" w:cs="Times New Roman"/>
                      <w:color w:val="auto"/>
                      <w:sz w:val="18"/>
                      <w:szCs w:val="18"/>
                    </w:rPr>
                    <w:t>废气收集处理系统发生故障或检修时，对应的生产工艺设备应停止运行，待检修完毕后同步投入使用；生产工艺设备不能停止运行或不能及时停止</w:t>
                  </w:r>
                  <w:r>
                    <w:rPr>
                      <w:rFonts w:hint="default" w:ascii="Times New Roman" w:hAnsi="Times New Roman" w:eastAsia="宋体" w:cs="Times New Roman"/>
                      <w:color w:val="auto"/>
                      <w:sz w:val="18"/>
                      <w:szCs w:val="18"/>
                      <w:lang w:eastAsia="zh-CN"/>
                    </w:rPr>
                    <w:t>运行</w:t>
                  </w:r>
                  <w:r>
                    <w:rPr>
                      <w:rFonts w:hint="default" w:ascii="Times New Roman" w:hAnsi="Times New Roman" w:eastAsia="宋体" w:cs="Times New Roman"/>
                      <w:color w:val="auto"/>
                      <w:sz w:val="18"/>
                      <w:szCs w:val="18"/>
                    </w:rPr>
                    <w:t>的，应设置废气应急处理设施或采用其他替代措施。</w:t>
                  </w:r>
                </w:p>
              </w:tc>
              <w:tc>
                <w:tcPr>
                  <w:tcW w:w="1593" w:type="pct"/>
                  <w:tcBorders>
                    <w:tl2br w:val="nil"/>
                    <w:tr2bl w:val="nil"/>
                  </w:tcBorders>
                  <w:noWrap w:val="0"/>
                  <w:vAlign w:val="center"/>
                </w:tcPr>
                <w:p w14:paraId="28B854FA">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按要求执行</w:t>
                  </w:r>
                </w:p>
              </w:tc>
              <w:tc>
                <w:tcPr>
                  <w:tcW w:w="457" w:type="pct"/>
                  <w:tcBorders>
                    <w:tl2br w:val="nil"/>
                    <w:tr2bl w:val="nil"/>
                  </w:tcBorders>
                  <w:noWrap w:val="0"/>
                  <w:vAlign w:val="center"/>
                </w:tcPr>
                <w:p w14:paraId="685CF348">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0BDD2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49" w:type="pct"/>
                  <w:tcBorders>
                    <w:tl2br w:val="nil"/>
                    <w:tr2bl w:val="nil"/>
                  </w:tcBorders>
                  <w:noWrap w:val="0"/>
                  <w:vAlign w:val="center"/>
                </w:tcPr>
                <w:p w14:paraId="5853B9F1">
                  <w:pPr>
                    <w:spacing w:line="240" w:lineRule="auto"/>
                    <w:ind w:firstLine="0" w:firstLineChars="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排气筒高度不低于15m（因安全考虑或有特殊工艺要求的除外），具体高度以及与周围建筑物的相对高度关系应根据环境影响评价文件确定。</w:t>
                  </w:r>
                </w:p>
              </w:tc>
              <w:tc>
                <w:tcPr>
                  <w:tcW w:w="1593" w:type="pct"/>
                  <w:tcBorders>
                    <w:tl2br w:val="nil"/>
                    <w:tr2bl w:val="nil"/>
                  </w:tcBorders>
                  <w:noWrap w:val="0"/>
                  <w:vAlign w:val="center"/>
                </w:tcPr>
                <w:p w14:paraId="3A14ADAA">
                  <w:pPr>
                    <w:spacing w:line="240" w:lineRule="auto"/>
                    <w:ind w:firstLine="0" w:firstLineChars="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本项排气筒为</w:t>
                  </w:r>
                  <w:r>
                    <w:rPr>
                      <w:rFonts w:hint="eastAsia" w:ascii="Times New Roman" w:hAnsi="Times New Roman" w:cs="Times New Roman"/>
                      <w:color w:val="auto"/>
                      <w:sz w:val="18"/>
                      <w:szCs w:val="18"/>
                      <w:lang w:val="en-US" w:eastAsia="zh-CN"/>
                    </w:rPr>
                    <w:t>25</w:t>
                  </w:r>
                  <w:r>
                    <w:rPr>
                      <w:rFonts w:hint="default" w:ascii="Times New Roman" w:hAnsi="Times New Roman" w:cs="Times New Roman"/>
                      <w:color w:val="auto"/>
                      <w:sz w:val="18"/>
                      <w:szCs w:val="18"/>
                      <w:lang w:val="en-US" w:eastAsia="zh-CN"/>
                    </w:rPr>
                    <w:t>m</w:t>
                  </w:r>
                </w:p>
              </w:tc>
              <w:tc>
                <w:tcPr>
                  <w:tcW w:w="457" w:type="pct"/>
                  <w:tcBorders>
                    <w:tl2br w:val="nil"/>
                    <w:tr2bl w:val="nil"/>
                  </w:tcBorders>
                  <w:noWrap w:val="0"/>
                  <w:vAlign w:val="center"/>
                </w:tcPr>
                <w:p w14:paraId="11F45955">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1701F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49" w:type="pct"/>
                  <w:tcBorders>
                    <w:tl2br w:val="nil"/>
                    <w:tr2bl w:val="nil"/>
                  </w:tcBorders>
                  <w:noWrap w:val="0"/>
                  <w:vAlign w:val="center"/>
                </w:tcPr>
                <w:p w14:paraId="76DA3A17">
                  <w:pPr>
                    <w:spacing w:line="240" w:lineRule="auto"/>
                    <w:ind w:firstLine="0" w:firstLineChars="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记录要求企业应建立台账，记录废气收集系统、VOC</w:t>
                  </w:r>
                  <w:r>
                    <w:rPr>
                      <w:rFonts w:hint="default" w:ascii="Times New Roman" w:hAnsi="Times New Roman" w:eastAsia="宋体" w:cs="Times New Roman"/>
                      <w:color w:val="auto"/>
                      <w:sz w:val="18"/>
                      <w:szCs w:val="18"/>
                      <w:vertAlign w:val="subscript"/>
                    </w:rPr>
                    <w:t>S</w:t>
                  </w:r>
                  <w:r>
                    <w:rPr>
                      <w:rFonts w:hint="default" w:ascii="Times New Roman" w:hAnsi="Times New Roman" w:eastAsia="宋体" w:cs="Times New Roman"/>
                      <w:color w:val="auto"/>
                      <w:sz w:val="18"/>
                      <w:szCs w:val="18"/>
                    </w:rPr>
                    <w:t>处理设施的主要运行和维护信息，如运行时间，废气处理量、操作温度、停留时间、吸附剂再生/更换周期和更换量、催化剂更换周期和更换量、吸收液pH值等关键运行参数。台账保存期限不少于3年。</w:t>
                  </w:r>
                </w:p>
              </w:tc>
              <w:tc>
                <w:tcPr>
                  <w:tcW w:w="1593" w:type="pct"/>
                  <w:tcBorders>
                    <w:tl2br w:val="nil"/>
                    <w:tr2bl w:val="nil"/>
                  </w:tcBorders>
                  <w:noWrap w:val="0"/>
                  <w:vAlign w:val="center"/>
                </w:tcPr>
                <w:p w14:paraId="2CC3FC57">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本项目按要求执行</w:t>
                  </w:r>
                </w:p>
              </w:tc>
              <w:tc>
                <w:tcPr>
                  <w:tcW w:w="457" w:type="pct"/>
                  <w:tcBorders>
                    <w:tl2br w:val="nil"/>
                    <w:tr2bl w:val="nil"/>
                  </w:tcBorders>
                  <w:noWrap w:val="0"/>
                  <w:vAlign w:val="center"/>
                </w:tcPr>
                <w:p w14:paraId="689BD987">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bl>
          <w:p w14:paraId="42818949">
            <w:pPr>
              <w:keepNext w:val="0"/>
              <w:keepLines w:val="0"/>
              <w:pageBreakBefore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b/>
                <w:bCs/>
                <w:color w:val="auto"/>
                <w:sz w:val="21"/>
                <w:szCs w:val="21"/>
                <w:shd w:val="clear" w:color="auto" w:fill="auto"/>
                <w:lang w:val="en-US" w:eastAsia="zh-CN"/>
              </w:rPr>
            </w:pPr>
            <w:r>
              <w:rPr>
                <w:rFonts w:hint="eastAsia" w:cs="Times New Roman"/>
                <w:b/>
                <w:color w:val="auto"/>
                <w:spacing w:val="-6"/>
                <w:sz w:val="21"/>
                <w:szCs w:val="21"/>
                <w:lang w:val="en-US" w:eastAsia="zh-CN"/>
              </w:rPr>
              <w:t>九</w:t>
            </w:r>
            <w:r>
              <w:rPr>
                <w:rFonts w:hint="default" w:ascii="Times New Roman" w:hAnsi="Times New Roman" w:eastAsia="宋体" w:cs="Times New Roman"/>
                <w:b/>
                <w:color w:val="auto"/>
                <w:spacing w:val="-6"/>
                <w:sz w:val="21"/>
                <w:szCs w:val="21"/>
                <w:lang w:val="en-US" w:eastAsia="zh-CN"/>
              </w:rPr>
              <w:t>、</w:t>
            </w:r>
            <w:r>
              <w:rPr>
                <w:rFonts w:hint="default" w:ascii="Times New Roman" w:hAnsi="Times New Roman" w:eastAsia="宋体" w:cs="Times New Roman"/>
                <w:b/>
                <w:bCs/>
                <w:color w:val="auto"/>
                <w:sz w:val="21"/>
                <w:szCs w:val="21"/>
                <w:shd w:val="clear" w:color="auto" w:fill="auto"/>
                <w:lang w:val="en-US" w:eastAsia="zh-CN"/>
              </w:rPr>
              <w:t>与重庆市人民政府关于印发《重庆市生态环境保护“十四五”规划（2021—2025年）》（渝府发〔2022〕11号）符合性分析</w:t>
            </w:r>
          </w:p>
          <w:p w14:paraId="1D83904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 w:val="21"/>
                <w:szCs w:val="21"/>
                <w:shd w:val="clear" w:color="auto" w:fill="auto"/>
                <w:lang w:val="zh-CN" w:eastAsia="zh-CN"/>
              </w:rPr>
            </w:pPr>
            <w:r>
              <w:rPr>
                <w:rFonts w:hint="default" w:ascii="Times New Roman" w:hAnsi="Times New Roman" w:eastAsia="宋体" w:cs="Times New Roman"/>
                <w:color w:val="auto"/>
                <w:sz w:val="21"/>
                <w:szCs w:val="21"/>
                <w:shd w:val="clear" w:color="auto" w:fill="auto"/>
                <w:lang w:val="en-US" w:eastAsia="zh-CN"/>
              </w:rPr>
              <w:t>本项目</w:t>
            </w:r>
            <w:r>
              <w:rPr>
                <w:rFonts w:hint="eastAsia" w:ascii="Times New Roman" w:hAnsi="Times New Roman" w:cs="Times New Roman"/>
                <w:color w:val="auto"/>
                <w:sz w:val="21"/>
                <w:szCs w:val="21"/>
                <w:shd w:val="clear" w:color="auto" w:fill="auto"/>
                <w:lang w:val="en-US" w:eastAsia="zh-CN"/>
              </w:rPr>
              <w:t>主要生产塑料零部件</w:t>
            </w:r>
            <w:r>
              <w:rPr>
                <w:rFonts w:hint="default" w:ascii="Times New Roman" w:hAnsi="Times New Roman" w:eastAsia="宋体" w:cs="Times New Roman"/>
                <w:color w:val="auto"/>
                <w:sz w:val="21"/>
                <w:szCs w:val="21"/>
                <w:shd w:val="clear" w:color="auto" w:fill="auto"/>
                <w:lang w:val="en-US" w:eastAsia="zh-CN"/>
              </w:rPr>
              <w:t>，</w:t>
            </w:r>
            <w:r>
              <w:rPr>
                <w:rFonts w:hint="eastAsia" w:cs="Times New Roman"/>
                <w:color w:val="auto"/>
                <w:sz w:val="21"/>
                <w:szCs w:val="21"/>
                <w:shd w:val="clear" w:color="auto" w:fill="auto"/>
                <w:lang w:val="en-US" w:eastAsia="zh-CN"/>
              </w:rPr>
              <w:t>行业类别为C2929塑料零件及其他塑料制品制造</w:t>
            </w:r>
            <w:r>
              <w:rPr>
                <w:rFonts w:hint="default" w:ascii="Times New Roman" w:hAnsi="Times New Roman" w:eastAsia="宋体" w:cs="Times New Roman"/>
                <w:color w:val="auto"/>
                <w:sz w:val="21"/>
                <w:szCs w:val="21"/>
                <w:shd w:val="clear" w:color="auto" w:fill="auto"/>
                <w:lang w:val="en-US" w:eastAsia="zh-CN"/>
              </w:rPr>
              <w:t>，主要污染物为生活污水</w:t>
            </w:r>
            <w:r>
              <w:rPr>
                <w:rFonts w:hint="default" w:ascii="Times New Roman" w:hAnsi="Times New Roman" w:cs="Times New Roman"/>
                <w:color w:val="auto"/>
                <w:sz w:val="21"/>
                <w:szCs w:val="21"/>
                <w:shd w:val="clear" w:color="auto" w:fill="auto"/>
                <w:lang w:val="en-US" w:eastAsia="zh-CN"/>
              </w:rPr>
              <w:t>、</w:t>
            </w:r>
            <w:r>
              <w:rPr>
                <w:rFonts w:hint="eastAsia" w:ascii="Times New Roman" w:hAnsi="Times New Roman" w:cs="Times New Roman"/>
                <w:color w:val="auto"/>
                <w:sz w:val="21"/>
                <w:szCs w:val="21"/>
                <w:shd w:val="clear" w:color="auto" w:fill="auto"/>
                <w:lang w:val="en-US" w:eastAsia="zh-CN"/>
              </w:rPr>
              <w:t>地面清洁</w:t>
            </w:r>
            <w:r>
              <w:rPr>
                <w:rFonts w:hint="default" w:ascii="Times New Roman" w:hAnsi="Times New Roman" w:cs="Times New Roman"/>
                <w:color w:val="auto"/>
                <w:sz w:val="21"/>
                <w:szCs w:val="21"/>
                <w:shd w:val="clear" w:color="auto" w:fill="auto"/>
                <w:lang w:val="en-US" w:eastAsia="zh-CN"/>
              </w:rPr>
              <w:t>废水，废气主要为</w:t>
            </w:r>
            <w:r>
              <w:rPr>
                <w:rFonts w:hint="eastAsia" w:ascii="Times New Roman" w:hAnsi="Times New Roman" w:cs="Times New Roman"/>
                <w:color w:val="auto"/>
                <w:sz w:val="21"/>
                <w:szCs w:val="21"/>
                <w:shd w:val="clear" w:color="auto" w:fill="auto"/>
                <w:lang w:val="en-US" w:eastAsia="zh-CN"/>
              </w:rPr>
              <w:t>注塑</w:t>
            </w:r>
            <w:r>
              <w:rPr>
                <w:rFonts w:hint="default" w:ascii="Times New Roman" w:hAnsi="Times New Roman" w:cs="Times New Roman"/>
                <w:color w:val="auto"/>
                <w:sz w:val="21"/>
                <w:szCs w:val="21"/>
                <w:shd w:val="clear" w:color="auto" w:fill="auto"/>
                <w:lang w:val="en-US" w:eastAsia="zh-CN"/>
              </w:rPr>
              <w:t>废气</w:t>
            </w:r>
            <w:r>
              <w:rPr>
                <w:rFonts w:hint="default" w:ascii="Times New Roman" w:hAnsi="Times New Roman" w:eastAsia="宋体" w:cs="Times New Roman"/>
                <w:color w:val="auto"/>
                <w:sz w:val="21"/>
                <w:szCs w:val="21"/>
                <w:shd w:val="clear" w:color="auto" w:fill="auto"/>
                <w:lang w:val="zh-CN" w:eastAsia="zh-CN"/>
              </w:rPr>
              <w:t>。根据《重庆市生态环境保护“十四五”规划（2021—2025年）》，针对本项目主要建设情况进行符合性分析，详见</w:t>
            </w:r>
            <w:r>
              <w:rPr>
                <w:rFonts w:hint="default" w:ascii="Times New Roman" w:hAnsi="Times New Roman" w:eastAsia="宋体" w:cs="Times New Roman"/>
                <w:color w:val="auto"/>
                <w:sz w:val="21"/>
                <w:szCs w:val="21"/>
                <w:shd w:val="clear" w:color="auto" w:fill="auto"/>
                <w:lang w:val="en-US" w:eastAsia="zh-CN"/>
              </w:rPr>
              <w:t>下表</w:t>
            </w:r>
            <w:r>
              <w:rPr>
                <w:rFonts w:hint="default" w:ascii="Times New Roman" w:hAnsi="Times New Roman" w:eastAsia="宋体" w:cs="Times New Roman"/>
                <w:color w:val="auto"/>
                <w:sz w:val="21"/>
                <w:szCs w:val="21"/>
                <w:shd w:val="clear" w:color="auto" w:fill="auto"/>
                <w:lang w:val="zh-CN" w:eastAsia="zh-CN"/>
              </w:rPr>
              <w:t>。</w:t>
            </w:r>
          </w:p>
          <w:p w14:paraId="1E52A0E5">
            <w:pPr>
              <w:pStyle w:val="5"/>
              <w:spacing w:line="36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rPr>
              <w:t>表</w:t>
            </w:r>
            <w:r>
              <w:rPr>
                <w:rFonts w:hint="default" w:ascii="Times New Roman" w:hAnsi="Times New Roman" w:eastAsia="宋体" w:cs="Times New Roman"/>
                <w:color w:val="auto"/>
                <w:sz w:val="21"/>
                <w:szCs w:val="21"/>
                <w:lang w:val="en-US" w:eastAsia="zh-CN"/>
              </w:rPr>
              <w:t>1-1</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 xml:space="preserve">  项目与《重庆市生态环境保护“十四五”规划（2021</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2025年）》符合性分析表</w:t>
            </w:r>
          </w:p>
          <w:tbl>
            <w:tblPr>
              <w:tblStyle w:val="30"/>
              <w:tblW w:w="5000"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4746"/>
              <w:gridCol w:w="2460"/>
              <w:gridCol w:w="402"/>
            </w:tblGrid>
            <w:tr w14:paraId="16813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21" w:type="pct"/>
                  <w:tcBorders>
                    <w:tl2br w:val="nil"/>
                    <w:tr2bl w:val="nil"/>
                  </w:tcBorders>
                  <w:noWrap w:val="0"/>
                  <w:vAlign w:val="center"/>
                </w:tcPr>
                <w:p w14:paraId="4DDC2210">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序号</w:t>
                  </w:r>
                </w:p>
              </w:tc>
              <w:tc>
                <w:tcPr>
                  <w:tcW w:w="2919" w:type="pct"/>
                  <w:tcBorders>
                    <w:tl2br w:val="nil"/>
                    <w:tr2bl w:val="nil"/>
                  </w:tcBorders>
                  <w:noWrap w:val="0"/>
                  <w:vAlign w:val="center"/>
                </w:tcPr>
                <w:p w14:paraId="379145A9">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技术政策要求</w:t>
                  </w:r>
                </w:p>
              </w:tc>
              <w:tc>
                <w:tcPr>
                  <w:tcW w:w="1513" w:type="pct"/>
                  <w:tcBorders>
                    <w:tl2br w:val="nil"/>
                    <w:tr2bl w:val="nil"/>
                  </w:tcBorders>
                  <w:noWrap w:val="0"/>
                  <w:vAlign w:val="center"/>
                </w:tcPr>
                <w:p w14:paraId="51C0C5FE">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本工程内容</w:t>
                  </w:r>
                </w:p>
              </w:tc>
              <w:tc>
                <w:tcPr>
                  <w:tcW w:w="247" w:type="pct"/>
                  <w:tcBorders>
                    <w:tl2br w:val="nil"/>
                    <w:tr2bl w:val="nil"/>
                  </w:tcBorders>
                  <w:noWrap w:val="0"/>
                  <w:vAlign w:val="center"/>
                </w:tcPr>
                <w:p w14:paraId="7CFCF10B">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符合性</w:t>
                  </w:r>
                </w:p>
              </w:tc>
            </w:tr>
            <w:tr w14:paraId="0A396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l2br w:val="nil"/>
                    <w:tr2bl w:val="nil"/>
                  </w:tcBorders>
                  <w:noWrap w:val="0"/>
                  <w:vAlign w:val="center"/>
                </w:tcPr>
                <w:p w14:paraId="32BED3CE">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第五章以改善生态环境质量为核心，深入打好污染防治攻坚战</w:t>
                  </w:r>
                </w:p>
              </w:tc>
            </w:tr>
            <w:tr w14:paraId="4FB85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21" w:type="pct"/>
                  <w:vMerge w:val="restart"/>
                  <w:tcBorders>
                    <w:tl2br w:val="nil"/>
                    <w:tr2bl w:val="nil"/>
                  </w:tcBorders>
                  <w:noWrap w:val="0"/>
                  <w:vAlign w:val="center"/>
                </w:tcPr>
                <w:p w14:paraId="64DF2B1D">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第一节改善水环境质量</w:t>
                  </w:r>
                </w:p>
              </w:tc>
              <w:tc>
                <w:tcPr>
                  <w:tcW w:w="2919" w:type="pct"/>
                  <w:tcBorders>
                    <w:tl2br w:val="nil"/>
                    <w:tr2bl w:val="nil"/>
                  </w:tcBorders>
                  <w:noWrap w:val="0"/>
                  <w:vAlign w:val="center"/>
                </w:tcPr>
                <w:p w14:paraId="66091AFE">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加强河流水质目标管理。将我市河湖划分为22个管控单元，将流域生态环境保护责任分解落实到各个断面、水体和行政区域，做深做实“一河一长”“一河一策”“一河一档”。将包含重要饮用水水源、具有重要生态功能以及水质达标压力较大的断面、水体列为优先控制对象，综合运用水资源调度、水生态保护、水环境治理等措施提高水环境质量。现状水质良好的断面、水体要防止发生退化，现状水质不达标的断面、水体要逐一制定达标方案，实施精准治理。开展流域水环境治理试点示范。保持长江干流重庆段水质总体优良。</w:t>
                  </w:r>
                </w:p>
              </w:tc>
              <w:tc>
                <w:tcPr>
                  <w:tcW w:w="1513" w:type="pct"/>
                  <w:tcBorders>
                    <w:tl2br w:val="nil"/>
                    <w:tr2bl w:val="nil"/>
                  </w:tcBorders>
                  <w:noWrap w:val="0"/>
                  <w:vAlign w:val="center"/>
                </w:tcPr>
                <w:p w14:paraId="18AD430A">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本项目位于</w:t>
                  </w:r>
                  <w:r>
                    <w:rPr>
                      <w:rFonts w:hint="default" w:ascii="Times New Roman" w:hAnsi="Times New Roman" w:cs="Times New Roman"/>
                      <w:color w:val="auto"/>
                      <w:sz w:val="18"/>
                      <w:szCs w:val="18"/>
                      <w:lang w:eastAsia="zh-CN"/>
                    </w:rPr>
                    <w:t>合川区</w:t>
                  </w:r>
                  <w:r>
                    <w:rPr>
                      <w:rFonts w:hint="eastAsia" w:ascii="Times New Roman" w:hAnsi="Times New Roman" w:cs="Times New Roman"/>
                      <w:color w:val="auto"/>
                      <w:sz w:val="18"/>
                      <w:szCs w:val="18"/>
                      <w:lang w:eastAsia="zh-CN"/>
                    </w:rPr>
                    <w:t>南溪组团A区</w:t>
                  </w:r>
                  <w:r>
                    <w:rPr>
                      <w:rFonts w:hint="default" w:ascii="Times New Roman" w:hAnsi="Times New Roman" w:eastAsia="宋体" w:cs="Times New Roman"/>
                      <w:color w:val="auto"/>
                      <w:sz w:val="18"/>
                      <w:szCs w:val="18"/>
                    </w:rPr>
                    <w:t>，项目</w:t>
                  </w:r>
                  <w:r>
                    <w:rPr>
                      <w:rFonts w:hint="eastAsia" w:ascii="Times New Roman" w:hAnsi="Times New Roman" w:cs="Times New Roman"/>
                      <w:color w:val="auto"/>
                      <w:sz w:val="18"/>
                      <w:szCs w:val="18"/>
                      <w:lang w:eastAsia="zh-CN"/>
                    </w:rPr>
                    <w:t>距离建梁河距离约360m</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不涉及重要饮用水水源、具有重要生态功能以及水质达标压力较大的断面；现状水质良好；本项目废水达标排放对</w:t>
                  </w:r>
                  <w:r>
                    <w:rPr>
                      <w:rFonts w:hint="default" w:ascii="Times New Roman" w:hAnsi="Times New Roman" w:eastAsia="宋体" w:cs="Times New Roman"/>
                      <w:color w:val="auto"/>
                      <w:sz w:val="18"/>
                      <w:szCs w:val="18"/>
                      <w:lang w:eastAsia="zh-CN"/>
                    </w:rPr>
                    <w:t>长江</w:t>
                  </w:r>
                  <w:r>
                    <w:rPr>
                      <w:rFonts w:hint="default" w:ascii="Times New Roman" w:hAnsi="Times New Roman" w:eastAsia="宋体" w:cs="Times New Roman"/>
                      <w:color w:val="auto"/>
                      <w:sz w:val="18"/>
                      <w:szCs w:val="18"/>
                    </w:rPr>
                    <w:t>影响小。</w:t>
                  </w:r>
                </w:p>
              </w:tc>
              <w:tc>
                <w:tcPr>
                  <w:tcW w:w="247" w:type="pct"/>
                  <w:tcBorders>
                    <w:tl2br w:val="nil"/>
                    <w:tr2bl w:val="nil"/>
                  </w:tcBorders>
                  <w:noWrap w:val="0"/>
                  <w:vAlign w:val="center"/>
                </w:tcPr>
                <w:p w14:paraId="2791F1F5">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1A91E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21" w:type="pct"/>
                  <w:vMerge w:val="continue"/>
                  <w:tcBorders>
                    <w:tl2br w:val="nil"/>
                    <w:tr2bl w:val="nil"/>
                  </w:tcBorders>
                  <w:noWrap w:val="0"/>
                  <w:vAlign w:val="center"/>
                </w:tcPr>
                <w:p w14:paraId="73B158A2">
                  <w:pPr>
                    <w:pStyle w:val="112"/>
                    <w:spacing w:line="240" w:lineRule="auto"/>
                    <w:rPr>
                      <w:rFonts w:hint="default" w:ascii="Times New Roman" w:hAnsi="Times New Roman" w:eastAsia="宋体" w:cs="Times New Roman"/>
                      <w:color w:val="auto"/>
                      <w:sz w:val="18"/>
                      <w:szCs w:val="18"/>
                    </w:rPr>
                  </w:pPr>
                </w:p>
              </w:tc>
              <w:tc>
                <w:tcPr>
                  <w:tcW w:w="2919" w:type="pct"/>
                  <w:tcBorders>
                    <w:tl2br w:val="nil"/>
                    <w:tr2bl w:val="nil"/>
                  </w:tcBorders>
                  <w:noWrap w:val="0"/>
                  <w:vAlign w:val="center"/>
                </w:tcPr>
                <w:p w14:paraId="010C7440">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加强重点水环境综合治理。推进生活污水集中处理设施新、改、扩建，补齐城镇污水收集管网短板，实施错接、漏接、老旧破损管网的更新修复，对进水生化需氧量浓度低于100mg/L的污水厂实施“一厂一策”改造。到2025年，全市城市生活污水集中处理率达到98%以上，建成区城市污水基本实现全收集、全处理，建制镇污水处理实现全达标排放，城市生活污水厂污泥无害化处理处置率达到98%以上。完善工业园区污水集中处理设施建设及配套管网，升级改造工业园区污水处理设施。推进到港船舶污染物接收设施建设，实现港口码头船舶污水垃圾接收设施全覆盖。全面摸清长江、嘉陵江、乌江干流重庆段入河排污口底数，结合排污口类型、监测结果、主要污染源类型等现状，逐个制定入河排污口“一口一策”方案，明确规范整治责任、路线图和时间表。到2025年，基本完成长江入河排污口整治工作，并建立治理长效机制。对企业、园区、污水集中处理设施、畜禽养殖场、医疗机构、餐饮、洗车场和建筑工地等场所进行排查，深入查找污水偷排直排乱排问题源头，建立问题清单，持续推进整改。</w:t>
                  </w:r>
                </w:p>
              </w:tc>
              <w:tc>
                <w:tcPr>
                  <w:tcW w:w="1513" w:type="pct"/>
                  <w:tcBorders>
                    <w:tl2br w:val="nil"/>
                    <w:tr2bl w:val="nil"/>
                  </w:tcBorders>
                  <w:noWrap w:val="0"/>
                  <w:vAlign w:val="center"/>
                </w:tcPr>
                <w:p w14:paraId="0AAC0D14">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项目产生的生活污水</w:t>
                  </w:r>
                  <w:r>
                    <w:rPr>
                      <w:rFonts w:hint="eastAsia" w:ascii="Times New Roman" w:hAnsi="Times New Roman" w:cs="Times New Roman"/>
                      <w:color w:val="auto"/>
                      <w:sz w:val="18"/>
                      <w:szCs w:val="18"/>
                      <w:lang w:eastAsia="zh-CN"/>
                    </w:rPr>
                    <w:t>、地面清洁废水</w:t>
                  </w:r>
                  <w:r>
                    <w:rPr>
                      <w:rFonts w:hint="default" w:ascii="Times New Roman" w:hAnsi="Times New Roman" w:eastAsia="宋体" w:cs="Times New Roman"/>
                      <w:color w:val="auto"/>
                      <w:sz w:val="18"/>
                      <w:szCs w:val="18"/>
                      <w:lang w:val="en-US" w:eastAsia="zh-CN"/>
                    </w:rPr>
                    <w:t>依托现有</w:t>
                  </w:r>
                  <w:r>
                    <w:rPr>
                      <w:rFonts w:hint="default" w:ascii="Times New Roman" w:hAnsi="Times New Roman" w:eastAsia="宋体" w:cs="Times New Roman"/>
                      <w:color w:val="auto"/>
                      <w:sz w:val="18"/>
                      <w:szCs w:val="18"/>
                    </w:rPr>
                    <w:t>生化池处理后排入园区市政管网，进入</w:t>
                  </w:r>
                  <w:r>
                    <w:rPr>
                      <w:rFonts w:hint="eastAsia" w:ascii="Times New Roman" w:hAnsi="Times New Roman" w:cs="Times New Roman"/>
                      <w:color w:val="auto"/>
                      <w:sz w:val="18"/>
                      <w:szCs w:val="18"/>
                      <w:lang w:eastAsia="zh-CN"/>
                    </w:rPr>
                    <w:t>南溪组团A区污水处理厂</w:t>
                  </w:r>
                  <w:r>
                    <w:rPr>
                      <w:rFonts w:hint="default" w:ascii="Times New Roman" w:hAnsi="Times New Roman" w:eastAsia="宋体" w:cs="Times New Roman"/>
                      <w:color w:val="auto"/>
                      <w:sz w:val="18"/>
                      <w:szCs w:val="18"/>
                    </w:rPr>
                    <w:t>进行深度处理</w:t>
                  </w:r>
                  <w:r>
                    <w:rPr>
                      <w:rFonts w:hint="eastAsia" w:ascii="Times New Roman" w:hAnsi="Times New Roman" w:cs="Times New Roman"/>
                      <w:color w:val="auto"/>
                      <w:sz w:val="18"/>
                      <w:szCs w:val="18"/>
                      <w:lang w:eastAsia="zh-CN"/>
                    </w:rPr>
                    <w:t>后排入建梁河，最后汇入嘉陵江</w:t>
                  </w:r>
                </w:p>
              </w:tc>
              <w:tc>
                <w:tcPr>
                  <w:tcW w:w="247" w:type="pct"/>
                  <w:tcBorders>
                    <w:tl2br w:val="nil"/>
                    <w:tr2bl w:val="nil"/>
                  </w:tcBorders>
                  <w:noWrap w:val="0"/>
                  <w:vAlign w:val="center"/>
                </w:tcPr>
                <w:p w14:paraId="55AC5A97">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6D6330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21" w:type="pct"/>
                  <w:vMerge w:val="continue"/>
                  <w:tcBorders>
                    <w:tl2br w:val="nil"/>
                    <w:tr2bl w:val="nil"/>
                  </w:tcBorders>
                  <w:noWrap w:val="0"/>
                  <w:vAlign w:val="center"/>
                </w:tcPr>
                <w:p w14:paraId="42E4583F">
                  <w:pPr>
                    <w:pStyle w:val="112"/>
                    <w:spacing w:line="240" w:lineRule="auto"/>
                    <w:rPr>
                      <w:rFonts w:hint="default" w:ascii="Times New Roman" w:hAnsi="Times New Roman" w:eastAsia="宋体" w:cs="Times New Roman"/>
                      <w:color w:val="auto"/>
                      <w:sz w:val="18"/>
                      <w:szCs w:val="18"/>
                    </w:rPr>
                  </w:pPr>
                </w:p>
              </w:tc>
              <w:tc>
                <w:tcPr>
                  <w:tcW w:w="2919" w:type="pct"/>
                  <w:tcBorders>
                    <w:tl2br w:val="nil"/>
                    <w:tr2bl w:val="nil"/>
                  </w:tcBorders>
                  <w:noWrap w:val="0"/>
                  <w:vAlign w:val="center"/>
                </w:tcPr>
                <w:p w14:paraId="78C8FE63">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修复水生态扩大水环境容量。强化水资源开发利用控制、用水效率控制、水功能区限制纳污“三条红线”，实施最严格的水资源管理制度，节约利用水资源。加快建设渝西水资源配置工程。科学确定河流生态流量，加强水库联合调度，强化小水电生态流量泄放监管，保障流域基本生态用水。以重点流域、城市河段及其他重要水体为重点推进滨水绿地等河湖生态缓冲带建设，加快实施“清水绿岸”治理提升工程。巩固城市黑臭水体治理成效，严防反弹。以重要河流源头和饮用水水源地为重点，开展水源涵养区建设。加强水生生物重要栖息地保护力度，科学实施受损生境修复和人工生境替代工程建设。严格落实长江流域重要水域十年禁渔政策，强化长江上游珍稀特有鱼类自然保护区建设。持续开展重点河流和水库富营养化监测预警及控制。</w:t>
                  </w:r>
                </w:p>
              </w:tc>
              <w:tc>
                <w:tcPr>
                  <w:tcW w:w="1513" w:type="pct"/>
                  <w:tcBorders>
                    <w:tl2br w:val="nil"/>
                    <w:tr2bl w:val="nil"/>
                  </w:tcBorders>
                  <w:noWrap w:val="0"/>
                  <w:vAlign w:val="center"/>
                </w:tcPr>
                <w:p w14:paraId="453DE44A">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本项目不涉及生态用水工程</w:t>
                  </w:r>
                </w:p>
              </w:tc>
              <w:tc>
                <w:tcPr>
                  <w:tcW w:w="247" w:type="pct"/>
                  <w:tcBorders>
                    <w:tl2br w:val="nil"/>
                    <w:tr2bl w:val="nil"/>
                  </w:tcBorders>
                  <w:noWrap w:val="0"/>
                  <w:vAlign w:val="center"/>
                </w:tcPr>
                <w:p w14:paraId="31CA8503">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4F7E5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21" w:type="pct"/>
                  <w:vMerge w:val="continue"/>
                  <w:tcBorders>
                    <w:tl2br w:val="nil"/>
                    <w:tr2bl w:val="nil"/>
                  </w:tcBorders>
                  <w:noWrap w:val="0"/>
                  <w:vAlign w:val="center"/>
                </w:tcPr>
                <w:p w14:paraId="28116CAC">
                  <w:pPr>
                    <w:pStyle w:val="112"/>
                    <w:spacing w:line="240" w:lineRule="auto"/>
                    <w:rPr>
                      <w:rFonts w:hint="default" w:ascii="Times New Roman" w:hAnsi="Times New Roman" w:eastAsia="宋体" w:cs="Times New Roman"/>
                      <w:color w:val="auto"/>
                      <w:sz w:val="18"/>
                      <w:szCs w:val="18"/>
                    </w:rPr>
                  </w:pPr>
                </w:p>
              </w:tc>
              <w:tc>
                <w:tcPr>
                  <w:tcW w:w="2919" w:type="pct"/>
                  <w:tcBorders>
                    <w:tl2br w:val="nil"/>
                    <w:tr2bl w:val="nil"/>
                  </w:tcBorders>
                  <w:noWrap w:val="0"/>
                  <w:vAlign w:val="center"/>
                </w:tcPr>
                <w:p w14:paraId="2A67F377">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严格保护饮用水水源地水质安全。加强城市集中式饮用水水源地信息化建设，进一步加大水源地保护区环境管理，保持水质100%达标。加快推进乡镇集中式饮用水水源地规范化建设，全面清理整治水源地保护区内的环境问题，确保水质达标率达到93%以上。逐步开展分散式农村饮用水水源水质监测。加强地下水型饮用水水源地环境保护，开展调查评估、规范化建设和综合整治。</w:t>
                  </w:r>
                </w:p>
              </w:tc>
              <w:tc>
                <w:tcPr>
                  <w:tcW w:w="1513" w:type="pct"/>
                  <w:tcBorders>
                    <w:tl2br w:val="nil"/>
                    <w:tr2bl w:val="nil"/>
                  </w:tcBorders>
                  <w:noWrap w:val="0"/>
                  <w:vAlign w:val="center"/>
                </w:tcPr>
                <w:p w14:paraId="744AF6D2">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项目用水由市政给水水源直接提供，项目不涉及饮用水源保护区等</w:t>
                  </w:r>
                </w:p>
              </w:tc>
              <w:tc>
                <w:tcPr>
                  <w:tcW w:w="247" w:type="pct"/>
                  <w:tcBorders>
                    <w:tl2br w:val="nil"/>
                    <w:tr2bl w:val="nil"/>
                  </w:tcBorders>
                  <w:noWrap w:val="0"/>
                  <w:vAlign w:val="center"/>
                </w:tcPr>
                <w:p w14:paraId="01F7AE8C">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55F13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21" w:type="pct"/>
                  <w:vMerge w:val="restart"/>
                  <w:tcBorders>
                    <w:tl2br w:val="nil"/>
                    <w:tr2bl w:val="nil"/>
                  </w:tcBorders>
                  <w:noWrap w:val="0"/>
                  <w:vAlign w:val="center"/>
                </w:tcPr>
                <w:p w14:paraId="5ED46E64">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第二节提升大气环境质量</w:t>
                  </w:r>
                </w:p>
              </w:tc>
              <w:tc>
                <w:tcPr>
                  <w:tcW w:w="2919" w:type="pct"/>
                  <w:tcBorders>
                    <w:tl2br w:val="nil"/>
                    <w:tr2bl w:val="nil"/>
                  </w:tcBorders>
                  <w:noWrap w:val="0"/>
                  <w:vAlign w:val="center"/>
                </w:tcPr>
                <w:p w14:paraId="00CDAE32">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以挥发性有机物治理和工业炉窑整治为重点深化工业废气污染控制。完成钢铁行业大气污染物超低排放改造。推进实施水泥行业产能等量或减量替代，推动工业炉窑深度治理和升级改造、垃圾焚烧发电厂氮氧化物深度治理。加大化工园区及制药、造纸、化工、燃煤锅炉等集中整治力度。加强火电、水泥、砖瓦、陶瓷、建材加工等行业废气无组织排放监管。严格落实VOCs（挥发性有机物）含量限值标准，大力推进低（无）VOCs原辅材料替代，将生产和使用高VOCs含量产品的企业列入强制性清洁生产审核名单。以工业涂装、包装印刷、家具制造、电子、石化、化工、油品储运销等行业为重点，强化VOCs无组织排放管控。推动适时把挥发性有机物纳入环境保护税征收范围。</w:t>
                  </w:r>
                </w:p>
              </w:tc>
              <w:tc>
                <w:tcPr>
                  <w:tcW w:w="1513" w:type="pct"/>
                  <w:tcBorders>
                    <w:tl2br w:val="nil"/>
                    <w:tr2bl w:val="nil"/>
                  </w:tcBorders>
                  <w:noWrap w:val="0"/>
                  <w:vAlign w:val="center"/>
                </w:tcPr>
                <w:p w14:paraId="29425BD8">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w:t>
                  </w:r>
                  <w:r>
                    <w:rPr>
                      <w:rFonts w:hint="default" w:ascii="Times New Roman" w:hAnsi="Times New Roman" w:eastAsia="宋体" w:cs="Times New Roman"/>
                      <w:color w:val="auto"/>
                      <w:sz w:val="18"/>
                      <w:szCs w:val="18"/>
                      <w:lang w:val="en-US" w:eastAsia="zh-CN"/>
                    </w:rPr>
                    <w:t>使用的</w:t>
                  </w:r>
                  <w:r>
                    <w:rPr>
                      <w:rFonts w:hint="eastAsia" w:ascii="Times New Roman" w:hAnsi="Times New Roman" w:cs="Times New Roman"/>
                      <w:color w:val="auto"/>
                      <w:sz w:val="18"/>
                      <w:szCs w:val="18"/>
                      <w:lang w:val="en-US" w:eastAsia="zh-CN"/>
                    </w:rPr>
                    <w:t>原辅材料</w:t>
                  </w:r>
                  <w:r>
                    <w:rPr>
                      <w:rFonts w:hint="default" w:ascii="Times New Roman" w:hAnsi="Times New Roman" w:eastAsia="宋体" w:cs="Times New Roman"/>
                      <w:color w:val="auto"/>
                      <w:sz w:val="18"/>
                      <w:szCs w:val="18"/>
                    </w:rPr>
                    <w:t>满足</w:t>
                  </w:r>
                  <w:r>
                    <w:rPr>
                      <w:rFonts w:hint="default" w:ascii="Times New Roman" w:hAnsi="Times New Roman" w:eastAsia="宋体" w:cs="Times New Roman"/>
                      <w:color w:val="auto"/>
                      <w:sz w:val="18"/>
                      <w:szCs w:val="18"/>
                      <w:lang w:val="en-US" w:eastAsia="zh-CN"/>
                    </w:rPr>
                    <w:t>国家</w:t>
                  </w:r>
                  <w:r>
                    <w:rPr>
                      <w:rFonts w:hint="default" w:ascii="Times New Roman" w:hAnsi="Times New Roman" w:eastAsia="宋体" w:cs="Times New Roman"/>
                      <w:color w:val="auto"/>
                      <w:sz w:val="18"/>
                      <w:szCs w:val="18"/>
                    </w:rPr>
                    <w:t>相关要求</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lang w:val="en-US" w:eastAsia="zh-CN"/>
                    </w:rPr>
                    <w:t>且</w:t>
                  </w:r>
                  <w:r>
                    <w:rPr>
                      <w:rFonts w:hint="eastAsia" w:cs="Times New Roman"/>
                      <w:color w:val="auto"/>
                      <w:sz w:val="18"/>
                      <w:szCs w:val="18"/>
                      <w:lang w:val="en-US" w:eastAsia="zh-CN"/>
                    </w:rPr>
                    <w:t>本项目注塑时加热挤出产</w:t>
                  </w:r>
                  <w:r>
                    <w:rPr>
                      <w:rFonts w:hint="default" w:ascii="Times New Roman" w:hAnsi="Times New Roman" w:cs="Times New Roman"/>
                      <w:color w:val="auto"/>
                      <w:sz w:val="18"/>
                    </w:rPr>
                    <w:t>生的有机废气经</w:t>
                  </w:r>
                  <w:r>
                    <w:rPr>
                      <w:rFonts w:hint="default" w:ascii="Times New Roman" w:hAnsi="Times New Roman" w:cs="Times New Roman"/>
                      <w:color w:val="auto"/>
                      <w:sz w:val="18"/>
                      <w:lang w:eastAsia="zh-CN"/>
                    </w:rPr>
                    <w:t>过滤棉+两级活性炭</w:t>
                  </w:r>
                  <w:r>
                    <w:rPr>
                      <w:rFonts w:hint="default" w:ascii="Times New Roman" w:hAnsi="Times New Roman" w:cs="Times New Roman"/>
                      <w:color w:val="auto"/>
                      <w:sz w:val="18"/>
                    </w:rPr>
                    <w:t>吸附装置处理后达标排放</w:t>
                  </w:r>
                  <w:r>
                    <w:rPr>
                      <w:rFonts w:hint="default" w:ascii="Times New Roman" w:hAnsi="Times New Roman" w:cs="Times New Roman"/>
                      <w:color w:val="auto"/>
                      <w:sz w:val="18"/>
                      <w:lang w:eastAsia="zh-CN"/>
                    </w:rPr>
                    <w:t>；</w:t>
                  </w:r>
                </w:p>
              </w:tc>
              <w:tc>
                <w:tcPr>
                  <w:tcW w:w="247" w:type="pct"/>
                  <w:tcBorders>
                    <w:tl2br w:val="nil"/>
                    <w:tr2bl w:val="nil"/>
                  </w:tcBorders>
                  <w:noWrap w:val="0"/>
                  <w:vAlign w:val="center"/>
                </w:tcPr>
                <w:p w14:paraId="41B09E4C">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2C13F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21" w:type="pct"/>
                  <w:vMerge w:val="continue"/>
                  <w:tcBorders>
                    <w:tl2br w:val="nil"/>
                    <w:tr2bl w:val="nil"/>
                  </w:tcBorders>
                  <w:noWrap w:val="0"/>
                  <w:vAlign w:val="center"/>
                </w:tcPr>
                <w:p w14:paraId="01D591A3">
                  <w:pPr>
                    <w:pStyle w:val="112"/>
                    <w:spacing w:line="240" w:lineRule="auto"/>
                    <w:rPr>
                      <w:rFonts w:hint="default" w:ascii="Times New Roman" w:hAnsi="Times New Roman" w:eastAsia="宋体" w:cs="Times New Roman"/>
                      <w:color w:val="auto"/>
                      <w:sz w:val="18"/>
                      <w:szCs w:val="18"/>
                    </w:rPr>
                  </w:pPr>
                </w:p>
              </w:tc>
              <w:tc>
                <w:tcPr>
                  <w:tcW w:w="2919" w:type="pct"/>
                  <w:tcBorders>
                    <w:tl2br w:val="nil"/>
                    <w:tr2bl w:val="nil"/>
                  </w:tcBorders>
                  <w:noWrap w:val="0"/>
                  <w:vAlign w:val="center"/>
                </w:tcPr>
                <w:p w14:paraId="45A5BAF2">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以柴油货车治理和纯电动车推广为重点深化交通污染控制。加快优化调整交通运输结构，提升全市铁路、水路货运比例，降低公路运输货物占比，推进大宗货物年运输量150万吨以上的园区和企业货物由公路运输转向铁路、水路运输。鼓励企业优先采用纯电动或者国五标准以上柴油货车、国三标准以上非道路移动机械。推进构建“车—油—路”绿色交通体系，完善并严格执行在用车I/M（检测与维护）制度，大力推广新能源车，推动公交车、出租车、网约车等公共领域用车纯电动化。严格执行汽、柴油质量标准，加强油品监管执法。进一步深化高排放车辆限行措施，对货运车辆（含运渣车）按排放标准、按时段、按路线精细化管控，加快淘汰老旧车辆。强化柴油货车、非道路移动机械、机动船舶等移动源污染治理。加快推进充换电设施和港口码头岸基供电设施建设，开展岸电智能监测试点。鼓励夜间错峰加油。</w:t>
                  </w:r>
                </w:p>
                <w:p w14:paraId="30F0CF56">
                  <w:pPr>
                    <w:pStyle w:val="112"/>
                    <w:spacing w:line="240" w:lineRule="auto"/>
                    <w:rPr>
                      <w:rFonts w:hint="default" w:ascii="Times New Roman" w:hAnsi="Times New Roman" w:eastAsia="宋体" w:cs="Times New Roman"/>
                      <w:color w:val="auto"/>
                      <w:sz w:val="18"/>
                      <w:szCs w:val="18"/>
                    </w:rPr>
                  </w:pPr>
                </w:p>
              </w:tc>
              <w:tc>
                <w:tcPr>
                  <w:tcW w:w="1513" w:type="pct"/>
                  <w:tcBorders>
                    <w:tl2br w:val="nil"/>
                    <w:tr2bl w:val="nil"/>
                  </w:tcBorders>
                  <w:noWrap w:val="0"/>
                  <w:vAlign w:val="center"/>
                </w:tcPr>
                <w:p w14:paraId="1E5D3DCD">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本项目原材料运输使用大货车运输，货车按照要求采用国五标准以上柴油货车。</w:t>
                  </w:r>
                </w:p>
              </w:tc>
              <w:tc>
                <w:tcPr>
                  <w:tcW w:w="247" w:type="pct"/>
                  <w:tcBorders>
                    <w:tl2br w:val="nil"/>
                    <w:tr2bl w:val="nil"/>
                  </w:tcBorders>
                  <w:noWrap w:val="0"/>
                  <w:vAlign w:val="center"/>
                </w:tcPr>
                <w:p w14:paraId="3281CD96">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55D8D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21" w:type="pct"/>
                  <w:vMerge w:val="continue"/>
                  <w:tcBorders>
                    <w:tl2br w:val="nil"/>
                    <w:tr2bl w:val="nil"/>
                  </w:tcBorders>
                  <w:noWrap w:val="0"/>
                  <w:vAlign w:val="center"/>
                </w:tcPr>
                <w:p w14:paraId="2472EC65">
                  <w:pPr>
                    <w:pStyle w:val="112"/>
                    <w:spacing w:line="240" w:lineRule="auto"/>
                    <w:rPr>
                      <w:rFonts w:hint="default" w:ascii="Times New Roman" w:hAnsi="Times New Roman" w:eastAsia="宋体" w:cs="Times New Roman"/>
                      <w:color w:val="auto"/>
                      <w:sz w:val="18"/>
                      <w:szCs w:val="18"/>
                    </w:rPr>
                  </w:pPr>
                </w:p>
              </w:tc>
              <w:tc>
                <w:tcPr>
                  <w:tcW w:w="2919" w:type="pct"/>
                  <w:tcBorders>
                    <w:tl2br w:val="nil"/>
                    <w:tr2bl w:val="nil"/>
                  </w:tcBorders>
                  <w:noWrap w:val="0"/>
                  <w:vAlign w:val="center"/>
                </w:tcPr>
                <w:p w14:paraId="0A37B7ED">
                  <w:pPr>
                    <w:pStyle w:val="112"/>
                    <w:spacing w:line="240" w:lineRule="auto"/>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shd w:val="clear" w:color="auto" w:fill="FFFFFF"/>
                    </w:rPr>
                    <w:t>以绿色示范创建和智能监管为重点深化扬尘污染控制。出台并实施建筑施工现场扬尘控制管理标准，持续推行“红黄绿”名单分级管控制度，建设扬尘控制示范工地。开展建筑施工扬尘排放标准和控尘技术规范研究。提高城市道路机械化清扫率，持续开展道路冲洗、洒水，完善质量标准考评，建设扬尘控制示范道路。严格落实“定车辆、定线路、定渣场”要求，加大渣土密闭运输联合执法监管力度。加强企业堆煤、堆料、建筑渣土消纳场和混凝土搅拌站粉尘排放监管。加强城市裸露地块和坡坎崖整治。</w:t>
                  </w:r>
                </w:p>
              </w:tc>
              <w:tc>
                <w:tcPr>
                  <w:tcW w:w="1513" w:type="pct"/>
                  <w:tcBorders>
                    <w:tl2br w:val="nil"/>
                    <w:tr2bl w:val="nil"/>
                  </w:tcBorders>
                  <w:noWrap w:val="0"/>
                  <w:vAlign w:val="center"/>
                </w:tcPr>
                <w:p w14:paraId="0886A46A">
                  <w:pPr>
                    <w:pStyle w:val="112"/>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本项目</w:t>
                  </w:r>
                  <w:r>
                    <w:rPr>
                      <w:rFonts w:hint="eastAsia" w:ascii="Times New Roman" w:hAnsi="Times New Roman" w:cs="Times New Roman"/>
                      <w:color w:val="auto"/>
                      <w:sz w:val="18"/>
                      <w:szCs w:val="18"/>
                      <w:lang w:val="en-US" w:eastAsia="zh-CN"/>
                    </w:rPr>
                    <w:t>租赁</w:t>
                  </w:r>
                  <w:r>
                    <w:rPr>
                      <w:rFonts w:hint="default" w:ascii="Times New Roman" w:hAnsi="Times New Roman" w:eastAsia="宋体" w:cs="Times New Roman"/>
                      <w:color w:val="auto"/>
                      <w:sz w:val="18"/>
                      <w:szCs w:val="18"/>
                      <w:lang w:val="en-US" w:eastAsia="zh-CN"/>
                    </w:rPr>
                    <w:t>已建成厂房进行建设，不涉及土建</w:t>
                  </w:r>
                </w:p>
              </w:tc>
              <w:tc>
                <w:tcPr>
                  <w:tcW w:w="247" w:type="pct"/>
                  <w:tcBorders>
                    <w:tl2br w:val="nil"/>
                    <w:tr2bl w:val="nil"/>
                  </w:tcBorders>
                  <w:noWrap w:val="0"/>
                  <w:vAlign w:val="center"/>
                </w:tcPr>
                <w:p w14:paraId="1A7D91C9">
                  <w:pPr>
                    <w:pStyle w:val="112"/>
                    <w:spacing w:line="240" w:lineRule="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bl>
          <w:p w14:paraId="2488A757">
            <w:pPr>
              <w:spacing w:line="360" w:lineRule="auto"/>
              <w:ind w:firstLine="420" w:firstLineChars="200"/>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lang w:val="zh-CN" w:eastAsia="zh-CN"/>
              </w:rPr>
              <w:t>根据上表分析可知，项目符合《重庆市生态环境保护“十四五”规划（2021—2025年）》（渝府发〔2022〕11号）中相关要求。</w:t>
            </w:r>
          </w:p>
          <w:p w14:paraId="09171DC0">
            <w:pPr>
              <w:autoSpaceDE w:val="0"/>
              <w:autoSpaceDN w:val="0"/>
              <w:adjustRightInd w:val="0"/>
              <w:snapToGrid w:val="0"/>
              <w:spacing w:line="360" w:lineRule="auto"/>
              <w:ind w:firstLine="0" w:firstLineChars="0"/>
              <w:jc w:val="left"/>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rPr>
              <w:t>十、</w:t>
            </w:r>
            <w:r>
              <w:rPr>
                <w:rFonts w:hint="default" w:ascii="Times New Roman" w:hAnsi="Times New Roman" w:eastAsia="宋体" w:cs="Times New Roman"/>
                <w:b/>
                <w:bCs/>
                <w:color w:val="auto"/>
                <w:kern w:val="0"/>
                <w:sz w:val="21"/>
                <w:szCs w:val="21"/>
              </w:rPr>
              <w:t>与《2020年挥发性有机物治理攻坚方案》（环大气〔2020〕33号）的符合性分析</w:t>
            </w:r>
          </w:p>
          <w:p w14:paraId="40CE28D0">
            <w:pPr>
              <w:autoSpaceDE w:val="0"/>
              <w:autoSpaceDN w:val="0"/>
              <w:adjustRightInd w:val="0"/>
              <w:snapToGrid w:val="0"/>
              <w:spacing w:line="36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表1-1</w:t>
            </w:r>
            <w:r>
              <w:rPr>
                <w:rFonts w:hint="default" w:ascii="Times New Roman" w:hAnsi="Times New Roman" w:cs="Times New Roman"/>
                <w:b/>
                <w:bCs/>
                <w:color w:val="auto"/>
                <w:kern w:val="0"/>
                <w:sz w:val="21"/>
                <w:szCs w:val="21"/>
                <w:lang w:val="en-US" w:eastAsia="zh-CN"/>
              </w:rPr>
              <w:t>2</w:t>
            </w:r>
            <w:r>
              <w:rPr>
                <w:rFonts w:hint="default" w:ascii="Times New Roman" w:hAnsi="Times New Roman" w:eastAsia="宋体" w:cs="Times New Roman"/>
                <w:b/>
                <w:bCs/>
                <w:color w:val="auto"/>
                <w:kern w:val="0"/>
                <w:sz w:val="21"/>
                <w:szCs w:val="21"/>
              </w:rPr>
              <w:t xml:space="preserve">  与《2020年挥发性有机物治理攻坚方案》符合性分析</w:t>
            </w:r>
          </w:p>
          <w:tbl>
            <w:tblPr>
              <w:tblStyle w:val="3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4359"/>
              <w:gridCol w:w="2602"/>
              <w:gridCol w:w="664"/>
            </w:tblGrid>
            <w:tr w14:paraId="21D77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307" w:type="pct"/>
                  <w:tcBorders>
                    <w:tl2br w:val="nil"/>
                    <w:tr2bl w:val="nil"/>
                  </w:tcBorders>
                  <w:noWrap w:val="0"/>
                  <w:vAlign w:val="center"/>
                </w:tcPr>
                <w:p w14:paraId="391BC9C9">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序号</w:t>
                  </w:r>
                </w:p>
              </w:tc>
              <w:tc>
                <w:tcPr>
                  <w:tcW w:w="2682" w:type="pct"/>
                  <w:tcBorders>
                    <w:tl2br w:val="nil"/>
                    <w:tr2bl w:val="nil"/>
                  </w:tcBorders>
                  <w:noWrap w:val="0"/>
                  <w:vAlign w:val="center"/>
                </w:tcPr>
                <w:p w14:paraId="76C96341">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相关要求</w:t>
                  </w:r>
                </w:p>
              </w:tc>
              <w:tc>
                <w:tcPr>
                  <w:tcW w:w="1601" w:type="pct"/>
                  <w:tcBorders>
                    <w:tl2br w:val="nil"/>
                    <w:tr2bl w:val="nil"/>
                  </w:tcBorders>
                  <w:noWrap w:val="0"/>
                  <w:vAlign w:val="center"/>
                </w:tcPr>
                <w:p w14:paraId="04A83427">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w:t>
                  </w:r>
                </w:p>
              </w:tc>
              <w:tc>
                <w:tcPr>
                  <w:tcW w:w="408" w:type="pct"/>
                  <w:tcBorders>
                    <w:tl2br w:val="nil"/>
                    <w:tr2bl w:val="nil"/>
                  </w:tcBorders>
                  <w:noWrap w:val="0"/>
                  <w:vAlign w:val="center"/>
                </w:tcPr>
                <w:p w14:paraId="733F9900">
                  <w:pPr>
                    <w:spacing w:line="240" w:lineRule="auto"/>
                    <w:ind w:left="-57" w:right="-57"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符合性</w:t>
                  </w:r>
                </w:p>
              </w:tc>
            </w:tr>
            <w:tr w14:paraId="7C877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307" w:type="pct"/>
                  <w:tcBorders>
                    <w:tl2br w:val="nil"/>
                    <w:tr2bl w:val="nil"/>
                  </w:tcBorders>
                  <w:noWrap w:val="0"/>
                  <w:vAlign w:val="center"/>
                </w:tcPr>
                <w:p w14:paraId="044A0FAF">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p>
              </w:tc>
              <w:tc>
                <w:tcPr>
                  <w:tcW w:w="2682" w:type="pct"/>
                  <w:tcBorders>
                    <w:tl2br w:val="nil"/>
                    <w:tr2bl w:val="nil"/>
                  </w:tcBorders>
                  <w:noWrap w:val="0"/>
                  <w:vAlign w:val="center"/>
                </w:tcPr>
                <w:p w14:paraId="7014DBA8">
                  <w:pPr>
                    <w:spacing w:line="240" w:lineRule="auto"/>
                    <w:ind w:firstLine="0" w:firstLineChars="0"/>
                    <w:rPr>
                      <w:rFonts w:hint="default" w:ascii="Times New Roman" w:hAnsi="Times New Roman" w:eastAsia="宋体" w:cs="Times New Roman"/>
                      <w:b/>
                      <w:color w:val="auto"/>
                      <w:sz w:val="18"/>
                      <w:szCs w:val="18"/>
                    </w:rPr>
                  </w:pPr>
                  <w:r>
                    <w:rPr>
                      <w:rFonts w:hint="default" w:ascii="Times New Roman" w:hAnsi="Times New Roman" w:eastAsia="宋体" w:cs="Times New Roman"/>
                      <w:b/>
                      <w:color w:val="auto"/>
                      <w:sz w:val="18"/>
                      <w:szCs w:val="18"/>
                    </w:rPr>
                    <w:t>一、大力推进源头替代，有效减少VOCs产生。</w:t>
                  </w:r>
                </w:p>
                <w:p w14:paraId="24999981">
                  <w:pPr>
                    <w:spacing w:line="240" w:lineRule="auto"/>
                    <w:ind w:firstLine="0" w:firstLineChars="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大力推进低（无）VOCs含量原辅材料替代。将全面使用符合国家要求的低VOCs含量原辅材料的企业纳入正面清单和政府绿色采购清单。企业应建立原辅材料台账，记录VOCs原辅材料名称、成分、VOCs含量、采购量、使用量、库存量、回收方式、回收量等信息，并保存相关证明材料。采用符合国家有关低VOCs含量产品规定的涂料、油墨、胶粘剂等，排放浓度稳定达标且排放速率满足相关规定的，相应生产工序可不要求建设末端治理设施。使用的原辅材料VOCs含量（质量比）均低于10%的工序，可不要求采取无组织排放收集和处理措施。</w:t>
                  </w:r>
                </w:p>
              </w:tc>
              <w:tc>
                <w:tcPr>
                  <w:tcW w:w="1601" w:type="pct"/>
                  <w:tcBorders>
                    <w:tl2br w:val="nil"/>
                    <w:tr2bl w:val="nil"/>
                  </w:tcBorders>
                  <w:noWrap w:val="0"/>
                  <w:vAlign w:val="center"/>
                </w:tcPr>
                <w:p w14:paraId="4FF9AF87">
                  <w:pPr>
                    <w:spacing w:line="240" w:lineRule="auto"/>
                    <w:ind w:firstLine="0" w:firstLineChars="0"/>
                    <w:jc w:val="center"/>
                    <w:rPr>
                      <w:rFonts w:hint="eastAsia"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本项目</w:t>
                  </w:r>
                  <w:r>
                    <w:rPr>
                      <w:rFonts w:hint="default" w:ascii="Times New Roman" w:hAnsi="Times New Roman" w:eastAsia="宋体" w:cs="Times New Roman"/>
                      <w:color w:val="auto"/>
                      <w:sz w:val="18"/>
                      <w:szCs w:val="18"/>
                      <w:lang w:val="en-US" w:eastAsia="zh-CN"/>
                    </w:rPr>
                    <w:t>使用的</w:t>
                  </w:r>
                  <w:r>
                    <w:rPr>
                      <w:rFonts w:hint="eastAsia" w:ascii="Times New Roman" w:hAnsi="Times New Roman" w:cs="Times New Roman"/>
                      <w:color w:val="auto"/>
                      <w:sz w:val="18"/>
                      <w:szCs w:val="18"/>
                      <w:lang w:val="en-US" w:eastAsia="zh-CN"/>
                    </w:rPr>
                    <w:t>原辅材料</w:t>
                  </w:r>
                  <w:r>
                    <w:rPr>
                      <w:rFonts w:hint="default" w:ascii="Times New Roman" w:hAnsi="Times New Roman" w:eastAsia="宋体" w:cs="Times New Roman"/>
                      <w:color w:val="auto"/>
                      <w:sz w:val="18"/>
                      <w:szCs w:val="18"/>
                    </w:rPr>
                    <w:t>满足</w:t>
                  </w:r>
                  <w:r>
                    <w:rPr>
                      <w:rFonts w:hint="default" w:ascii="Times New Roman" w:hAnsi="Times New Roman" w:eastAsia="宋体" w:cs="Times New Roman"/>
                      <w:color w:val="auto"/>
                      <w:sz w:val="18"/>
                      <w:szCs w:val="18"/>
                      <w:lang w:val="en-US" w:eastAsia="zh-CN"/>
                    </w:rPr>
                    <w:t>国家</w:t>
                  </w:r>
                  <w:r>
                    <w:rPr>
                      <w:rFonts w:hint="default" w:ascii="Times New Roman" w:hAnsi="Times New Roman" w:eastAsia="宋体" w:cs="Times New Roman"/>
                      <w:color w:val="auto"/>
                      <w:sz w:val="18"/>
                      <w:szCs w:val="18"/>
                    </w:rPr>
                    <w:t>相关要求；同时，本项目按要求建立原辅材料台账，记录VOCs原辅材料名称、成分、VOCs含量、采购量、使用量、库存量、回收方式、回收量等信息，并保存相关证明材料；</w:t>
                  </w:r>
                  <w:r>
                    <w:rPr>
                      <w:rFonts w:hint="default" w:ascii="Times New Roman" w:hAnsi="Times New Roman" w:eastAsia="宋体" w:cs="Times New Roman"/>
                      <w:color w:val="auto"/>
                      <w:sz w:val="18"/>
                      <w:szCs w:val="18"/>
                      <w:lang w:val="en-US" w:eastAsia="zh-CN"/>
                    </w:rPr>
                    <w:t>且根据核算</w:t>
                  </w:r>
                  <w:r>
                    <w:rPr>
                      <w:rFonts w:hint="default" w:ascii="Times New Roman" w:hAnsi="Times New Roman" w:eastAsia="宋体" w:cs="Times New Roman"/>
                      <w:color w:val="auto"/>
                      <w:sz w:val="18"/>
                      <w:szCs w:val="18"/>
                    </w:rPr>
                    <w:t>本项目有机废气排放浓度稳定达标且排放速率满足标准</w:t>
                  </w:r>
                  <w:r>
                    <w:rPr>
                      <w:rFonts w:hint="eastAsia" w:cs="Times New Roman"/>
                      <w:color w:val="auto"/>
                      <w:sz w:val="18"/>
                      <w:szCs w:val="18"/>
                      <w:lang w:val="en-US" w:eastAsia="zh-CN"/>
                    </w:rPr>
                    <w:t>要求</w:t>
                  </w:r>
                </w:p>
              </w:tc>
              <w:tc>
                <w:tcPr>
                  <w:tcW w:w="408" w:type="pct"/>
                  <w:tcBorders>
                    <w:tl2br w:val="nil"/>
                    <w:tr2bl w:val="nil"/>
                  </w:tcBorders>
                  <w:noWrap w:val="0"/>
                  <w:vAlign w:val="center"/>
                </w:tcPr>
                <w:p w14:paraId="11DD6042">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399DF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307" w:type="pct"/>
                  <w:tcBorders>
                    <w:tl2br w:val="nil"/>
                    <w:tr2bl w:val="nil"/>
                  </w:tcBorders>
                  <w:noWrap w:val="0"/>
                  <w:vAlign w:val="center"/>
                </w:tcPr>
                <w:p w14:paraId="5FF30D73">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w:t>
                  </w:r>
                </w:p>
              </w:tc>
              <w:tc>
                <w:tcPr>
                  <w:tcW w:w="2682" w:type="pct"/>
                  <w:tcBorders>
                    <w:tl2br w:val="nil"/>
                    <w:tr2bl w:val="nil"/>
                  </w:tcBorders>
                  <w:noWrap w:val="0"/>
                  <w:vAlign w:val="center"/>
                </w:tcPr>
                <w:p w14:paraId="4C0B4422">
                  <w:pPr>
                    <w:spacing w:line="240" w:lineRule="auto"/>
                    <w:ind w:firstLine="0" w:firstLineChars="0"/>
                    <w:rPr>
                      <w:rFonts w:hint="default" w:ascii="Times New Roman" w:hAnsi="Times New Roman" w:eastAsia="宋体" w:cs="Times New Roman"/>
                      <w:b/>
                      <w:color w:val="auto"/>
                      <w:sz w:val="18"/>
                      <w:szCs w:val="18"/>
                    </w:rPr>
                  </w:pPr>
                  <w:r>
                    <w:rPr>
                      <w:rFonts w:hint="default" w:ascii="Times New Roman" w:hAnsi="Times New Roman" w:eastAsia="宋体" w:cs="Times New Roman"/>
                      <w:b/>
                      <w:color w:val="auto"/>
                      <w:sz w:val="18"/>
                      <w:szCs w:val="18"/>
                    </w:rPr>
                    <w:t>二、全面落实标准要求，强化无组织排放控制</w:t>
                  </w:r>
                </w:p>
                <w:p w14:paraId="54AE8B10">
                  <w:pPr>
                    <w:widowControl/>
                    <w:shd w:val="clear" w:color="auto" w:fill="FFFFFF"/>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2020年7月1日起，全面执行《挥发性有机物无组织排放控制标准》，重点区域应落实无组织排放特别控制要求。···。储存环节应采用密闭容器、包装袋，高效密封储罐，封闭式储库、料仓等。装卸、转移和输送环节应采用密闭管道或密闭容器、罐车等。生产和使用环节应采用密闭设备，或在密闭空间中操作并有效收集废气，或进行局部气体收集；非取用状态时容器应密闭。处置环节应将盛装过VOCs物料的包装容器、含VOCs废料（渣、液）、废吸附剂等通过加盖、封装等方式密闭，妥善存放，不得随意丢弃。</w:t>
                  </w:r>
                </w:p>
              </w:tc>
              <w:tc>
                <w:tcPr>
                  <w:tcW w:w="1601" w:type="pct"/>
                  <w:tcBorders>
                    <w:tl2br w:val="nil"/>
                    <w:tr2bl w:val="nil"/>
                  </w:tcBorders>
                  <w:noWrap w:val="0"/>
                  <w:vAlign w:val="center"/>
                </w:tcPr>
                <w:p w14:paraId="3266AE00">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w:t>
                  </w:r>
                  <w:r>
                    <w:rPr>
                      <w:rFonts w:hint="default" w:ascii="Times New Roman" w:hAnsi="Times New Roman" w:eastAsia="宋体" w:cs="Times New Roman"/>
                      <w:color w:val="auto"/>
                      <w:sz w:val="18"/>
                      <w:szCs w:val="18"/>
                      <w:lang w:val="en-US" w:eastAsia="zh-CN"/>
                    </w:rPr>
                    <w:t>使用的</w:t>
                  </w:r>
                  <w:r>
                    <w:rPr>
                      <w:rFonts w:hint="eastAsia" w:ascii="Times New Roman" w:hAnsi="Times New Roman" w:cs="Times New Roman"/>
                      <w:color w:val="auto"/>
                      <w:sz w:val="18"/>
                      <w:szCs w:val="18"/>
                      <w:lang w:val="en-US" w:eastAsia="zh-CN"/>
                    </w:rPr>
                    <w:t>原辅材料</w:t>
                  </w:r>
                  <w:r>
                    <w:rPr>
                      <w:rFonts w:hint="default" w:ascii="Times New Roman" w:hAnsi="Times New Roman" w:eastAsia="宋体" w:cs="Times New Roman"/>
                      <w:color w:val="auto"/>
                      <w:sz w:val="18"/>
                      <w:szCs w:val="18"/>
                    </w:rPr>
                    <w:t>满足</w:t>
                  </w:r>
                  <w:r>
                    <w:rPr>
                      <w:rFonts w:hint="default" w:ascii="Times New Roman" w:hAnsi="Times New Roman" w:eastAsia="宋体" w:cs="Times New Roman"/>
                      <w:color w:val="auto"/>
                      <w:sz w:val="18"/>
                      <w:szCs w:val="18"/>
                      <w:lang w:val="en-US" w:eastAsia="zh-CN"/>
                    </w:rPr>
                    <w:t>国家</w:t>
                  </w:r>
                  <w:r>
                    <w:rPr>
                      <w:rFonts w:hint="default" w:ascii="Times New Roman" w:hAnsi="Times New Roman" w:eastAsia="宋体" w:cs="Times New Roman"/>
                      <w:color w:val="auto"/>
                      <w:sz w:val="18"/>
                      <w:szCs w:val="18"/>
                    </w:rPr>
                    <w:t>相关要求。本项目含VOCs废料（废活性炭等）桶装加盖密闭存储，定期交由有危废处理资质单位处理</w:t>
                  </w:r>
                </w:p>
              </w:tc>
              <w:tc>
                <w:tcPr>
                  <w:tcW w:w="408" w:type="pct"/>
                  <w:tcBorders>
                    <w:tl2br w:val="nil"/>
                    <w:tr2bl w:val="nil"/>
                  </w:tcBorders>
                  <w:noWrap w:val="0"/>
                  <w:vAlign w:val="center"/>
                </w:tcPr>
                <w:p w14:paraId="062122BB">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r w14:paraId="0C882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307" w:type="pct"/>
                  <w:tcBorders>
                    <w:tl2br w:val="nil"/>
                    <w:tr2bl w:val="nil"/>
                  </w:tcBorders>
                  <w:noWrap w:val="0"/>
                  <w:vAlign w:val="center"/>
                </w:tcPr>
                <w:p w14:paraId="0D272087">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3</w:t>
                  </w:r>
                </w:p>
              </w:tc>
              <w:tc>
                <w:tcPr>
                  <w:tcW w:w="2682" w:type="pct"/>
                  <w:tcBorders>
                    <w:tl2br w:val="nil"/>
                    <w:tr2bl w:val="nil"/>
                  </w:tcBorders>
                  <w:noWrap w:val="0"/>
                  <w:vAlign w:val="center"/>
                </w:tcPr>
                <w:p w14:paraId="63322A7F">
                  <w:pPr>
                    <w:spacing w:line="240" w:lineRule="auto"/>
                    <w:ind w:firstLine="0" w:firstLineChars="0"/>
                    <w:jc w:val="left"/>
                    <w:rPr>
                      <w:rFonts w:hint="default" w:ascii="Times New Roman" w:hAnsi="Times New Roman" w:eastAsia="宋体" w:cs="Times New Roman"/>
                      <w:b/>
                      <w:color w:val="auto"/>
                      <w:sz w:val="18"/>
                      <w:szCs w:val="18"/>
                    </w:rPr>
                  </w:pPr>
                  <w:r>
                    <w:rPr>
                      <w:rFonts w:hint="default" w:ascii="Times New Roman" w:hAnsi="Times New Roman" w:eastAsia="宋体" w:cs="Times New Roman"/>
                      <w:b/>
                      <w:color w:val="auto"/>
                      <w:sz w:val="18"/>
                      <w:szCs w:val="18"/>
                    </w:rPr>
                    <w:t>三、聚焦治污设施“三率”，提升综合治理效率</w:t>
                  </w:r>
                </w:p>
                <w:p w14:paraId="1A122E52">
                  <w:pPr>
                    <w:spacing w:line="240" w:lineRule="auto"/>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企业新建治污设施或对现有治污设施实施改造，应依据排放废气特征、VOCs组分及浓度、生产工况等，合理选择治理技术，对治理难度大、单一治理工艺难以稳定达标的，要采用多种技术的组合工艺。采用活性炭吸附技术的，应选择碘值不低于800毫克/克的活性炭，并按设计要求足量添加、及时更换。</w:t>
                  </w:r>
                </w:p>
              </w:tc>
              <w:tc>
                <w:tcPr>
                  <w:tcW w:w="1601" w:type="pct"/>
                  <w:tcBorders>
                    <w:tl2br w:val="nil"/>
                    <w:tr2bl w:val="nil"/>
                  </w:tcBorders>
                  <w:noWrap w:val="0"/>
                  <w:vAlign w:val="center"/>
                </w:tcPr>
                <w:p w14:paraId="47F784EE">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本项目活性炭吸附装置选择碘值不低于800毫克/克的活性炭，并按设计要求足量添加、及时更换</w:t>
                  </w:r>
                </w:p>
              </w:tc>
              <w:tc>
                <w:tcPr>
                  <w:tcW w:w="408" w:type="pct"/>
                  <w:tcBorders>
                    <w:tl2br w:val="nil"/>
                    <w:tr2bl w:val="nil"/>
                  </w:tcBorders>
                  <w:noWrap w:val="0"/>
                  <w:vAlign w:val="center"/>
                </w:tcPr>
                <w:p w14:paraId="22C73C49">
                  <w:pPr>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符合</w:t>
                  </w:r>
                </w:p>
              </w:tc>
            </w:tr>
          </w:tbl>
          <w:p w14:paraId="647CDF3A">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Times New Roman" w:eastAsia="宋体" w:cs="Times New Roman"/>
                <w:color w:val="auto"/>
                <w:sz w:val="21"/>
                <w:szCs w:val="21"/>
                <w:lang w:val="zh-CN" w:eastAsia="zh-CN"/>
              </w:rPr>
            </w:pPr>
            <w:r>
              <w:rPr>
                <w:rFonts w:hint="default" w:ascii="Times New Roman" w:hAnsi="Times New Roman" w:eastAsia="宋体" w:cs="Times New Roman"/>
                <w:color w:val="auto"/>
                <w:sz w:val="21"/>
                <w:szCs w:val="21"/>
                <w:shd w:val="clear" w:color="auto" w:fill="auto"/>
                <w:lang w:val="en-US" w:eastAsia="zh-CN"/>
              </w:rPr>
              <w:t>综上所述，本项目符合《2020年挥发性有机物治理攻坚方案》（环大气〔2020〕33号）中的相关要求。</w:t>
            </w:r>
          </w:p>
          <w:p w14:paraId="4201E27B">
            <w:pPr>
              <w:spacing w:line="360" w:lineRule="auto"/>
              <w:rPr>
                <w:rFonts w:hint="default" w:ascii="Times New Roman" w:hAnsi="Times New Roman" w:cs="Times New Roman"/>
                <w:b/>
                <w:color w:val="auto"/>
                <w:szCs w:val="21"/>
              </w:rPr>
            </w:pPr>
          </w:p>
          <w:p w14:paraId="40A0A433">
            <w:pPr>
              <w:spacing w:line="360" w:lineRule="auto"/>
              <w:rPr>
                <w:rFonts w:hint="default" w:ascii="Times New Roman" w:hAnsi="Times New Roman" w:cs="Times New Roman"/>
                <w:b/>
                <w:color w:val="auto"/>
                <w:szCs w:val="21"/>
              </w:rPr>
            </w:pPr>
          </w:p>
          <w:p w14:paraId="5B6786A8">
            <w:pPr>
              <w:spacing w:line="360" w:lineRule="auto"/>
              <w:rPr>
                <w:rFonts w:hint="default" w:ascii="Times New Roman" w:hAnsi="Times New Roman" w:cs="Times New Roman"/>
                <w:b/>
                <w:color w:val="auto"/>
                <w:szCs w:val="21"/>
              </w:rPr>
            </w:pPr>
          </w:p>
          <w:p w14:paraId="618A145E">
            <w:pPr>
              <w:spacing w:line="360" w:lineRule="auto"/>
              <w:rPr>
                <w:rFonts w:hint="default" w:ascii="Times New Roman" w:hAnsi="Times New Roman" w:cs="Times New Roman"/>
                <w:b/>
                <w:color w:val="auto"/>
                <w:szCs w:val="21"/>
              </w:rPr>
            </w:pPr>
          </w:p>
          <w:p w14:paraId="136296BC">
            <w:pPr>
              <w:spacing w:line="360" w:lineRule="auto"/>
              <w:rPr>
                <w:rFonts w:hint="default" w:ascii="Times New Roman" w:hAnsi="Times New Roman" w:cs="Times New Roman"/>
                <w:b/>
                <w:color w:val="auto"/>
                <w:szCs w:val="21"/>
              </w:rPr>
            </w:pPr>
          </w:p>
          <w:p w14:paraId="1E57DDEA">
            <w:pPr>
              <w:spacing w:line="360" w:lineRule="auto"/>
              <w:rPr>
                <w:rFonts w:hint="default" w:ascii="Times New Roman" w:hAnsi="Times New Roman" w:cs="Times New Roman"/>
                <w:b/>
                <w:color w:val="auto"/>
                <w:szCs w:val="21"/>
              </w:rPr>
            </w:pPr>
          </w:p>
          <w:p w14:paraId="15F53374">
            <w:pPr>
              <w:spacing w:line="360" w:lineRule="auto"/>
              <w:rPr>
                <w:rFonts w:hint="default" w:ascii="Times New Roman" w:hAnsi="Times New Roman" w:cs="Times New Roman"/>
                <w:b/>
                <w:color w:val="auto"/>
                <w:szCs w:val="21"/>
              </w:rPr>
            </w:pPr>
          </w:p>
          <w:p w14:paraId="65BE41C9">
            <w:pPr>
              <w:spacing w:line="360" w:lineRule="auto"/>
              <w:rPr>
                <w:rFonts w:hint="default" w:ascii="Times New Roman" w:hAnsi="Times New Roman" w:cs="Times New Roman"/>
                <w:b/>
                <w:color w:val="auto"/>
                <w:szCs w:val="21"/>
              </w:rPr>
            </w:pPr>
          </w:p>
          <w:p w14:paraId="7FF61AD0">
            <w:pPr>
              <w:spacing w:line="360" w:lineRule="auto"/>
              <w:rPr>
                <w:rFonts w:hint="default" w:ascii="Times New Roman" w:hAnsi="Times New Roman" w:cs="Times New Roman"/>
                <w:b/>
                <w:color w:val="auto"/>
                <w:szCs w:val="21"/>
              </w:rPr>
            </w:pPr>
          </w:p>
          <w:p w14:paraId="539D7255">
            <w:pPr>
              <w:spacing w:line="360" w:lineRule="auto"/>
              <w:rPr>
                <w:rFonts w:hint="default" w:ascii="Times New Roman" w:hAnsi="Times New Roman" w:cs="Times New Roman"/>
                <w:b/>
                <w:color w:val="auto"/>
                <w:szCs w:val="21"/>
              </w:rPr>
            </w:pPr>
          </w:p>
          <w:p w14:paraId="6E0083B7">
            <w:pPr>
              <w:spacing w:line="360" w:lineRule="auto"/>
              <w:rPr>
                <w:rFonts w:hint="default" w:ascii="Times New Roman" w:hAnsi="Times New Roman" w:cs="Times New Roman"/>
                <w:b/>
                <w:color w:val="auto"/>
                <w:szCs w:val="21"/>
              </w:rPr>
            </w:pPr>
          </w:p>
          <w:p w14:paraId="7DD14A15">
            <w:pPr>
              <w:pStyle w:val="2"/>
              <w:spacing w:before="0" w:after="0" w:line="360" w:lineRule="auto"/>
              <w:ind w:left="0" w:firstLine="340" w:firstLineChars="200"/>
              <w:rPr>
                <w:rFonts w:hint="default" w:ascii="Times New Roman" w:hAnsi="Times New Roman" w:eastAsia="宋体" w:cs="Times New Roman"/>
                <w:b w:val="0"/>
                <w:bCs w:val="0"/>
                <w:color w:val="auto"/>
                <w:sz w:val="17"/>
                <w:szCs w:val="17"/>
              </w:rPr>
            </w:pPr>
          </w:p>
        </w:tc>
      </w:tr>
    </w:tbl>
    <w:p w14:paraId="7BE61641">
      <w:pPr>
        <w:pStyle w:val="26"/>
        <w:jc w:val="center"/>
        <w:outlineLvl w:val="0"/>
        <w:rPr>
          <w:rFonts w:hint="default" w:ascii="Times New Roman" w:hAnsi="Times New Roman" w:cs="Times New Roman"/>
          <w:snapToGrid w:val="0"/>
          <w:color w:val="auto"/>
          <w:sz w:val="30"/>
          <w:szCs w:val="30"/>
        </w:rPr>
      </w:pPr>
      <w:r>
        <w:rPr>
          <w:rFonts w:hint="default" w:ascii="Times New Roman" w:hAnsi="Times New Roman" w:cs="Times New Roman"/>
          <w:snapToGrid w:val="0"/>
          <w:color w:val="auto"/>
          <w:sz w:val="30"/>
          <w:szCs w:val="30"/>
        </w:rPr>
        <w:br w:type="page"/>
      </w:r>
      <w:r>
        <w:rPr>
          <w:rFonts w:hint="default" w:ascii="Times New Roman" w:hAnsi="Times New Roman" w:cs="Times New Roman"/>
          <w:snapToGrid w:val="0"/>
          <w:color w:val="auto"/>
          <w:sz w:val="30"/>
          <w:szCs w:val="30"/>
        </w:rPr>
        <w:t>二、建设项目工程分析</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8347"/>
      </w:tblGrid>
      <w:tr w14:paraId="1FA2B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2A63A9C4">
            <w:pPr>
              <w:pStyle w:val="26"/>
              <w:adjustRightInd w:val="0"/>
              <w:snapToGri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建设内容</w:t>
            </w:r>
          </w:p>
        </w:tc>
        <w:tc>
          <w:tcPr>
            <w:tcW w:w="8347" w:type="dxa"/>
            <w:noWrap w:val="0"/>
            <w:vAlign w:val="center"/>
          </w:tcPr>
          <w:p w14:paraId="6B2CB8FB">
            <w:pPr>
              <w:pStyle w:val="26"/>
              <w:adjustRightInd w:val="0"/>
              <w:snapToGrid w:val="0"/>
              <w:spacing w:before="0" w:beforeAutospacing="0" w:after="0" w:afterAutospacing="0" w:line="360" w:lineRule="auto"/>
              <w:jc w:val="both"/>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2.1项目由来</w:t>
            </w:r>
            <w:bookmarkStart w:id="2" w:name="_Toc34491688"/>
            <w:bookmarkStart w:id="3" w:name="_Toc34493740"/>
            <w:bookmarkStart w:id="4" w:name="_Toc34493449"/>
            <w:bookmarkStart w:id="5" w:name="_Toc34494933"/>
            <w:bookmarkStart w:id="6" w:name="_Toc34490603"/>
          </w:p>
          <w:bookmarkEnd w:id="2"/>
          <w:bookmarkEnd w:id="3"/>
          <w:bookmarkEnd w:id="4"/>
          <w:bookmarkEnd w:id="5"/>
          <w:bookmarkEnd w:id="6"/>
          <w:p w14:paraId="1632C372">
            <w:pPr>
              <w:spacing w:line="360" w:lineRule="auto"/>
              <w:ind w:firstLine="420" w:firstLineChars="200"/>
              <w:rPr>
                <w:rFonts w:hint="default" w:ascii="Times New Roman" w:hAnsi="Times New Roman" w:eastAsia="宋体" w:cs="Times New Roman"/>
                <w:b w:val="0"/>
                <w:bCs w:val="0"/>
                <w:color w:val="auto"/>
                <w:sz w:val="24"/>
              </w:rPr>
            </w:pPr>
            <w:r>
              <w:rPr>
                <w:rFonts w:hint="eastAsia" w:ascii="Times New Roman" w:hAnsi="Times New Roman" w:cs="Times New Roman"/>
                <w:color w:val="auto"/>
                <w:szCs w:val="21"/>
                <w:lang w:eastAsia="zh-CN"/>
              </w:rPr>
              <w:t>重庆恒盈塑料制品有限公司</w:t>
            </w:r>
            <w:r>
              <w:rPr>
                <w:rFonts w:hint="default" w:ascii="Times New Roman" w:hAnsi="Times New Roman" w:cs="Times New Roman"/>
                <w:color w:val="auto"/>
                <w:szCs w:val="21"/>
              </w:rPr>
              <w:t>（以下简称公司）成立于20</w:t>
            </w:r>
            <w:r>
              <w:rPr>
                <w:rFonts w:hint="eastAsia" w:ascii="Times New Roman" w:hAnsi="Times New Roman" w:cs="Times New Roman"/>
                <w:color w:val="auto"/>
                <w:szCs w:val="21"/>
                <w:lang w:val="en-US" w:eastAsia="zh-CN"/>
              </w:rPr>
              <w:t>24</w:t>
            </w:r>
            <w:r>
              <w:rPr>
                <w:rFonts w:hint="default" w:ascii="Times New Roman" w:hAnsi="Times New Roman" w:cs="Times New Roman"/>
                <w:color w:val="auto"/>
                <w:szCs w:val="21"/>
              </w:rPr>
              <w:t>年</w:t>
            </w:r>
            <w:r>
              <w:rPr>
                <w:rFonts w:hint="eastAsia" w:ascii="Times New Roman" w:hAnsi="Times New Roman" w:cs="Times New Roman"/>
                <w:color w:val="auto"/>
                <w:szCs w:val="21"/>
                <w:lang w:val="en-US" w:eastAsia="zh-CN"/>
              </w:rPr>
              <w:t>4</w:t>
            </w:r>
            <w:r>
              <w:rPr>
                <w:rFonts w:hint="default" w:ascii="Times New Roman" w:hAnsi="Times New Roman" w:cs="Times New Roman"/>
                <w:color w:val="auto"/>
                <w:szCs w:val="21"/>
              </w:rPr>
              <w:t>月，主要</w:t>
            </w:r>
            <w:r>
              <w:rPr>
                <w:rFonts w:hint="default" w:ascii="Times New Roman" w:hAnsi="Times New Roman" w:cs="Times New Roman"/>
                <w:color w:val="auto"/>
                <w:szCs w:val="21"/>
                <w:lang w:val="en-US" w:eastAsia="zh-CN"/>
              </w:rPr>
              <w:t>从事塑料产品的</w:t>
            </w:r>
            <w:r>
              <w:rPr>
                <w:rFonts w:hint="default" w:ascii="Times New Roman" w:hAnsi="Times New Roman" w:cs="Times New Roman"/>
                <w:color w:val="auto"/>
                <w:szCs w:val="21"/>
              </w:rPr>
              <w:t>生产，</w:t>
            </w:r>
            <w:r>
              <w:rPr>
                <w:rFonts w:hint="default" w:ascii="Times New Roman" w:hAnsi="Times New Roman" w:eastAsia="宋体" w:cs="Times New Roman"/>
                <w:color w:val="auto"/>
                <w:szCs w:val="21"/>
                <w:lang w:eastAsia="zh-CN"/>
              </w:rPr>
              <w:t>为满足市场需求，</w:t>
            </w:r>
            <w:bookmarkStart w:id="7" w:name="_Toc34493742"/>
            <w:bookmarkStart w:id="8" w:name="_Toc34490605"/>
            <w:bookmarkStart w:id="9" w:name="_Toc34494935"/>
            <w:bookmarkStart w:id="10" w:name="_Toc34491690"/>
            <w:bookmarkStart w:id="11" w:name="_Toc34493451"/>
            <w:r>
              <w:rPr>
                <w:rFonts w:hint="default" w:ascii="Times New Roman" w:hAnsi="Times New Roman" w:eastAsia="宋体" w:cs="Times New Roman"/>
                <w:color w:val="auto"/>
                <w:szCs w:val="21"/>
                <w:lang w:val="en-US" w:eastAsia="zh-CN"/>
              </w:rPr>
              <w:t>公司</w:t>
            </w:r>
            <w:r>
              <w:rPr>
                <w:rFonts w:hint="default" w:ascii="Times New Roman" w:hAnsi="Times New Roman" w:eastAsia="宋体" w:cs="Times New Roman"/>
                <w:color w:val="auto"/>
                <w:szCs w:val="21"/>
                <w:lang w:eastAsia="zh-CN"/>
              </w:rPr>
              <w:t>拟</w:t>
            </w:r>
            <w:r>
              <w:rPr>
                <w:rFonts w:hint="eastAsia" w:ascii="Times New Roman" w:hAnsi="Times New Roman" w:cs="Times New Roman"/>
                <w:color w:val="auto"/>
                <w:szCs w:val="21"/>
                <w:lang w:eastAsia="zh-CN"/>
              </w:rPr>
              <w:t>投资</w:t>
            </w:r>
            <w:r>
              <w:rPr>
                <w:rFonts w:hint="eastAsia" w:ascii="Times New Roman" w:hAnsi="Times New Roman" w:cs="Times New Roman"/>
                <w:color w:val="auto"/>
                <w:szCs w:val="21"/>
                <w:lang w:val="en-US" w:eastAsia="zh-CN"/>
              </w:rPr>
              <w:t>1000万元租赁重庆三花门业有限公司位于</w:t>
            </w:r>
            <w:r>
              <w:rPr>
                <w:rFonts w:hint="eastAsia" w:cs="Times New Roman"/>
                <w:color w:val="auto"/>
                <w:szCs w:val="21"/>
                <w:lang w:eastAsia="zh-CN"/>
              </w:rPr>
              <w:t>重庆市合川区南津街街道龙阳路10号1楼B区、C区厂房（南溪组团A区）</w:t>
            </w:r>
            <w:r>
              <w:rPr>
                <w:rFonts w:hint="eastAsia" w:ascii="Times New Roman" w:hAnsi="Times New Roman" w:cs="Times New Roman"/>
                <w:color w:val="auto"/>
                <w:szCs w:val="21"/>
                <w:lang w:eastAsia="zh-CN"/>
              </w:rPr>
              <w:t>建设“恒盈塑料制品生产项目”主要设置</w:t>
            </w:r>
            <w:r>
              <w:rPr>
                <w:rFonts w:hint="eastAsia" w:ascii="Times New Roman" w:hAnsi="Times New Roman" w:cs="Times New Roman"/>
                <w:color w:val="auto"/>
                <w:szCs w:val="21"/>
                <w:lang w:val="en-US" w:eastAsia="zh-CN"/>
              </w:rPr>
              <w:t>16台注塑机</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2</w:t>
            </w:r>
            <w:r>
              <w:rPr>
                <w:rFonts w:hint="default" w:ascii="Times New Roman" w:hAnsi="Times New Roman" w:cs="Times New Roman"/>
                <w:color w:val="auto"/>
                <w:szCs w:val="21"/>
                <w:lang w:val="en-US" w:eastAsia="zh-CN"/>
              </w:rPr>
              <w:t>台</w:t>
            </w:r>
            <w:r>
              <w:rPr>
                <w:rFonts w:hint="eastAsia" w:ascii="Times New Roman" w:hAnsi="Times New Roman" w:cs="Times New Roman"/>
                <w:color w:val="auto"/>
                <w:szCs w:val="21"/>
                <w:lang w:val="en-US" w:eastAsia="zh-CN"/>
              </w:rPr>
              <w:t>破碎机</w:t>
            </w:r>
            <w:r>
              <w:rPr>
                <w:rFonts w:hint="default" w:ascii="Times New Roman" w:hAnsi="Times New Roman" w:cs="Times New Roman"/>
                <w:color w:val="auto"/>
                <w:szCs w:val="21"/>
                <w:lang w:val="en-US" w:eastAsia="zh-CN"/>
              </w:rPr>
              <w:t>等设备</w:t>
            </w:r>
            <w:r>
              <w:rPr>
                <w:rFonts w:hint="default" w:ascii="Times New Roman" w:hAnsi="Times New Roman" w:cs="Times New Roman"/>
                <w:color w:val="auto"/>
                <w:lang w:val="en-US" w:eastAsia="zh-CN"/>
              </w:rPr>
              <w:t>，塑料颗粒经过</w:t>
            </w:r>
            <w:r>
              <w:rPr>
                <w:rFonts w:hint="eastAsia" w:ascii="Times New Roman" w:hAnsi="Times New Roman" w:cs="Times New Roman"/>
                <w:color w:val="auto"/>
                <w:lang w:val="en-US" w:eastAsia="zh-CN"/>
              </w:rPr>
              <w:t>注塑成型、修边、检验</w:t>
            </w:r>
            <w:r>
              <w:rPr>
                <w:rFonts w:hint="default" w:ascii="Times New Roman" w:hAnsi="Times New Roman" w:cs="Times New Roman"/>
                <w:color w:val="auto"/>
                <w:lang w:val="en-US" w:eastAsia="zh-CN"/>
              </w:rPr>
              <w:t>等工序得到最终的产品，项目建成后</w:t>
            </w:r>
            <w:r>
              <w:rPr>
                <w:rFonts w:hint="eastAsia" w:ascii="Times New Roman" w:hAnsi="Times New Roman" w:cs="Times New Roman"/>
                <w:color w:val="auto"/>
                <w:lang w:val="en-US" w:eastAsia="zh-CN"/>
              </w:rPr>
              <w:t>年产塑料电视机喇叭配件</w:t>
            </w:r>
            <w:r>
              <w:rPr>
                <w:rFonts w:hint="default" w:ascii="Times New Roman" w:hAnsi="Times New Roman" w:cs="Times New Roman"/>
                <w:color w:val="auto"/>
                <w:lang w:val="en-US" w:eastAsia="zh-CN"/>
              </w:rPr>
              <w:t>共计</w:t>
            </w:r>
            <w:r>
              <w:rPr>
                <w:rFonts w:hint="eastAsia" w:ascii="Times New Roman" w:hAnsi="Times New Roman" w:cs="Times New Roman"/>
                <w:color w:val="auto"/>
                <w:lang w:val="en-US" w:eastAsia="zh-CN"/>
              </w:rPr>
              <w:t>2000万件</w:t>
            </w:r>
            <w:r>
              <w:rPr>
                <w:rFonts w:hint="default" w:ascii="Times New Roman" w:hAnsi="Times New Roman" w:cs="Times New Roman"/>
                <w:color w:val="auto"/>
                <w:lang w:val="en-US" w:eastAsia="zh-CN"/>
              </w:rPr>
              <w:t>。</w:t>
            </w:r>
          </w:p>
          <w:p w14:paraId="3BE54FAA">
            <w:pPr>
              <w:spacing w:line="360" w:lineRule="auto"/>
              <w:ind w:firstLine="420" w:firstLineChars="200"/>
              <w:outlineLvl w:val="1"/>
              <w:rPr>
                <w:rFonts w:hint="default" w:ascii="Times New Roman" w:hAnsi="Times New Roman" w:cs="Times New Roman"/>
                <w:color w:val="auto"/>
                <w:szCs w:val="21"/>
              </w:rPr>
            </w:pPr>
            <w:r>
              <w:rPr>
                <w:rFonts w:hint="eastAsia" w:ascii="Times New Roman" w:hAnsi="Times New Roman" w:cs="Times New Roman"/>
                <w:color w:val="auto"/>
                <w:szCs w:val="21"/>
                <w:lang w:eastAsia="zh-CN"/>
              </w:rPr>
              <w:t>本项目主要通过注塑生产塑料零部件，</w:t>
            </w:r>
            <w:r>
              <w:rPr>
                <w:rFonts w:hint="default" w:ascii="Times New Roman" w:hAnsi="Times New Roman" w:cs="Times New Roman"/>
                <w:color w:val="auto"/>
                <w:szCs w:val="21"/>
              </w:rPr>
              <w:t>根据《中华人民共和国环境保护法</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中华人民共和国环境影响评价法</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建设项目环境保护管理条例》，项目应开展环境影响评价，对照《建设项目分类管理名录》（2021年版）：本项目属于</w:t>
            </w:r>
            <w:r>
              <w:rPr>
                <w:rFonts w:ascii="Times New Roman" w:hAnsi="Times New Roman"/>
                <w:color w:val="auto"/>
                <w:kern w:val="0"/>
                <w:szCs w:val="21"/>
              </w:rPr>
              <w:t>二十六、橡胶和塑料制品业29其他（年用非溶剂型低VOCs含量涂料10吨以下的除外）</w:t>
            </w:r>
            <w:r>
              <w:rPr>
                <w:rFonts w:hint="default" w:ascii="Times New Roman" w:hAnsi="Times New Roman" w:cs="Times New Roman"/>
                <w:color w:val="auto"/>
                <w:szCs w:val="21"/>
              </w:rPr>
              <w:t>，故本项目应编制环境影响报告表。</w:t>
            </w:r>
            <w:bookmarkEnd w:id="7"/>
            <w:bookmarkEnd w:id="8"/>
            <w:bookmarkEnd w:id="9"/>
            <w:bookmarkEnd w:id="10"/>
            <w:bookmarkEnd w:id="11"/>
          </w:p>
          <w:p w14:paraId="2992C971">
            <w:pPr>
              <w:pStyle w:val="26"/>
              <w:adjustRightInd w:val="0"/>
              <w:snapToGrid w:val="0"/>
              <w:spacing w:before="0" w:beforeAutospacing="0" w:after="0" w:afterAutospacing="0" w:line="360" w:lineRule="auto"/>
              <w:jc w:val="both"/>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2.2项目工程内容及建设概况</w:t>
            </w:r>
          </w:p>
          <w:p w14:paraId="4E779123">
            <w:pPr>
              <w:pStyle w:val="26"/>
              <w:adjustRightInd w:val="0"/>
              <w:snapToGrid w:val="0"/>
              <w:spacing w:before="0" w:beforeAutospacing="0" w:after="0" w:afterAutospacing="0" w:line="360" w:lineRule="auto"/>
              <w:jc w:val="both"/>
              <w:rPr>
                <w:rFonts w:hint="default" w:ascii="Times New Roman" w:hAnsi="Times New Roman" w:cs="Times New Roman"/>
                <w:b/>
                <w:color w:val="auto"/>
                <w:sz w:val="21"/>
                <w:szCs w:val="21"/>
              </w:rPr>
            </w:pPr>
            <w:bookmarkStart w:id="12" w:name="_Toc34494945"/>
            <w:bookmarkStart w:id="13" w:name="_Toc34493752"/>
            <w:bookmarkStart w:id="14" w:name="_Toc34490615"/>
            <w:bookmarkStart w:id="15" w:name="_Toc34491700"/>
            <w:r>
              <w:rPr>
                <w:rFonts w:hint="default" w:ascii="Times New Roman" w:hAnsi="Times New Roman" w:cs="Times New Roman"/>
                <w:b/>
                <w:color w:val="auto"/>
                <w:sz w:val="21"/>
                <w:szCs w:val="21"/>
              </w:rPr>
              <w:t>2.2.1项目建设概况</w:t>
            </w:r>
          </w:p>
          <w:p w14:paraId="11F00103">
            <w:pPr>
              <w:spacing w:line="360" w:lineRule="auto"/>
              <w:ind w:firstLine="422" w:firstLineChars="200"/>
              <w:outlineLvl w:val="1"/>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Cs w:val="21"/>
              </w:rPr>
              <w:t>项目名称：</w:t>
            </w:r>
            <w:bookmarkEnd w:id="12"/>
            <w:bookmarkEnd w:id="13"/>
            <w:bookmarkEnd w:id="14"/>
            <w:bookmarkEnd w:id="15"/>
            <w:bookmarkStart w:id="16" w:name="_Toc34491701"/>
            <w:bookmarkStart w:id="17" w:name="_Toc34490616"/>
            <w:bookmarkStart w:id="18" w:name="_Toc34494946"/>
            <w:bookmarkStart w:id="19" w:name="_Toc34493753"/>
            <w:r>
              <w:rPr>
                <w:rFonts w:hint="eastAsia" w:ascii="Times New Roman" w:hAnsi="Times New Roman" w:cs="Times New Roman"/>
                <w:color w:val="auto"/>
                <w:szCs w:val="21"/>
                <w:lang w:eastAsia="zh-CN"/>
              </w:rPr>
              <w:t>恒盈塑料制品生产项目</w:t>
            </w:r>
          </w:p>
          <w:p w14:paraId="7E1B3E8F">
            <w:pPr>
              <w:spacing w:line="360" w:lineRule="auto"/>
              <w:ind w:firstLine="422" w:firstLineChars="200"/>
              <w:outlineLvl w:val="1"/>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Cs w:val="21"/>
              </w:rPr>
              <w:t>建设单位：</w:t>
            </w:r>
            <w:bookmarkEnd w:id="16"/>
            <w:bookmarkEnd w:id="17"/>
            <w:bookmarkEnd w:id="18"/>
            <w:bookmarkEnd w:id="19"/>
            <w:r>
              <w:rPr>
                <w:rFonts w:hint="eastAsia" w:ascii="Times New Roman" w:hAnsi="Times New Roman" w:cs="Times New Roman"/>
                <w:color w:val="auto"/>
                <w:szCs w:val="21"/>
                <w:lang w:eastAsia="zh-CN"/>
              </w:rPr>
              <w:t>重庆恒盈塑料制品有限公司</w:t>
            </w:r>
          </w:p>
          <w:p w14:paraId="4FC46B3A">
            <w:pPr>
              <w:spacing w:line="360" w:lineRule="auto"/>
              <w:ind w:firstLine="422" w:firstLineChars="200"/>
              <w:outlineLvl w:val="1"/>
              <w:rPr>
                <w:rFonts w:hint="default" w:ascii="Times New Roman" w:hAnsi="Times New Roman" w:eastAsia="宋体" w:cs="Times New Roman"/>
                <w:b/>
                <w:color w:val="auto"/>
                <w:szCs w:val="21"/>
                <w:lang w:eastAsia="zh-CN"/>
              </w:rPr>
            </w:pPr>
            <w:bookmarkStart w:id="20" w:name="_Toc34494947"/>
            <w:bookmarkStart w:id="21" w:name="_Toc34493754"/>
            <w:bookmarkStart w:id="22" w:name="_Toc34490617"/>
            <w:bookmarkStart w:id="23" w:name="_Toc34491702"/>
            <w:r>
              <w:rPr>
                <w:rFonts w:hint="default" w:ascii="Times New Roman" w:hAnsi="Times New Roman" w:cs="Times New Roman"/>
                <w:b/>
                <w:color w:val="auto"/>
                <w:szCs w:val="21"/>
              </w:rPr>
              <w:t>建设性质：</w:t>
            </w:r>
            <w:bookmarkEnd w:id="20"/>
            <w:bookmarkEnd w:id="21"/>
            <w:bookmarkEnd w:id="22"/>
            <w:bookmarkEnd w:id="23"/>
            <w:r>
              <w:rPr>
                <w:rFonts w:hint="default" w:ascii="Times New Roman" w:hAnsi="Times New Roman" w:cs="Times New Roman"/>
                <w:color w:val="auto"/>
                <w:szCs w:val="21"/>
              </w:rPr>
              <w:t>新建</w:t>
            </w:r>
          </w:p>
          <w:p w14:paraId="7645FF84">
            <w:pPr>
              <w:spacing w:line="360" w:lineRule="auto"/>
              <w:ind w:firstLine="422" w:firstLineChars="200"/>
              <w:outlineLvl w:val="1"/>
              <w:rPr>
                <w:rFonts w:hint="default" w:ascii="Times New Roman" w:hAnsi="Times New Roman" w:eastAsia="宋体" w:cs="Times New Roman"/>
                <w:color w:val="auto"/>
                <w:szCs w:val="21"/>
                <w:lang w:eastAsia="zh-CN"/>
              </w:rPr>
            </w:pPr>
            <w:bookmarkStart w:id="24" w:name="_Toc34493755"/>
            <w:bookmarkStart w:id="25" w:name="_Toc34491703"/>
            <w:bookmarkStart w:id="26" w:name="_Toc34490618"/>
            <w:bookmarkStart w:id="27" w:name="_Toc34494948"/>
            <w:r>
              <w:rPr>
                <w:rFonts w:hint="default" w:ascii="Times New Roman" w:hAnsi="Times New Roman" w:cs="Times New Roman"/>
                <w:b/>
                <w:color w:val="auto"/>
                <w:szCs w:val="21"/>
              </w:rPr>
              <w:t>建设地点：</w:t>
            </w:r>
            <w:bookmarkEnd w:id="24"/>
            <w:bookmarkEnd w:id="25"/>
            <w:bookmarkEnd w:id="26"/>
            <w:bookmarkEnd w:id="27"/>
            <w:bookmarkStart w:id="28" w:name="_Toc34491704"/>
            <w:bookmarkStart w:id="29" w:name="_Toc34494949"/>
            <w:bookmarkStart w:id="30" w:name="_Toc34493756"/>
            <w:bookmarkStart w:id="31" w:name="_Toc34490619"/>
            <w:r>
              <w:rPr>
                <w:rFonts w:hint="eastAsia" w:cs="Times New Roman"/>
                <w:color w:val="auto"/>
                <w:szCs w:val="21"/>
                <w:lang w:eastAsia="zh-CN"/>
              </w:rPr>
              <w:t>重庆市合川区南津街街道龙阳路10号1楼B区、C区厂房（南溪组团A区）</w:t>
            </w:r>
          </w:p>
          <w:p w14:paraId="73CD920F">
            <w:pPr>
              <w:spacing w:line="360" w:lineRule="auto"/>
              <w:ind w:firstLine="422" w:firstLineChars="200"/>
              <w:outlineLvl w:val="1"/>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Cs w:val="21"/>
              </w:rPr>
              <w:t>国民经济行业类别：</w:t>
            </w:r>
            <w:bookmarkEnd w:id="28"/>
            <w:bookmarkEnd w:id="29"/>
            <w:bookmarkEnd w:id="30"/>
            <w:bookmarkEnd w:id="31"/>
            <w:bookmarkStart w:id="32" w:name="_Toc34490620"/>
            <w:bookmarkStart w:id="33" w:name="_Toc34494950"/>
            <w:bookmarkStart w:id="34" w:name="_Toc34493757"/>
            <w:bookmarkStart w:id="35" w:name="_Toc34491705"/>
            <w:r>
              <w:rPr>
                <w:rFonts w:hint="eastAsia" w:ascii="Times New Roman" w:hAnsi="Times New Roman" w:cs="Times New Roman"/>
                <w:color w:val="auto"/>
                <w:spacing w:val="-6"/>
                <w:szCs w:val="21"/>
                <w:lang w:eastAsia="zh-CN"/>
              </w:rPr>
              <w:t>C2929塑料零件及其他塑料制品制造</w:t>
            </w:r>
          </w:p>
          <w:p w14:paraId="72536581">
            <w:pPr>
              <w:spacing w:line="360" w:lineRule="auto"/>
              <w:ind w:firstLine="422" w:firstLineChars="200"/>
              <w:outlineLvl w:val="1"/>
              <w:rPr>
                <w:rFonts w:hint="default" w:ascii="Times New Roman" w:hAnsi="Times New Roman" w:cs="Times New Roman"/>
                <w:b w:val="0"/>
                <w:bCs/>
                <w:color w:val="auto"/>
                <w:szCs w:val="21"/>
              </w:rPr>
            </w:pPr>
            <w:r>
              <w:rPr>
                <w:rFonts w:hint="default" w:ascii="Times New Roman" w:hAnsi="Times New Roman" w:cs="Times New Roman"/>
                <w:b/>
                <w:color w:val="auto"/>
                <w:szCs w:val="21"/>
              </w:rPr>
              <w:t>建设项目行业类别：</w:t>
            </w:r>
            <w:r>
              <w:rPr>
                <w:rFonts w:hint="default" w:ascii="Times New Roman" w:hAnsi="Times New Roman" w:cs="Times New Roman"/>
                <w:b w:val="0"/>
                <w:bCs/>
                <w:color w:val="auto"/>
                <w:szCs w:val="21"/>
              </w:rPr>
              <w:t>二十六、橡胶和塑料制品业29其他（年用非溶剂型低VOCs含量涂料10吨以下的除外）</w:t>
            </w:r>
          </w:p>
          <w:p w14:paraId="26F77B13">
            <w:pPr>
              <w:spacing w:line="360" w:lineRule="auto"/>
              <w:ind w:firstLine="422" w:firstLineChars="200"/>
              <w:outlineLvl w:val="1"/>
              <w:rPr>
                <w:rFonts w:hint="default" w:ascii="Times New Roman" w:hAnsi="Times New Roman" w:cs="Times New Roman"/>
                <w:bCs/>
                <w:color w:val="auto"/>
                <w:szCs w:val="21"/>
                <w:lang w:val="en-US" w:eastAsia="zh-CN"/>
              </w:rPr>
            </w:pPr>
            <w:r>
              <w:rPr>
                <w:rFonts w:hint="default" w:ascii="Times New Roman" w:hAnsi="Times New Roman" w:cs="Times New Roman"/>
                <w:b/>
                <w:color w:val="auto"/>
                <w:szCs w:val="21"/>
              </w:rPr>
              <w:t>建设内容及生产规模：</w:t>
            </w:r>
            <w:r>
              <w:rPr>
                <w:rFonts w:hint="eastAsia" w:ascii="Times New Roman" w:hAnsi="Times New Roman" w:cs="Times New Roman"/>
                <w:b w:val="0"/>
                <w:bCs/>
                <w:color w:val="auto"/>
                <w:szCs w:val="21"/>
                <w:lang w:val="en-US" w:eastAsia="zh-CN"/>
              </w:rPr>
              <w:t>项目租赁重庆三花门业有限公司位于</w:t>
            </w:r>
            <w:r>
              <w:rPr>
                <w:rFonts w:hint="eastAsia" w:cs="Times New Roman"/>
                <w:b w:val="0"/>
                <w:bCs/>
                <w:color w:val="auto"/>
                <w:szCs w:val="21"/>
                <w:lang w:val="en-US" w:eastAsia="zh-CN"/>
              </w:rPr>
              <w:t>重庆市合川区南津街街道龙阳路10号1楼B区、C区厂房</w:t>
            </w:r>
            <w:bookmarkStart w:id="58" w:name="_GoBack"/>
            <w:bookmarkEnd w:id="58"/>
            <w:r>
              <w:rPr>
                <w:rFonts w:hint="eastAsia" w:cs="Times New Roman"/>
                <w:b w:val="0"/>
                <w:bCs/>
                <w:color w:val="auto"/>
                <w:szCs w:val="21"/>
                <w:lang w:val="en-US" w:eastAsia="zh-CN"/>
              </w:rPr>
              <w:t>（南溪组团A区）</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租赁面积1500m</w:t>
            </w:r>
            <w:r>
              <w:rPr>
                <w:rFonts w:hint="eastAsia"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vertAlign w:val="baseline"/>
                <w:lang w:val="en-US" w:eastAsia="zh-CN"/>
              </w:rPr>
              <w:t>，主</w:t>
            </w:r>
            <w:r>
              <w:rPr>
                <w:rFonts w:hint="eastAsia" w:ascii="Times New Roman" w:hAnsi="Times New Roman" w:cs="Times New Roman"/>
                <w:color w:val="auto"/>
                <w:szCs w:val="21"/>
                <w:lang w:val="en-US" w:eastAsia="zh-CN"/>
              </w:rPr>
              <w:t>要设置16台注塑机、2台破碎机等</w:t>
            </w:r>
            <w:r>
              <w:rPr>
                <w:rFonts w:hint="default" w:ascii="Times New Roman" w:hAnsi="Times New Roman" w:cs="Times New Roman"/>
                <w:color w:val="auto"/>
                <w:szCs w:val="21"/>
                <w:lang w:val="en-US" w:eastAsia="zh-CN"/>
              </w:rPr>
              <w:t>设备，</w:t>
            </w:r>
            <w:bookmarkEnd w:id="32"/>
            <w:bookmarkEnd w:id="33"/>
            <w:bookmarkEnd w:id="34"/>
            <w:bookmarkEnd w:id="35"/>
            <w:bookmarkStart w:id="36" w:name="_Toc34490621"/>
            <w:bookmarkStart w:id="37" w:name="_Toc34493758"/>
            <w:bookmarkStart w:id="38" w:name="_Toc34494951"/>
            <w:bookmarkStart w:id="39" w:name="_Toc34491706"/>
            <w:r>
              <w:rPr>
                <w:rFonts w:hint="default" w:ascii="Times New Roman" w:hAnsi="Times New Roman" w:cs="Times New Roman"/>
                <w:color w:val="auto"/>
                <w:lang w:val="en-US" w:eastAsia="zh-CN"/>
              </w:rPr>
              <w:t>塑料颗粒经过</w:t>
            </w:r>
            <w:r>
              <w:rPr>
                <w:rFonts w:hint="eastAsia" w:ascii="Times New Roman" w:hAnsi="Times New Roman" w:cs="Times New Roman"/>
                <w:color w:val="auto"/>
                <w:lang w:val="en-US" w:eastAsia="zh-CN"/>
              </w:rPr>
              <w:t>注塑成型、修边、检验</w:t>
            </w:r>
            <w:r>
              <w:rPr>
                <w:rFonts w:hint="default" w:ascii="Times New Roman" w:hAnsi="Times New Roman" w:cs="Times New Roman"/>
                <w:color w:val="auto"/>
                <w:lang w:val="en-US" w:eastAsia="zh-CN"/>
              </w:rPr>
              <w:t>等工序得到最终的产品，项目建成后</w:t>
            </w:r>
            <w:r>
              <w:rPr>
                <w:rFonts w:hint="eastAsia" w:ascii="Times New Roman" w:hAnsi="Times New Roman" w:cs="Times New Roman"/>
                <w:color w:val="auto"/>
                <w:lang w:val="en-US" w:eastAsia="zh-CN"/>
              </w:rPr>
              <w:t>年产塑料电视机喇叭配件</w:t>
            </w:r>
            <w:r>
              <w:rPr>
                <w:rFonts w:hint="default" w:ascii="Times New Roman" w:hAnsi="Times New Roman" w:cs="Times New Roman"/>
                <w:color w:val="auto"/>
                <w:lang w:val="en-US" w:eastAsia="zh-CN"/>
              </w:rPr>
              <w:t>共计</w:t>
            </w:r>
            <w:r>
              <w:rPr>
                <w:rFonts w:hint="eastAsia" w:ascii="Times New Roman" w:hAnsi="Times New Roman" w:cs="Times New Roman"/>
                <w:color w:val="auto"/>
                <w:lang w:val="en-US" w:eastAsia="zh-CN"/>
              </w:rPr>
              <w:t>2000万件</w:t>
            </w:r>
            <w:r>
              <w:rPr>
                <w:rFonts w:hint="default" w:ascii="Times New Roman" w:hAnsi="Times New Roman" w:cs="Times New Roman"/>
                <w:color w:val="auto"/>
                <w:lang w:val="en-US" w:eastAsia="zh-CN"/>
              </w:rPr>
              <w:t>。</w:t>
            </w:r>
          </w:p>
          <w:p w14:paraId="71D0ECD0">
            <w:pPr>
              <w:spacing w:line="360" w:lineRule="auto"/>
              <w:ind w:firstLine="422" w:firstLineChars="200"/>
              <w:outlineLvl w:val="1"/>
              <w:rPr>
                <w:rFonts w:hint="default" w:ascii="Times New Roman" w:hAnsi="Times New Roman" w:cs="Times New Roman"/>
                <w:b/>
                <w:color w:val="auto"/>
                <w:szCs w:val="21"/>
              </w:rPr>
            </w:pPr>
            <w:r>
              <w:rPr>
                <w:rFonts w:hint="default" w:ascii="Times New Roman" w:hAnsi="Times New Roman" w:cs="Times New Roman"/>
                <w:b/>
                <w:color w:val="auto"/>
                <w:szCs w:val="21"/>
              </w:rPr>
              <w:t>项目投资</w:t>
            </w:r>
            <w:r>
              <w:rPr>
                <w:rFonts w:hint="default" w:ascii="Times New Roman" w:hAnsi="Times New Roman" w:cs="Times New Roman"/>
                <w:color w:val="auto"/>
                <w:szCs w:val="21"/>
              </w:rPr>
              <w:t>：总投资</w:t>
            </w:r>
            <w:r>
              <w:rPr>
                <w:rFonts w:hint="eastAsia" w:ascii="Times New Roman" w:hAnsi="Times New Roman" w:cs="Times New Roman"/>
                <w:color w:val="auto"/>
                <w:szCs w:val="21"/>
                <w:lang w:eastAsia="zh-CN"/>
              </w:rPr>
              <w:t>1000万</w:t>
            </w:r>
            <w:r>
              <w:rPr>
                <w:rFonts w:hint="default" w:ascii="Times New Roman" w:hAnsi="Times New Roman" w:cs="Times New Roman"/>
                <w:color w:val="auto"/>
                <w:szCs w:val="21"/>
              </w:rPr>
              <w:t>元，其中环保投资50万元，占总投资的</w:t>
            </w:r>
            <w:r>
              <w:rPr>
                <w:rFonts w:hint="eastAsia" w:ascii="Times New Roman" w:hAnsi="Times New Roman" w:cs="Times New Roman"/>
                <w:color w:val="auto"/>
                <w:szCs w:val="21"/>
                <w:lang w:val="en-US" w:eastAsia="zh-CN"/>
              </w:rPr>
              <w:t>5</w:t>
            </w:r>
            <w:r>
              <w:rPr>
                <w:rFonts w:hint="default" w:ascii="Times New Roman" w:hAnsi="Times New Roman" w:cs="Times New Roman"/>
                <w:color w:val="auto"/>
                <w:szCs w:val="21"/>
              </w:rPr>
              <w:t>%</w:t>
            </w:r>
            <w:bookmarkEnd w:id="36"/>
            <w:bookmarkEnd w:id="37"/>
            <w:bookmarkEnd w:id="38"/>
            <w:bookmarkEnd w:id="39"/>
          </w:p>
          <w:p w14:paraId="5312CC45">
            <w:pPr>
              <w:spacing w:line="360" w:lineRule="auto"/>
              <w:ind w:firstLine="422" w:firstLineChars="200"/>
              <w:outlineLvl w:val="1"/>
              <w:rPr>
                <w:rFonts w:hint="default" w:ascii="Times New Roman" w:hAnsi="Times New Roman" w:cs="Times New Roman"/>
                <w:color w:val="auto"/>
                <w:kern w:val="0"/>
                <w:szCs w:val="21"/>
              </w:rPr>
            </w:pPr>
            <w:bookmarkStart w:id="40" w:name="_Toc34493761"/>
            <w:bookmarkStart w:id="41" w:name="_Toc34494954"/>
            <w:bookmarkStart w:id="42" w:name="_Toc34491709"/>
            <w:bookmarkStart w:id="43" w:name="_Toc34490624"/>
            <w:r>
              <w:rPr>
                <w:rFonts w:hint="default" w:ascii="Times New Roman" w:hAnsi="Times New Roman" w:cs="Times New Roman"/>
                <w:b/>
                <w:color w:val="auto"/>
                <w:szCs w:val="21"/>
              </w:rPr>
              <w:t>建设工期：</w:t>
            </w:r>
            <w:r>
              <w:rPr>
                <w:rFonts w:hint="default" w:ascii="Times New Roman" w:hAnsi="Times New Roman" w:cs="Times New Roman"/>
                <w:color w:val="auto"/>
                <w:kern w:val="0"/>
                <w:szCs w:val="21"/>
              </w:rPr>
              <w:t>3个月。</w:t>
            </w:r>
            <w:bookmarkEnd w:id="40"/>
            <w:bookmarkEnd w:id="41"/>
            <w:bookmarkEnd w:id="42"/>
            <w:bookmarkEnd w:id="43"/>
            <w:bookmarkStart w:id="44" w:name="_Toc34493762"/>
            <w:bookmarkStart w:id="45" w:name="_Toc34491710"/>
            <w:bookmarkStart w:id="46" w:name="_Toc34490625"/>
            <w:bookmarkStart w:id="47" w:name="_Toc34494955"/>
          </w:p>
          <w:p w14:paraId="35568F60">
            <w:pPr>
              <w:spacing w:line="360" w:lineRule="auto"/>
              <w:ind w:firstLine="422" w:firstLineChars="200"/>
              <w:outlineLvl w:val="1"/>
              <w:rPr>
                <w:rFonts w:hint="default" w:ascii="Times New Roman" w:hAnsi="Times New Roman" w:cs="Times New Roman"/>
                <w:b/>
                <w:color w:val="auto"/>
                <w:szCs w:val="21"/>
              </w:rPr>
            </w:pPr>
            <w:r>
              <w:rPr>
                <w:rFonts w:hint="default" w:ascii="Times New Roman" w:hAnsi="Times New Roman" w:cs="Times New Roman"/>
                <w:b/>
                <w:color w:val="auto"/>
                <w:szCs w:val="21"/>
              </w:rPr>
              <w:t>项目产品及产能：</w:t>
            </w:r>
          </w:p>
          <w:p w14:paraId="49495B95">
            <w:pPr>
              <w:spacing w:line="360" w:lineRule="auto"/>
              <w:ind w:firstLine="420" w:firstLineChars="200"/>
              <w:outlineLvl w:val="1"/>
              <w:rPr>
                <w:rFonts w:hint="default" w:ascii="Times New Roman" w:hAnsi="Times New Roman" w:cs="Times New Roman"/>
                <w:b/>
                <w:color w:val="auto"/>
                <w:sz w:val="21"/>
                <w:szCs w:val="21"/>
              </w:rPr>
            </w:pPr>
            <w:r>
              <w:rPr>
                <w:rFonts w:hint="eastAsia" w:eastAsia="宋体"/>
                <w:color w:val="auto"/>
                <w:sz w:val="21"/>
                <w:szCs w:val="21"/>
                <w:lang w:val="en-US" w:eastAsia="zh-CN"/>
              </w:rPr>
              <w:t>本项目主要通过注塑工艺生产电视机喇叭配件，产品外售喇叭生产厂商；</w:t>
            </w:r>
          </w:p>
          <w:p w14:paraId="2261CBC8">
            <w:pPr>
              <w:adjustRightInd w:val="0"/>
              <w:snapToGrid w:val="0"/>
              <w:ind w:firstLine="422" w:firstLineChars="200"/>
              <w:jc w:val="center"/>
              <w:outlineLvl w:val="1"/>
              <w:rPr>
                <w:rFonts w:hint="default" w:ascii="Times New Roman" w:hAnsi="Times New Roman" w:cs="Times New Roman"/>
                <w:b/>
                <w:color w:val="auto"/>
                <w:szCs w:val="21"/>
              </w:rPr>
            </w:pPr>
          </w:p>
          <w:p w14:paraId="0D858098">
            <w:pPr>
              <w:adjustRightInd w:val="0"/>
              <w:snapToGrid w:val="0"/>
              <w:ind w:firstLine="422" w:firstLineChars="200"/>
              <w:jc w:val="center"/>
              <w:outlineLvl w:val="1"/>
              <w:rPr>
                <w:rFonts w:hint="default" w:ascii="Times New Roman" w:hAnsi="Times New Roman" w:cs="Times New Roman"/>
                <w:b/>
                <w:color w:val="auto"/>
                <w:szCs w:val="21"/>
              </w:rPr>
            </w:pPr>
          </w:p>
          <w:p w14:paraId="2C4FE3CF">
            <w:pPr>
              <w:adjustRightInd w:val="0"/>
              <w:snapToGrid w:val="0"/>
              <w:ind w:firstLine="422" w:firstLineChars="200"/>
              <w:jc w:val="center"/>
              <w:outlineLvl w:val="1"/>
              <w:rPr>
                <w:rFonts w:hint="default" w:ascii="Times New Roman" w:hAnsi="Times New Roman" w:cs="Times New Roman"/>
                <w:b/>
                <w:color w:val="auto"/>
                <w:szCs w:val="21"/>
              </w:rPr>
            </w:pPr>
          </w:p>
          <w:p w14:paraId="0FE8493A">
            <w:pPr>
              <w:adjustRightInd w:val="0"/>
              <w:snapToGrid w:val="0"/>
              <w:ind w:firstLine="422" w:firstLineChars="200"/>
              <w:jc w:val="center"/>
              <w:outlineLvl w:val="1"/>
              <w:rPr>
                <w:rFonts w:hint="default" w:ascii="Times New Roman" w:hAnsi="Times New Roman" w:cs="Times New Roman"/>
                <w:b/>
                <w:color w:val="auto"/>
                <w:szCs w:val="21"/>
              </w:rPr>
            </w:pPr>
          </w:p>
          <w:p w14:paraId="1E7C78EE">
            <w:pPr>
              <w:adjustRightInd w:val="0"/>
              <w:snapToGrid w:val="0"/>
              <w:ind w:firstLine="422" w:firstLineChars="200"/>
              <w:jc w:val="center"/>
              <w:outlineLvl w:val="1"/>
              <w:rPr>
                <w:rFonts w:hint="default" w:ascii="Times New Roman" w:hAnsi="Times New Roman" w:cs="Times New Roman"/>
                <w:b/>
                <w:color w:val="auto"/>
                <w:szCs w:val="21"/>
              </w:rPr>
            </w:pPr>
            <w:r>
              <w:rPr>
                <w:rFonts w:hint="default" w:ascii="Times New Roman" w:hAnsi="Times New Roman" w:cs="Times New Roman"/>
                <w:b/>
                <w:color w:val="auto"/>
                <w:szCs w:val="21"/>
              </w:rPr>
              <w:t>表2-1  产品方案及产能情况一览表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5"/>
              <w:gridCol w:w="594"/>
              <w:gridCol w:w="657"/>
              <w:gridCol w:w="481"/>
              <w:gridCol w:w="1241"/>
              <w:gridCol w:w="666"/>
              <w:gridCol w:w="771"/>
              <w:gridCol w:w="3293"/>
            </w:tblGrid>
            <w:tr w14:paraId="4E1D5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pct"/>
                  <w:gridSpan w:val="2"/>
                  <w:tcBorders>
                    <w:tl2br w:val="nil"/>
                    <w:tr2bl w:val="nil"/>
                  </w:tcBorders>
                  <w:noWrap w:val="0"/>
                  <w:vAlign w:val="center"/>
                </w:tcPr>
                <w:p w14:paraId="034BD881">
                  <w:pPr>
                    <w:tabs>
                      <w:tab w:val="left" w:pos="2835"/>
                    </w:tabs>
                    <w:snapToGrid w:val="0"/>
                    <w:jc w:val="center"/>
                    <w:rPr>
                      <w:b/>
                      <w:bCs/>
                      <w:color w:val="auto"/>
                      <w:sz w:val="18"/>
                      <w:szCs w:val="18"/>
                    </w:rPr>
                  </w:pPr>
                  <w:r>
                    <w:rPr>
                      <w:b/>
                      <w:bCs/>
                      <w:color w:val="auto"/>
                      <w:sz w:val="18"/>
                      <w:szCs w:val="18"/>
                    </w:rPr>
                    <w:t>产品</w:t>
                  </w:r>
                </w:p>
              </w:tc>
              <w:tc>
                <w:tcPr>
                  <w:tcW w:w="405" w:type="pct"/>
                  <w:tcBorders>
                    <w:tl2br w:val="nil"/>
                    <w:tr2bl w:val="nil"/>
                  </w:tcBorders>
                  <w:noWrap w:val="0"/>
                  <w:vAlign w:val="center"/>
                </w:tcPr>
                <w:p w14:paraId="1A3EF727">
                  <w:pPr>
                    <w:tabs>
                      <w:tab w:val="left" w:pos="2835"/>
                    </w:tabs>
                    <w:snapToGrid w:val="0"/>
                    <w:jc w:val="center"/>
                    <w:rPr>
                      <w:rFonts w:hint="default" w:eastAsia="宋体"/>
                      <w:b/>
                      <w:bCs/>
                      <w:color w:val="auto"/>
                      <w:sz w:val="18"/>
                      <w:szCs w:val="18"/>
                      <w:lang w:val="en-US" w:eastAsia="zh-CN"/>
                    </w:rPr>
                  </w:pPr>
                  <w:r>
                    <w:rPr>
                      <w:b/>
                      <w:bCs/>
                      <w:color w:val="auto"/>
                      <w:sz w:val="18"/>
                      <w:szCs w:val="18"/>
                    </w:rPr>
                    <w:t>年产量</w:t>
                  </w:r>
                  <w:r>
                    <w:rPr>
                      <w:rFonts w:hint="eastAsia"/>
                      <w:b/>
                      <w:bCs/>
                      <w:color w:val="auto"/>
                      <w:sz w:val="18"/>
                      <w:szCs w:val="18"/>
                      <w:lang w:eastAsia="zh-CN"/>
                    </w:rPr>
                    <w:t>（</w:t>
                  </w:r>
                  <w:r>
                    <w:rPr>
                      <w:rFonts w:hint="eastAsia"/>
                      <w:b/>
                      <w:bCs/>
                      <w:color w:val="auto"/>
                      <w:sz w:val="18"/>
                      <w:szCs w:val="18"/>
                      <w:lang w:val="en-US" w:eastAsia="zh-CN"/>
                    </w:rPr>
                    <w:t>万件/a</w:t>
                  </w:r>
                  <w:r>
                    <w:rPr>
                      <w:rFonts w:hint="eastAsia"/>
                      <w:b/>
                      <w:bCs/>
                      <w:color w:val="auto"/>
                      <w:sz w:val="18"/>
                      <w:szCs w:val="18"/>
                      <w:lang w:eastAsia="zh-CN"/>
                    </w:rPr>
                    <w:t>）</w:t>
                  </w:r>
                </w:p>
              </w:tc>
              <w:tc>
                <w:tcPr>
                  <w:tcW w:w="296" w:type="pct"/>
                  <w:tcBorders>
                    <w:tl2br w:val="nil"/>
                    <w:tr2bl w:val="nil"/>
                  </w:tcBorders>
                  <w:noWrap w:val="0"/>
                  <w:vAlign w:val="center"/>
                </w:tcPr>
                <w:p w14:paraId="251923F7">
                  <w:pPr>
                    <w:tabs>
                      <w:tab w:val="left" w:pos="2835"/>
                    </w:tabs>
                    <w:snapToGrid w:val="0"/>
                    <w:jc w:val="center"/>
                    <w:rPr>
                      <w:rFonts w:hint="default" w:eastAsia="宋体"/>
                      <w:b/>
                      <w:bCs/>
                      <w:color w:val="auto"/>
                      <w:sz w:val="18"/>
                      <w:szCs w:val="18"/>
                      <w:lang w:val="en-US" w:eastAsia="zh-CN"/>
                    </w:rPr>
                  </w:pPr>
                  <w:r>
                    <w:rPr>
                      <w:rFonts w:hint="eastAsia"/>
                      <w:b/>
                      <w:bCs/>
                      <w:color w:val="auto"/>
                      <w:sz w:val="18"/>
                      <w:szCs w:val="18"/>
                      <w:lang w:val="en-US" w:eastAsia="zh-CN"/>
                    </w:rPr>
                    <w:t>原料</w:t>
                  </w:r>
                </w:p>
              </w:tc>
              <w:tc>
                <w:tcPr>
                  <w:tcW w:w="766" w:type="pct"/>
                  <w:tcBorders>
                    <w:tl2br w:val="nil"/>
                    <w:tr2bl w:val="nil"/>
                  </w:tcBorders>
                  <w:noWrap w:val="0"/>
                  <w:vAlign w:val="center"/>
                </w:tcPr>
                <w:p w14:paraId="56CFE34D">
                  <w:pPr>
                    <w:tabs>
                      <w:tab w:val="left" w:pos="2835"/>
                    </w:tabs>
                    <w:snapToGrid w:val="0"/>
                    <w:jc w:val="center"/>
                    <w:rPr>
                      <w:rFonts w:hint="eastAsia" w:eastAsia="宋体"/>
                      <w:b/>
                      <w:bCs/>
                      <w:color w:val="auto"/>
                      <w:sz w:val="18"/>
                      <w:szCs w:val="18"/>
                      <w:lang w:eastAsia="zh-CN"/>
                    </w:rPr>
                  </w:pPr>
                  <w:r>
                    <w:rPr>
                      <w:rFonts w:hint="eastAsia"/>
                      <w:b/>
                      <w:bCs/>
                      <w:color w:val="auto"/>
                      <w:sz w:val="18"/>
                      <w:szCs w:val="18"/>
                    </w:rPr>
                    <w:t>产品</w:t>
                  </w:r>
                  <w:r>
                    <w:rPr>
                      <w:b/>
                      <w:bCs/>
                      <w:color w:val="auto"/>
                      <w:sz w:val="18"/>
                      <w:szCs w:val="18"/>
                    </w:rPr>
                    <w:t>规格</w:t>
                  </w:r>
                  <w:r>
                    <w:rPr>
                      <w:rFonts w:hint="eastAsia"/>
                      <w:b/>
                      <w:bCs/>
                      <w:color w:val="auto"/>
                      <w:sz w:val="18"/>
                      <w:szCs w:val="18"/>
                      <w:lang w:eastAsia="zh-CN"/>
                    </w:rPr>
                    <w:t>（</w:t>
                  </w:r>
                  <w:r>
                    <w:rPr>
                      <w:rFonts w:hint="eastAsia"/>
                      <w:b/>
                      <w:bCs/>
                      <w:color w:val="auto"/>
                      <w:sz w:val="18"/>
                      <w:szCs w:val="18"/>
                      <w:lang w:val="en-US" w:eastAsia="zh-CN"/>
                    </w:rPr>
                    <w:t>mm</w:t>
                  </w:r>
                  <w:r>
                    <w:rPr>
                      <w:rFonts w:hint="eastAsia"/>
                      <w:b/>
                      <w:bCs/>
                      <w:color w:val="auto"/>
                      <w:sz w:val="18"/>
                      <w:szCs w:val="18"/>
                      <w:lang w:eastAsia="zh-CN"/>
                    </w:rPr>
                    <w:t>）</w:t>
                  </w:r>
                </w:p>
              </w:tc>
              <w:tc>
                <w:tcPr>
                  <w:tcW w:w="411" w:type="pct"/>
                  <w:tcBorders>
                    <w:tl2br w:val="nil"/>
                    <w:tr2bl w:val="nil"/>
                  </w:tcBorders>
                  <w:noWrap w:val="0"/>
                  <w:vAlign w:val="center"/>
                </w:tcPr>
                <w:p w14:paraId="30DCE251">
                  <w:pPr>
                    <w:tabs>
                      <w:tab w:val="left" w:pos="2835"/>
                    </w:tabs>
                    <w:snapToGrid w:val="0"/>
                    <w:jc w:val="center"/>
                    <w:rPr>
                      <w:rFonts w:hint="default" w:eastAsia="宋体"/>
                      <w:b/>
                      <w:bCs/>
                      <w:color w:val="auto"/>
                      <w:sz w:val="18"/>
                      <w:szCs w:val="18"/>
                      <w:lang w:val="en-US" w:eastAsia="zh-CN"/>
                    </w:rPr>
                  </w:pPr>
                  <w:r>
                    <w:rPr>
                      <w:rFonts w:hint="eastAsia"/>
                      <w:b/>
                      <w:bCs/>
                      <w:color w:val="auto"/>
                      <w:sz w:val="18"/>
                      <w:szCs w:val="18"/>
                      <w:lang w:val="en-US" w:eastAsia="zh-CN"/>
                    </w:rPr>
                    <w:t>单件产品重量（g）</w:t>
                  </w:r>
                </w:p>
              </w:tc>
              <w:tc>
                <w:tcPr>
                  <w:tcW w:w="476" w:type="pct"/>
                  <w:tcBorders>
                    <w:tl2br w:val="nil"/>
                    <w:tr2bl w:val="nil"/>
                  </w:tcBorders>
                  <w:noWrap w:val="0"/>
                  <w:vAlign w:val="center"/>
                </w:tcPr>
                <w:p w14:paraId="5A8DD0C3">
                  <w:pPr>
                    <w:tabs>
                      <w:tab w:val="left" w:pos="2835"/>
                    </w:tabs>
                    <w:snapToGrid w:val="0"/>
                    <w:jc w:val="center"/>
                    <w:rPr>
                      <w:rFonts w:hint="eastAsia" w:eastAsia="宋体"/>
                      <w:b/>
                      <w:bCs/>
                      <w:color w:val="auto"/>
                      <w:sz w:val="18"/>
                      <w:szCs w:val="18"/>
                      <w:lang w:eastAsia="zh-CN"/>
                    </w:rPr>
                  </w:pPr>
                  <w:r>
                    <w:rPr>
                      <w:rFonts w:hint="default" w:ascii="Times New Roman" w:hAnsi="Times New Roman" w:eastAsia="宋体" w:cs="Times New Roman"/>
                      <w:b/>
                      <w:bCs/>
                      <w:color w:val="auto"/>
                      <w:sz w:val="18"/>
                      <w:szCs w:val="18"/>
                      <w:lang w:val="en-US" w:eastAsia="zh-CN"/>
                    </w:rPr>
                    <w:t>原料用量（t/a）</w:t>
                  </w:r>
                </w:p>
              </w:tc>
              <w:tc>
                <w:tcPr>
                  <w:tcW w:w="2033" w:type="pct"/>
                  <w:tcBorders>
                    <w:tl2br w:val="nil"/>
                    <w:tr2bl w:val="nil"/>
                  </w:tcBorders>
                  <w:shd w:val="clear" w:color="auto" w:fill="auto"/>
                  <w:noWrap w:val="0"/>
                  <w:vAlign w:val="center"/>
                </w:tcPr>
                <w:p w14:paraId="118CB74D">
                  <w:pPr>
                    <w:tabs>
                      <w:tab w:val="left" w:pos="2835"/>
                    </w:tabs>
                    <w:snapToGrid w:val="0"/>
                    <w:jc w:val="center"/>
                    <w:rPr>
                      <w:rFonts w:hint="eastAsia" w:ascii="Times New Roman" w:hAnsi="Times New Roman" w:eastAsia="宋体" w:cs="Times New Roman"/>
                      <w:b/>
                      <w:bCs/>
                      <w:color w:val="auto"/>
                      <w:kern w:val="2"/>
                      <w:sz w:val="18"/>
                      <w:szCs w:val="18"/>
                      <w:lang w:val="en-US" w:eastAsia="zh-CN" w:bidi="ar-SA"/>
                    </w:rPr>
                  </w:pPr>
                  <w:r>
                    <w:rPr>
                      <w:rFonts w:hint="eastAsia"/>
                      <w:b/>
                      <w:bCs/>
                      <w:color w:val="auto"/>
                      <w:sz w:val="18"/>
                      <w:szCs w:val="18"/>
                    </w:rPr>
                    <w:t>产品</w:t>
                  </w:r>
                  <w:r>
                    <w:rPr>
                      <w:rFonts w:hint="eastAsia"/>
                      <w:b/>
                      <w:bCs/>
                      <w:color w:val="auto"/>
                      <w:sz w:val="18"/>
                      <w:szCs w:val="18"/>
                      <w:lang w:val="en-US" w:eastAsia="zh-CN"/>
                    </w:rPr>
                    <w:t>照片</w:t>
                  </w:r>
                </w:p>
              </w:tc>
            </w:tr>
            <w:tr w14:paraId="16A85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43" w:type="pct"/>
                  <w:vMerge w:val="restart"/>
                  <w:tcBorders>
                    <w:tl2br w:val="nil"/>
                    <w:tr2bl w:val="nil"/>
                  </w:tcBorders>
                  <w:noWrap w:val="0"/>
                  <w:vAlign w:val="center"/>
                </w:tcPr>
                <w:p w14:paraId="4F9A05A1">
                  <w:pPr>
                    <w:pStyle w:val="124"/>
                    <w:rPr>
                      <w:rFonts w:hint="default" w:eastAsia="宋体"/>
                      <w:color w:val="auto"/>
                      <w:sz w:val="18"/>
                      <w:szCs w:val="18"/>
                      <w:lang w:val="en-US" w:eastAsia="zh-CN"/>
                    </w:rPr>
                  </w:pPr>
                  <w:r>
                    <w:rPr>
                      <w:rFonts w:hint="eastAsia" w:eastAsia="宋体"/>
                      <w:color w:val="auto"/>
                      <w:sz w:val="18"/>
                      <w:szCs w:val="18"/>
                      <w:lang w:val="en-US" w:eastAsia="zh-CN"/>
                    </w:rPr>
                    <w:t>电视机零部件注塑件</w:t>
                  </w:r>
                </w:p>
              </w:tc>
              <w:tc>
                <w:tcPr>
                  <w:tcW w:w="366" w:type="pct"/>
                  <w:tcBorders>
                    <w:tl2br w:val="nil"/>
                    <w:tr2bl w:val="nil"/>
                  </w:tcBorders>
                  <w:noWrap w:val="0"/>
                  <w:vAlign w:val="center"/>
                </w:tcPr>
                <w:p w14:paraId="3E807229">
                  <w:pPr>
                    <w:pStyle w:val="124"/>
                    <w:tabs>
                      <w:tab w:val="left" w:pos="483"/>
                      <w:tab w:val="center" w:pos="749"/>
                    </w:tabs>
                    <w:jc w:val="center"/>
                    <w:rPr>
                      <w:rFonts w:hint="default"/>
                      <w:color w:val="auto"/>
                      <w:sz w:val="18"/>
                      <w:szCs w:val="18"/>
                      <w:lang w:val="en-US" w:eastAsia="zh-CN"/>
                    </w:rPr>
                  </w:pPr>
                  <w:r>
                    <w:rPr>
                      <w:rFonts w:hint="eastAsia"/>
                      <w:color w:val="auto"/>
                      <w:sz w:val="18"/>
                      <w:szCs w:val="18"/>
                      <w:lang w:val="en-US" w:eastAsia="zh-CN"/>
                    </w:rPr>
                    <w:t>0109型喇叭外壳</w:t>
                  </w:r>
                </w:p>
              </w:tc>
              <w:tc>
                <w:tcPr>
                  <w:tcW w:w="405" w:type="pct"/>
                  <w:tcBorders>
                    <w:tl2br w:val="nil"/>
                    <w:tr2bl w:val="nil"/>
                  </w:tcBorders>
                  <w:noWrap w:val="0"/>
                  <w:vAlign w:val="center"/>
                </w:tcPr>
                <w:p w14:paraId="7927700C">
                  <w:pPr>
                    <w:pStyle w:val="124"/>
                    <w:tabs>
                      <w:tab w:val="left" w:pos="483"/>
                      <w:tab w:val="center" w:pos="749"/>
                    </w:tabs>
                    <w:jc w:val="center"/>
                    <w:rPr>
                      <w:rFonts w:hint="default" w:eastAsia="宋体"/>
                      <w:color w:val="auto"/>
                      <w:sz w:val="18"/>
                      <w:szCs w:val="18"/>
                      <w:lang w:val="en-US" w:eastAsia="zh-CN"/>
                    </w:rPr>
                  </w:pPr>
                  <w:r>
                    <w:rPr>
                      <w:rFonts w:hint="eastAsia"/>
                      <w:color w:val="auto"/>
                      <w:sz w:val="18"/>
                      <w:szCs w:val="18"/>
                      <w:lang w:val="en-US" w:eastAsia="zh-CN"/>
                    </w:rPr>
                    <w:t>400</w:t>
                  </w:r>
                </w:p>
              </w:tc>
              <w:tc>
                <w:tcPr>
                  <w:tcW w:w="296" w:type="pct"/>
                  <w:vMerge w:val="restart"/>
                  <w:tcBorders>
                    <w:tl2br w:val="nil"/>
                    <w:tr2bl w:val="nil"/>
                  </w:tcBorders>
                  <w:noWrap w:val="0"/>
                  <w:vAlign w:val="center"/>
                </w:tcPr>
                <w:p w14:paraId="1F7835EB">
                  <w:pPr>
                    <w:pStyle w:val="124"/>
                    <w:rPr>
                      <w:rFonts w:hint="default" w:eastAsia="宋体"/>
                      <w:color w:val="auto"/>
                      <w:sz w:val="18"/>
                      <w:szCs w:val="18"/>
                      <w:lang w:val="en-US" w:eastAsia="zh-CN"/>
                    </w:rPr>
                  </w:pPr>
                  <w:r>
                    <w:rPr>
                      <w:rFonts w:hint="eastAsia" w:eastAsia="宋体"/>
                      <w:color w:val="auto"/>
                      <w:sz w:val="18"/>
                      <w:szCs w:val="18"/>
                      <w:lang w:val="en-US" w:eastAsia="zh-CN"/>
                    </w:rPr>
                    <w:t>ABS</w:t>
                  </w:r>
                </w:p>
              </w:tc>
              <w:tc>
                <w:tcPr>
                  <w:tcW w:w="766" w:type="pct"/>
                  <w:tcBorders>
                    <w:tl2br w:val="nil"/>
                    <w:tr2bl w:val="nil"/>
                  </w:tcBorders>
                  <w:noWrap w:val="0"/>
                  <w:vAlign w:val="center"/>
                </w:tcPr>
                <w:p w14:paraId="516F2844">
                  <w:pPr>
                    <w:pStyle w:val="124"/>
                    <w:rPr>
                      <w:rFonts w:hint="default" w:eastAsia="宋体"/>
                      <w:color w:val="auto"/>
                      <w:sz w:val="18"/>
                      <w:szCs w:val="18"/>
                      <w:lang w:val="en-US" w:eastAsia="zh-CN"/>
                    </w:rPr>
                  </w:pPr>
                  <w:r>
                    <w:rPr>
                      <w:rFonts w:hint="eastAsia" w:eastAsia="宋体"/>
                      <w:color w:val="auto"/>
                      <w:sz w:val="18"/>
                      <w:szCs w:val="18"/>
                      <w:lang w:val="en-US" w:eastAsia="zh-CN"/>
                    </w:rPr>
                    <w:t>104*61*19.5</w:t>
                  </w:r>
                </w:p>
              </w:tc>
              <w:tc>
                <w:tcPr>
                  <w:tcW w:w="411" w:type="pct"/>
                  <w:tcBorders>
                    <w:tl2br w:val="nil"/>
                    <w:tr2bl w:val="nil"/>
                  </w:tcBorders>
                  <w:noWrap w:val="0"/>
                  <w:vAlign w:val="center"/>
                </w:tcPr>
                <w:p w14:paraId="39338B78">
                  <w:pPr>
                    <w:keepNext w:val="0"/>
                    <w:keepLines w:val="0"/>
                    <w:widowControl/>
                    <w:suppressLineNumbers w:val="0"/>
                    <w:jc w:val="center"/>
                    <w:textAlignment w:val="center"/>
                    <w:rPr>
                      <w:rFonts w:hint="default" w:eastAsia="宋体"/>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42</w:t>
                  </w:r>
                </w:p>
              </w:tc>
              <w:tc>
                <w:tcPr>
                  <w:tcW w:w="476" w:type="pct"/>
                  <w:tcBorders>
                    <w:tl2br w:val="nil"/>
                    <w:tr2bl w:val="nil"/>
                  </w:tcBorders>
                  <w:shd w:val="clear" w:color="auto" w:fill="auto"/>
                  <w:noWrap w:val="0"/>
                  <w:vAlign w:val="center"/>
                </w:tcPr>
                <w:p w14:paraId="42C19094">
                  <w:pPr>
                    <w:pStyle w:val="124"/>
                    <w:ind w:firstLine="0" w:firstLineChars="0"/>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168</w:t>
                  </w:r>
                </w:p>
              </w:tc>
              <w:tc>
                <w:tcPr>
                  <w:tcW w:w="2033" w:type="pct"/>
                  <w:tcBorders>
                    <w:tl2br w:val="nil"/>
                    <w:tr2bl w:val="nil"/>
                  </w:tcBorders>
                  <w:noWrap w:val="0"/>
                  <w:vAlign w:val="center"/>
                </w:tcPr>
                <w:p w14:paraId="0F576FEB">
                  <w:pPr>
                    <w:pStyle w:val="124"/>
                    <w:rPr>
                      <w:rFonts w:hint="default" w:eastAsia="宋体"/>
                      <w:color w:val="auto"/>
                      <w:sz w:val="18"/>
                      <w:szCs w:val="18"/>
                      <w:lang w:val="en-US" w:eastAsia="zh-CN"/>
                    </w:rPr>
                  </w:pPr>
                  <w:r>
                    <w:rPr>
                      <w:rFonts w:hint="default" w:eastAsia="宋体"/>
                      <w:color w:val="auto"/>
                      <w:sz w:val="18"/>
                      <w:szCs w:val="18"/>
                      <w:lang w:val="en-US" w:eastAsia="zh-CN"/>
                    </w:rPr>
                    <w:drawing>
                      <wp:inline distT="0" distB="0" distL="114300" distR="114300">
                        <wp:extent cx="1938655" cy="1325880"/>
                        <wp:effectExtent l="0" t="0" r="4445" b="7620"/>
                        <wp:docPr id="1" name="图片 1" descr="729a1a948fdf0768a8913372d254f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29a1a948fdf0768a8913372d254f9f"/>
                                <pic:cNvPicPr>
                                  <a:picLocks noChangeAspect="1"/>
                                </pic:cNvPicPr>
                              </pic:nvPicPr>
                              <pic:blipFill>
                                <a:blip r:embed="rId10"/>
                                <a:stretch>
                                  <a:fillRect/>
                                </a:stretch>
                              </pic:blipFill>
                              <pic:spPr>
                                <a:xfrm>
                                  <a:off x="0" y="0"/>
                                  <a:ext cx="1938655" cy="1325880"/>
                                </a:xfrm>
                                <a:prstGeom prst="rect">
                                  <a:avLst/>
                                </a:prstGeom>
                                <a:noFill/>
                                <a:ln>
                                  <a:noFill/>
                                </a:ln>
                              </pic:spPr>
                            </pic:pic>
                          </a:graphicData>
                        </a:graphic>
                      </wp:inline>
                    </w:drawing>
                  </w:r>
                </w:p>
              </w:tc>
            </w:tr>
            <w:tr w14:paraId="25C34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2" w:hRule="atLeast"/>
                <w:jc w:val="center"/>
              </w:trPr>
              <w:tc>
                <w:tcPr>
                  <w:tcW w:w="243" w:type="pct"/>
                  <w:vMerge w:val="continue"/>
                  <w:tcBorders>
                    <w:tl2br w:val="nil"/>
                    <w:tr2bl w:val="nil"/>
                  </w:tcBorders>
                  <w:noWrap w:val="0"/>
                  <w:vAlign w:val="center"/>
                </w:tcPr>
                <w:p w14:paraId="43D9C572">
                  <w:pPr>
                    <w:pStyle w:val="124"/>
                    <w:rPr>
                      <w:color w:val="auto"/>
                      <w:sz w:val="18"/>
                      <w:szCs w:val="18"/>
                    </w:rPr>
                  </w:pPr>
                </w:p>
              </w:tc>
              <w:tc>
                <w:tcPr>
                  <w:tcW w:w="366" w:type="pct"/>
                  <w:tcBorders>
                    <w:tl2br w:val="nil"/>
                    <w:tr2bl w:val="nil"/>
                  </w:tcBorders>
                  <w:noWrap w:val="0"/>
                  <w:vAlign w:val="center"/>
                </w:tcPr>
                <w:p w14:paraId="44178635">
                  <w:pPr>
                    <w:pStyle w:val="124"/>
                    <w:jc w:val="center"/>
                    <w:rPr>
                      <w:rFonts w:hint="eastAsia"/>
                      <w:color w:val="auto"/>
                      <w:sz w:val="18"/>
                      <w:szCs w:val="18"/>
                      <w:lang w:val="en-US" w:eastAsia="zh-CN"/>
                    </w:rPr>
                  </w:pPr>
                  <w:r>
                    <w:rPr>
                      <w:rFonts w:hint="eastAsia"/>
                      <w:color w:val="auto"/>
                      <w:sz w:val="18"/>
                      <w:szCs w:val="18"/>
                      <w:lang w:val="en-US" w:eastAsia="zh-CN"/>
                    </w:rPr>
                    <w:t>5GM型喇叭外壳</w:t>
                  </w:r>
                </w:p>
              </w:tc>
              <w:tc>
                <w:tcPr>
                  <w:tcW w:w="405" w:type="pct"/>
                  <w:tcBorders>
                    <w:tl2br w:val="nil"/>
                    <w:tr2bl w:val="nil"/>
                  </w:tcBorders>
                  <w:noWrap w:val="0"/>
                  <w:vAlign w:val="center"/>
                </w:tcPr>
                <w:p w14:paraId="2A55C028">
                  <w:pPr>
                    <w:pStyle w:val="124"/>
                    <w:jc w:val="center"/>
                    <w:rPr>
                      <w:rFonts w:hint="default" w:eastAsia="宋体"/>
                      <w:color w:val="auto"/>
                      <w:sz w:val="18"/>
                      <w:szCs w:val="18"/>
                      <w:lang w:val="en-US" w:eastAsia="zh-CN"/>
                    </w:rPr>
                  </w:pPr>
                  <w:r>
                    <w:rPr>
                      <w:rFonts w:hint="eastAsia"/>
                      <w:color w:val="auto"/>
                      <w:sz w:val="18"/>
                      <w:szCs w:val="18"/>
                      <w:lang w:val="en-US" w:eastAsia="zh-CN"/>
                    </w:rPr>
                    <w:t>1600</w:t>
                  </w:r>
                </w:p>
              </w:tc>
              <w:tc>
                <w:tcPr>
                  <w:tcW w:w="296" w:type="pct"/>
                  <w:vMerge w:val="continue"/>
                  <w:tcBorders>
                    <w:tl2br w:val="nil"/>
                    <w:tr2bl w:val="nil"/>
                  </w:tcBorders>
                  <w:noWrap w:val="0"/>
                  <w:vAlign w:val="center"/>
                </w:tcPr>
                <w:p w14:paraId="42B73CF1">
                  <w:pPr>
                    <w:pStyle w:val="124"/>
                    <w:rPr>
                      <w:rFonts w:hint="eastAsia"/>
                      <w:color w:val="auto"/>
                      <w:sz w:val="18"/>
                      <w:szCs w:val="18"/>
                      <w:lang w:val="en-US" w:eastAsia="zh-CN"/>
                    </w:rPr>
                  </w:pPr>
                </w:p>
              </w:tc>
              <w:tc>
                <w:tcPr>
                  <w:tcW w:w="766" w:type="pct"/>
                  <w:tcBorders>
                    <w:tl2br w:val="nil"/>
                    <w:tr2bl w:val="nil"/>
                  </w:tcBorders>
                  <w:noWrap w:val="0"/>
                  <w:vAlign w:val="center"/>
                </w:tcPr>
                <w:p w14:paraId="36CA9BDC">
                  <w:pPr>
                    <w:pStyle w:val="124"/>
                    <w:rPr>
                      <w:rFonts w:hint="default" w:eastAsia="宋体"/>
                      <w:color w:val="auto"/>
                      <w:sz w:val="18"/>
                      <w:szCs w:val="18"/>
                      <w:lang w:val="en-US" w:eastAsia="zh-CN"/>
                    </w:rPr>
                  </w:pPr>
                  <w:r>
                    <w:rPr>
                      <w:rFonts w:hint="eastAsia"/>
                      <w:color w:val="auto"/>
                      <w:sz w:val="18"/>
                      <w:szCs w:val="18"/>
                      <w:lang w:val="en-US" w:eastAsia="zh-CN"/>
                    </w:rPr>
                    <w:t>37.5*34.8*6.2</w:t>
                  </w:r>
                </w:p>
              </w:tc>
              <w:tc>
                <w:tcPr>
                  <w:tcW w:w="411" w:type="pct"/>
                  <w:tcBorders>
                    <w:tl2br w:val="nil"/>
                    <w:tr2bl w:val="nil"/>
                  </w:tcBorders>
                  <w:noWrap w:val="0"/>
                  <w:vAlign w:val="center"/>
                </w:tcPr>
                <w:p w14:paraId="619CDF5D">
                  <w:pPr>
                    <w:keepNext w:val="0"/>
                    <w:keepLines w:val="0"/>
                    <w:widowControl/>
                    <w:suppressLineNumbers w:val="0"/>
                    <w:jc w:val="center"/>
                    <w:textAlignment w:val="center"/>
                    <w:rPr>
                      <w:rFonts w:hint="default"/>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17</w:t>
                  </w:r>
                </w:p>
              </w:tc>
              <w:tc>
                <w:tcPr>
                  <w:tcW w:w="476" w:type="pct"/>
                  <w:tcBorders>
                    <w:tl2br w:val="nil"/>
                    <w:tr2bl w:val="nil"/>
                  </w:tcBorders>
                  <w:shd w:val="clear" w:color="auto" w:fill="auto"/>
                  <w:noWrap w:val="0"/>
                  <w:vAlign w:val="center"/>
                </w:tcPr>
                <w:p w14:paraId="4BECB6B6">
                  <w:pPr>
                    <w:pStyle w:val="124"/>
                    <w:ind w:firstLine="0" w:firstLineChars="0"/>
                    <w:rPr>
                      <w:rFonts w:hint="default" w:ascii="Times New Roman" w:hAnsi="Times New Roman" w:eastAsia="宋体" w:cs="Times New Roman"/>
                      <w:color w:val="auto"/>
                      <w:kern w:val="2"/>
                      <w:sz w:val="18"/>
                      <w:szCs w:val="18"/>
                      <w:lang w:val="en-US" w:eastAsia="zh-CN" w:bidi="ar-SA"/>
                    </w:rPr>
                  </w:pPr>
                  <w:r>
                    <w:rPr>
                      <w:rFonts w:hint="eastAsia" w:eastAsia="宋体" w:cs="Times New Roman"/>
                      <w:color w:val="auto"/>
                      <w:kern w:val="2"/>
                      <w:sz w:val="18"/>
                      <w:szCs w:val="18"/>
                      <w:lang w:val="en-US" w:eastAsia="zh-CN" w:bidi="ar-SA"/>
                    </w:rPr>
                    <w:t>272</w:t>
                  </w:r>
                </w:p>
              </w:tc>
              <w:tc>
                <w:tcPr>
                  <w:tcW w:w="2033" w:type="pct"/>
                  <w:tcBorders>
                    <w:tl2br w:val="nil"/>
                    <w:tr2bl w:val="nil"/>
                  </w:tcBorders>
                  <w:noWrap w:val="0"/>
                  <w:vAlign w:val="center"/>
                </w:tcPr>
                <w:p w14:paraId="62AB26BA">
                  <w:pPr>
                    <w:pStyle w:val="124"/>
                    <w:rPr>
                      <w:rFonts w:hint="default" w:eastAsia="宋体"/>
                      <w:color w:val="auto"/>
                      <w:sz w:val="18"/>
                      <w:szCs w:val="18"/>
                      <w:lang w:val="en-US" w:eastAsia="zh-CN"/>
                    </w:rPr>
                  </w:pPr>
                  <w:r>
                    <w:rPr>
                      <w:rFonts w:hint="default" w:eastAsia="宋体"/>
                      <w:color w:val="auto"/>
                      <w:sz w:val="18"/>
                      <w:szCs w:val="18"/>
                      <w:lang w:val="en-US" w:eastAsia="zh-CN"/>
                    </w:rPr>
                    <w:drawing>
                      <wp:inline distT="0" distB="0" distL="114300" distR="114300">
                        <wp:extent cx="1101090" cy="1967865"/>
                        <wp:effectExtent l="0" t="0" r="13335" b="3810"/>
                        <wp:docPr id="2" name="图片 2" descr="19d6b6240ae6266fc3d5b55616603f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9d6b6240ae6266fc3d5b55616603f3(1)"/>
                                <pic:cNvPicPr>
                                  <a:picLocks noChangeAspect="1"/>
                                </pic:cNvPicPr>
                              </pic:nvPicPr>
                              <pic:blipFill>
                                <a:blip r:embed="rId11"/>
                                <a:stretch>
                                  <a:fillRect/>
                                </a:stretch>
                              </pic:blipFill>
                              <pic:spPr>
                                <a:xfrm rot="-5400000">
                                  <a:off x="0" y="0"/>
                                  <a:ext cx="1101090" cy="1967865"/>
                                </a:xfrm>
                                <a:prstGeom prst="rect">
                                  <a:avLst/>
                                </a:prstGeom>
                                <a:noFill/>
                                <a:ln>
                                  <a:noFill/>
                                </a:ln>
                              </pic:spPr>
                            </pic:pic>
                          </a:graphicData>
                        </a:graphic>
                      </wp:inline>
                    </w:drawing>
                  </w:r>
                </w:p>
              </w:tc>
            </w:tr>
            <w:tr w14:paraId="43936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10" w:type="pct"/>
                  <w:gridSpan w:val="2"/>
                  <w:tcBorders>
                    <w:tl2br w:val="nil"/>
                    <w:tr2bl w:val="nil"/>
                  </w:tcBorders>
                  <w:noWrap w:val="0"/>
                  <w:vAlign w:val="center"/>
                </w:tcPr>
                <w:p w14:paraId="4B6166E8">
                  <w:pPr>
                    <w:pStyle w:val="124"/>
                    <w:jc w:val="center"/>
                    <w:rPr>
                      <w:rFonts w:hint="eastAsia"/>
                      <w:b/>
                      <w:bCs/>
                      <w:color w:val="auto"/>
                      <w:sz w:val="18"/>
                      <w:szCs w:val="18"/>
                      <w:lang w:val="en-US" w:eastAsia="zh-CN"/>
                    </w:rPr>
                  </w:pPr>
                  <w:r>
                    <w:rPr>
                      <w:rFonts w:hint="eastAsia"/>
                      <w:b/>
                      <w:bCs/>
                      <w:color w:val="auto"/>
                      <w:sz w:val="18"/>
                      <w:szCs w:val="18"/>
                      <w:lang w:val="en-US" w:eastAsia="zh-CN"/>
                    </w:rPr>
                    <w:t>合计</w:t>
                  </w:r>
                </w:p>
              </w:tc>
              <w:tc>
                <w:tcPr>
                  <w:tcW w:w="405" w:type="pct"/>
                  <w:tcBorders>
                    <w:tl2br w:val="nil"/>
                    <w:tr2bl w:val="nil"/>
                  </w:tcBorders>
                  <w:noWrap w:val="0"/>
                  <w:vAlign w:val="center"/>
                </w:tcPr>
                <w:p w14:paraId="2708B2BD">
                  <w:pPr>
                    <w:pStyle w:val="124"/>
                    <w:jc w:val="center"/>
                    <w:rPr>
                      <w:rFonts w:hint="default"/>
                      <w:b/>
                      <w:bCs/>
                      <w:color w:val="auto"/>
                      <w:sz w:val="18"/>
                      <w:szCs w:val="18"/>
                      <w:lang w:val="en-US" w:eastAsia="zh-CN"/>
                    </w:rPr>
                  </w:pPr>
                  <w:r>
                    <w:rPr>
                      <w:rFonts w:hint="eastAsia"/>
                      <w:b/>
                      <w:bCs/>
                      <w:color w:val="auto"/>
                      <w:sz w:val="18"/>
                      <w:szCs w:val="18"/>
                      <w:lang w:val="en-US" w:eastAsia="zh-CN"/>
                    </w:rPr>
                    <w:t>2000</w:t>
                  </w:r>
                </w:p>
              </w:tc>
              <w:tc>
                <w:tcPr>
                  <w:tcW w:w="1474" w:type="pct"/>
                  <w:gridSpan w:val="3"/>
                  <w:tcBorders>
                    <w:tl2br w:val="nil"/>
                    <w:tr2bl w:val="nil"/>
                  </w:tcBorders>
                  <w:noWrap w:val="0"/>
                  <w:vAlign w:val="center"/>
                </w:tcPr>
                <w:p w14:paraId="36C37013">
                  <w:pPr>
                    <w:pStyle w:val="124"/>
                    <w:rPr>
                      <w:rFonts w:hint="eastAsia" w:eastAsia="宋体"/>
                      <w:b/>
                      <w:bCs/>
                      <w:color w:val="auto"/>
                      <w:sz w:val="18"/>
                      <w:szCs w:val="18"/>
                      <w:lang w:val="en-US" w:eastAsia="zh-CN"/>
                    </w:rPr>
                  </w:pPr>
                  <w:r>
                    <w:rPr>
                      <w:rFonts w:hint="eastAsia" w:eastAsia="宋体"/>
                      <w:b/>
                      <w:bCs/>
                      <w:color w:val="auto"/>
                      <w:sz w:val="18"/>
                      <w:szCs w:val="18"/>
                      <w:lang w:val="en-US" w:eastAsia="zh-CN"/>
                    </w:rPr>
                    <w:t>/</w:t>
                  </w:r>
                </w:p>
              </w:tc>
              <w:tc>
                <w:tcPr>
                  <w:tcW w:w="476" w:type="pct"/>
                  <w:tcBorders>
                    <w:tl2br w:val="nil"/>
                    <w:tr2bl w:val="nil"/>
                  </w:tcBorders>
                  <w:noWrap w:val="0"/>
                  <w:vAlign w:val="center"/>
                </w:tcPr>
                <w:p w14:paraId="73D5EFEC">
                  <w:pPr>
                    <w:pStyle w:val="124"/>
                    <w:rPr>
                      <w:rFonts w:hint="default" w:eastAsia="宋体"/>
                      <w:b/>
                      <w:bCs/>
                      <w:color w:val="auto"/>
                      <w:sz w:val="18"/>
                      <w:szCs w:val="18"/>
                      <w:lang w:val="en-US" w:eastAsia="zh-CN"/>
                    </w:rPr>
                  </w:pPr>
                  <w:r>
                    <w:rPr>
                      <w:rFonts w:hint="eastAsia" w:eastAsia="宋体"/>
                      <w:b/>
                      <w:bCs/>
                      <w:color w:val="auto"/>
                      <w:sz w:val="18"/>
                      <w:szCs w:val="18"/>
                      <w:lang w:val="en-US" w:eastAsia="zh-CN"/>
                    </w:rPr>
                    <w:t>440</w:t>
                  </w:r>
                </w:p>
              </w:tc>
              <w:tc>
                <w:tcPr>
                  <w:tcW w:w="2033" w:type="pct"/>
                  <w:tcBorders>
                    <w:tl2br w:val="nil"/>
                    <w:tr2bl w:val="nil"/>
                  </w:tcBorders>
                  <w:noWrap w:val="0"/>
                  <w:vAlign w:val="center"/>
                </w:tcPr>
                <w:p w14:paraId="1469E523">
                  <w:pPr>
                    <w:pStyle w:val="124"/>
                    <w:rPr>
                      <w:rFonts w:hint="default" w:eastAsia="宋体"/>
                      <w:b/>
                      <w:bCs/>
                      <w:color w:val="auto"/>
                      <w:sz w:val="18"/>
                      <w:szCs w:val="18"/>
                      <w:lang w:val="en-US" w:eastAsia="zh-CN"/>
                    </w:rPr>
                  </w:pPr>
                  <w:r>
                    <w:rPr>
                      <w:rFonts w:hint="eastAsia" w:eastAsia="宋体"/>
                      <w:b/>
                      <w:bCs/>
                      <w:color w:val="auto"/>
                      <w:sz w:val="18"/>
                      <w:szCs w:val="18"/>
                      <w:lang w:val="en-US" w:eastAsia="zh-CN"/>
                    </w:rPr>
                    <w:t>/</w:t>
                  </w:r>
                </w:p>
              </w:tc>
            </w:tr>
          </w:tbl>
          <w:p w14:paraId="7C6938D2">
            <w:pPr>
              <w:spacing w:line="360" w:lineRule="auto"/>
              <w:outlineLvl w:val="1"/>
              <w:rPr>
                <w:rFonts w:hint="default" w:ascii="Times New Roman" w:hAnsi="Times New Roman" w:cs="Times New Roman"/>
                <w:b/>
                <w:color w:val="auto"/>
                <w:kern w:val="0"/>
                <w:szCs w:val="21"/>
              </w:rPr>
            </w:pPr>
            <w:r>
              <w:rPr>
                <w:rFonts w:hint="default" w:ascii="Times New Roman" w:hAnsi="Times New Roman" w:cs="Times New Roman"/>
                <w:b/>
                <w:color w:val="auto"/>
                <w:szCs w:val="21"/>
              </w:rPr>
              <w:t>2.2.2工程内容</w:t>
            </w:r>
          </w:p>
          <w:p w14:paraId="2FB90B47">
            <w:pPr>
              <w:spacing w:line="360" w:lineRule="auto"/>
              <w:ind w:firstLine="420" w:firstLineChars="200"/>
              <w:outlineLvl w:val="1"/>
              <w:rPr>
                <w:rFonts w:hint="default" w:ascii="Times New Roman" w:hAnsi="Times New Roman" w:cs="Times New Roman"/>
                <w:color w:val="auto"/>
                <w:szCs w:val="21"/>
              </w:rPr>
            </w:pPr>
            <w:r>
              <w:rPr>
                <w:rFonts w:hint="default" w:ascii="Times New Roman" w:hAnsi="Times New Roman" w:cs="Times New Roman"/>
                <w:color w:val="auto"/>
                <w:szCs w:val="21"/>
              </w:rPr>
              <w:t>项目主要组成见下表。</w:t>
            </w:r>
          </w:p>
          <w:p w14:paraId="15EEFB9A">
            <w:pPr>
              <w:adjustRightInd w:val="0"/>
              <w:snapToGrid w:val="0"/>
              <w:ind w:firstLine="422" w:firstLineChars="200"/>
              <w:jc w:val="center"/>
              <w:outlineLvl w:val="1"/>
              <w:rPr>
                <w:rFonts w:hint="default" w:ascii="Times New Roman" w:hAnsi="Times New Roman" w:cs="Times New Roman"/>
                <w:b/>
                <w:color w:val="auto"/>
                <w:szCs w:val="21"/>
              </w:rPr>
            </w:pPr>
            <w:r>
              <w:rPr>
                <w:rFonts w:hint="default" w:ascii="Times New Roman" w:hAnsi="Times New Roman" w:cs="Times New Roman"/>
                <w:b/>
                <w:color w:val="auto"/>
                <w:szCs w:val="21"/>
              </w:rPr>
              <w:t>表2-2  项目组成一览表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39"/>
              <w:gridCol w:w="1266"/>
              <w:gridCol w:w="5049"/>
              <w:gridCol w:w="1144"/>
            </w:tblGrid>
            <w:tr w14:paraId="0DB1B6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6" w:hRule="atLeast"/>
                <w:jc w:val="center"/>
              </w:trPr>
              <w:tc>
                <w:tcPr>
                  <w:tcW w:w="395" w:type="pct"/>
                  <w:noWrap w:val="0"/>
                  <w:vAlign w:val="center"/>
                </w:tcPr>
                <w:p w14:paraId="040A6A36">
                  <w:pPr>
                    <w:spacing w:line="300" w:lineRule="exact"/>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序号</w:t>
                  </w:r>
                </w:p>
              </w:tc>
              <w:tc>
                <w:tcPr>
                  <w:tcW w:w="781" w:type="pct"/>
                  <w:noWrap w:val="0"/>
                  <w:vAlign w:val="center"/>
                </w:tcPr>
                <w:p w14:paraId="092510F5">
                  <w:pPr>
                    <w:spacing w:line="300" w:lineRule="exact"/>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项目分类</w:t>
                  </w:r>
                </w:p>
              </w:tc>
              <w:tc>
                <w:tcPr>
                  <w:tcW w:w="3117" w:type="pct"/>
                  <w:noWrap w:val="0"/>
                  <w:vAlign w:val="center"/>
                </w:tcPr>
                <w:p w14:paraId="033884EE">
                  <w:pPr>
                    <w:spacing w:line="300" w:lineRule="exact"/>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工程内容</w:t>
                  </w:r>
                </w:p>
              </w:tc>
              <w:tc>
                <w:tcPr>
                  <w:tcW w:w="704" w:type="pct"/>
                  <w:noWrap w:val="0"/>
                  <w:vAlign w:val="center"/>
                </w:tcPr>
                <w:p w14:paraId="4EFFCD2D">
                  <w:pPr>
                    <w:spacing w:line="300" w:lineRule="exact"/>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备注</w:t>
                  </w:r>
                </w:p>
              </w:tc>
            </w:tr>
            <w:tr w14:paraId="3E6A1B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5" w:hRule="atLeast"/>
                <w:jc w:val="center"/>
              </w:trPr>
              <w:tc>
                <w:tcPr>
                  <w:tcW w:w="395" w:type="pct"/>
                  <w:noWrap w:val="0"/>
                  <w:vAlign w:val="center"/>
                </w:tcPr>
                <w:p w14:paraId="1137B1E1">
                  <w:pPr>
                    <w:spacing w:line="300" w:lineRule="exact"/>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1</w:t>
                  </w:r>
                </w:p>
              </w:tc>
              <w:tc>
                <w:tcPr>
                  <w:tcW w:w="4604" w:type="pct"/>
                  <w:gridSpan w:val="3"/>
                  <w:noWrap w:val="0"/>
                  <w:vAlign w:val="center"/>
                </w:tcPr>
                <w:p w14:paraId="701B49D9">
                  <w:pPr>
                    <w:spacing w:line="300" w:lineRule="exact"/>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主体工程</w:t>
                  </w:r>
                </w:p>
              </w:tc>
            </w:tr>
            <w:tr w14:paraId="242ABF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5" w:type="pct"/>
                  <w:noWrap w:val="0"/>
                  <w:vAlign w:val="center"/>
                </w:tcPr>
                <w:p w14:paraId="236FACCB">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1.1</w:t>
                  </w:r>
                </w:p>
              </w:tc>
              <w:tc>
                <w:tcPr>
                  <w:tcW w:w="781" w:type="pct"/>
                  <w:noWrap w:val="0"/>
                  <w:vAlign w:val="center"/>
                </w:tcPr>
                <w:p w14:paraId="36E1B806">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生产车间</w:t>
                  </w:r>
                </w:p>
              </w:tc>
              <w:tc>
                <w:tcPr>
                  <w:tcW w:w="3117" w:type="pct"/>
                  <w:noWrap w:val="0"/>
                  <w:vAlign w:val="center"/>
                </w:tcPr>
                <w:p w14:paraId="74DED9E1">
                  <w:pPr>
                    <w:spacing w:line="240" w:lineRule="auto"/>
                    <w:outlineLvl w:val="1"/>
                    <w:rPr>
                      <w:rFonts w:hint="default" w:ascii="Times New Roman" w:hAnsi="Times New Roman" w:cs="Times New Roman"/>
                      <w:b/>
                      <w:color w:val="auto"/>
                      <w:sz w:val="18"/>
                      <w:szCs w:val="18"/>
                    </w:rPr>
                  </w:pPr>
                  <w:r>
                    <w:rPr>
                      <w:rFonts w:hint="default" w:ascii="Times New Roman" w:hAnsi="Times New Roman" w:cs="Times New Roman"/>
                      <w:color w:val="auto"/>
                      <w:sz w:val="18"/>
                      <w:szCs w:val="18"/>
                      <w:lang w:val="en-US" w:eastAsia="zh-CN"/>
                    </w:rPr>
                    <w:t>项目</w:t>
                  </w:r>
                  <w:r>
                    <w:rPr>
                      <w:rFonts w:hint="eastAsia" w:ascii="Times New Roman" w:hAnsi="Times New Roman" w:cs="Times New Roman"/>
                      <w:color w:val="auto"/>
                      <w:sz w:val="18"/>
                      <w:szCs w:val="18"/>
                      <w:lang w:val="en-US" w:eastAsia="zh-CN"/>
                    </w:rPr>
                    <w:t>租赁重庆三花门业有限公司位于</w:t>
                  </w:r>
                  <w:r>
                    <w:rPr>
                      <w:rFonts w:hint="eastAsia" w:cs="Times New Roman"/>
                      <w:color w:val="auto"/>
                      <w:sz w:val="18"/>
                      <w:szCs w:val="18"/>
                      <w:lang w:val="en-US" w:eastAsia="zh-CN"/>
                    </w:rPr>
                    <w:t>重庆市合川区南津街街道龙阳路10号1楼B区、C区厂房（南溪组团A区）</w:t>
                  </w:r>
                  <w:r>
                    <w:rPr>
                      <w:rFonts w:hint="default" w:ascii="Times New Roman" w:hAnsi="Times New Roman" w:cs="Times New Roman"/>
                      <w:color w:val="auto"/>
                      <w:sz w:val="18"/>
                      <w:szCs w:val="18"/>
                      <w:lang w:val="en-US" w:eastAsia="zh-CN"/>
                    </w:rPr>
                    <w:t>，厂房建筑面积</w:t>
                  </w:r>
                  <w:r>
                    <w:rPr>
                      <w:rFonts w:hint="eastAsia" w:ascii="Times New Roman" w:hAnsi="Times New Roman" w:cs="Times New Roman"/>
                      <w:color w:val="auto"/>
                      <w:sz w:val="18"/>
                      <w:szCs w:val="18"/>
                      <w:lang w:val="en-US" w:eastAsia="zh-CN"/>
                    </w:rPr>
                    <w:t>1500</w:t>
                  </w:r>
                  <w:r>
                    <w:rPr>
                      <w:rFonts w:hint="default" w:ascii="Times New Roman" w:hAnsi="Times New Roman" w:cs="Times New Roman"/>
                      <w:color w:val="auto"/>
                      <w:sz w:val="18"/>
                      <w:szCs w:val="18"/>
                    </w:rPr>
                    <w:t>m</w:t>
                  </w:r>
                  <w:r>
                    <w:rPr>
                      <w:rFonts w:hint="default" w:ascii="Times New Roman" w:hAnsi="Times New Roman" w:cs="Times New Roman"/>
                      <w:color w:val="auto"/>
                      <w:sz w:val="18"/>
                      <w:szCs w:val="18"/>
                      <w:vertAlign w:val="superscript"/>
                    </w:rPr>
                    <w:t>2</w:t>
                  </w:r>
                  <w:r>
                    <w:rPr>
                      <w:rFonts w:hint="default" w:ascii="Times New Roman" w:hAnsi="Times New Roman" w:cs="Times New Roman"/>
                      <w:color w:val="auto"/>
                      <w:sz w:val="18"/>
                      <w:szCs w:val="18"/>
                      <w:vertAlign w:val="baseline"/>
                      <w:lang w:eastAsia="zh-CN"/>
                    </w:rPr>
                    <w:t>，</w:t>
                  </w:r>
                  <w:r>
                    <w:rPr>
                      <w:rFonts w:hint="default" w:ascii="Times New Roman" w:hAnsi="Times New Roman" w:cs="Times New Roman"/>
                      <w:color w:val="auto"/>
                      <w:sz w:val="18"/>
                      <w:szCs w:val="18"/>
                      <w:vertAlign w:val="baseline"/>
                      <w:lang w:val="en-US" w:eastAsia="zh-CN"/>
                    </w:rPr>
                    <w:t>H=</w:t>
                  </w:r>
                  <w:r>
                    <w:rPr>
                      <w:rFonts w:hint="eastAsia" w:ascii="Times New Roman" w:hAnsi="Times New Roman" w:cs="Times New Roman"/>
                      <w:color w:val="auto"/>
                      <w:sz w:val="18"/>
                      <w:szCs w:val="18"/>
                      <w:vertAlign w:val="baseline"/>
                      <w:lang w:val="en-US" w:eastAsia="zh-CN"/>
                    </w:rPr>
                    <w:t>21</w:t>
                  </w:r>
                  <w:r>
                    <w:rPr>
                      <w:rFonts w:hint="default" w:ascii="Times New Roman" w:hAnsi="Times New Roman" w:cs="Times New Roman"/>
                      <w:color w:val="auto"/>
                      <w:sz w:val="18"/>
                      <w:szCs w:val="18"/>
                      <w:vertAlign w:val="baseline"/>
                      <w:lang w:val="en-US" w:eastAsia="zh-CN"/>
                    </w:rPr>
                    <w:t>m，主要设置</w:t>
                  </w:r>
                  <w:r>
                    <w:rPr>
                      <w:rFonts w:hint="eastAsia" w:ascii="Times New Roman" w:hAnsi="Times New Roman" w:cs="Times New Roman"/>
                      <w:color w:val="auto"/>
                      <w:sz w:val="18"/>
                      <w:szCs w:val="18"/>
                      <w:vertAlign w:val="baseline"/>
                      <w:lang w:val="en-US" w:eastAsia="zh-CN"/>
                    </w:rPr>
                    <w:t>16台注塑机、2台破碎机等</w:t>
                  </w:r>
                  <w:r>
                    <w:rPr>
                      <w:rFonts w:hint="default" w:ascii="Times New Roman" w:hAnsi="Times New Roman" w:cs="Times New Roman"/>
                      <w:color w:val="auto"/>
                      <w:sz w:val="18"/>
                      <w:szCs w:val="18"/>
                      <w:vertAlign w:val="baseline"/>
                      <w:lang w:val="en-US" w:eastAsia="zh-CN"/>
                    </w:rPr>
                    <w:t>设备，塑料颗粒经过</w:t>
                  </w:r>
                  <w:r>
                    <w:rPr>
                      <w:rFonts w:hint="eastAsia" w:ascii="Times New Roman" w:hAnsi="Times New Roman" w:cs="Times New Roman"/>
                      <w:color w:val="auto"/>
                      <w:sz w:val="18"/>
                      <w:szCs w:val="18"/>
                      <w:vertAlign w:val="baseline"/>
                      <w:lang w:val="en-US" w:eastAsia="zh-CN"/>
                    </w:rPr>
                    <w:t>注塑成型、修边、检验</w:t>
                  </w:r>
                  <w:r>
                    <w:rPr>
                      <w:rFonts w:hint="default" w:ascii="Times New Roman" w:hAnsi="Times New Roman" w:cs="Times New Roman"/>
                      <w:color w:val="auto"/>
                      <w:sz w:val="18"/>
                      <w:szCs w:val="18"/>
                      <w:vertAlign w:val="baseline"/>
                      <w:lang w:val="en-US" w:eastAsia="zh-CN"/>
                    </w:rPr>
                    <w:t>等工序得到最终的产品，项目建成后</w:t>
                  </w:r>
                  <w:r>
                    <w:rPr>
                      <w:rFonts w:hint="eastAsia" w:ascii="Times New Roman" w:hAnsi="Times New Roman" w:cs="Times New Roman"/>
                      <w:color w:val="auto"/>
                      <w:sz w:val="18"/>
                      <w:szCs w:val="18"/>
                      <w:vertAlign w:val="baseline"/>
                      <w:lang w:val="en-US" w:eastAsia="zh-CN"/>
                    </w:rPr>
                    <w:t>年产塑料电视机喇叭配件</w:t>
                  </w:r>
                  <w:r>
                    <w:rPr>
                      <w:rFonts w:hint="default" w:ascii="Times New Roman" w:hAnsi="Times New Roman" w:cs="Times New Roman"/>
                      <w:color w:val="auto"/>
                      <w:sz w:val="18"/>
                      <w:szCs w:val="18"/>
                      <w:vertAlign w:val="baseline"/>
                      <w:lang w:val="en-US" w:eastAsia="zh-CN"/>
                    </w:rPr>
                    <w:t>共计</w:t>
                  </w:r>
                  <w:r>
                    <w:rPr>
                      <w:rFonts w:hint="eastAsia" w:ascii="Times New Roman" w:hAnsi="Times New Roman" w:cs="Times New Roman"/>
                      <w:color w:val="auto"/>
                      <w:sz w:val="18"/>
                      <w:szCs w:val="18"/>
                      <w:vertAlign w:val="baseline"/>
                      <w:lang w:val="en-US" w:eastAsia="zh-CN"/>
                    </w:rPr>
                    <w:t>2000万件</w:t>
                  </w:r>
                  <w:r>
                    <w:rPr>
                      <w:rFonts w:hint="default" w:ascii="Times New Roman" w:hAnsi="Times New Roman" w:cs="Times New Roman"/>
                      <w:color w:val="auto"/>
                      <w:sz w:val="18"/>
                      <w:szCs w:val="18"/>
                      <w:lang w:val="en-US" w:eastAsia="zh-CN"/>
                    </w:rPr>
                    <w:t>。</w:t>
                  </w:r>
                </w:p>
              </w:tc>
              <w:tc>
                <w:tcPr>
                  <w:tcW w:w="704" w:type="pct"/>
                  <w:noWrap w:val="0"/>
                  <w:vAlign w:val="center"/>
                </w:tcPr>
                <w:p w14:paraId="3EA6BAD8">
                  <w:pPr>
                    <w:spacing w:line="30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依托已建厂房，只进行装修和设备安装</w:t>
                  </w:r>
                </w:p>
              </w:tc>
            </w:tr>
            <w:tr w14:paraId="7B87CF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3" w:hRule="atLeast"/>
                <w:jc w:val="center"/>
              </w:trPr>
              <w:tc>
                <w:tcPr>
                  <w:tcW w:w="395" w:type="pct"/>
                  <w:noWrap w:val="0"/>
                  <w:vAlign w:val="center"/>
                </w:tcPr>
                <w:p w14:paraId="091148B9">
                  <w:pPr>
                    <w:spacing w:line="300" w:lineRule="exact"/>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2</w:t>
                  </w:r>
                </w:p>
              </w:tc>
              <w:tc>
                <w:tcPr>
                  <w:tcW w:w="4604" w:type="pct"/>
                  <w:gridSpan w:val="3"/>
                  <w:noWrap w:val="0"/>
                  <w:vAlign w:val="center"/>
                </w:tcPr>
                <w:p w14:paraId="4C5BB498">
                  <w:pPr>
                    <w:spacing w:line="300" w:lineRule="exact"/>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辅助工程</w:t>
                  </w:r>
                </w:p>
              </w:tc>
            </w:tr>
            <w:tr w14:paraId="6F8709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8" w:hRule="atLeast"/>
                <w:jc w:val="center"/>
              </w:trPr>
              <w:tc>
                <w:tcPr>
                  <w:tcW w:w="395" w:type="pct"/>
                  <w:noWrap w:val="0"/>
                  <w:vAlign w:val="center"/>
                </w:tcPr>
                <w:p w14:paraId="5A4FA25D">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2.1</w:t>
                  </w:r>
                </w:p>
              </w:tc>
              <w:tc>
                <w:tcPr>
                  <w:tcW w:w="781" w:type="pct"/>
                  <w:noWrap w:val="0"/>
                  <w:vAlign w:val="center"/>
                </w:tcPr>
                <w:p w14:paraId="0898D257">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办公区</w:t>
                  </w:r>
                </w:p>
              </w:tc>
              <w:tc>
                <w:tcPr>
                  <w:tcW w:w="3117" w:type="pct"/>
                  <w:noWrap w:val="0"/>
                  <w:vAlign w:val="center"/>
                </w:tcPr>
                <w:p w14:paraId="64E19F36">
                  <w:pPr>
                    <w:spacing w:line="300" w:lineRule="exact"/>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位于厂区</w:t>
                  </w:r>
                  <w:r>
                    <w:rPr>
                      <w:rFonts w:hint="default" w:ascii="Times New Roman" w:hAnsi="Times New Roman" w:cs="Times New Roman"/>
                      <w:bCs/>
                      <w:color w:val="auto"/>
                      <w:sz w:val="18"/>
                      <w:szCs w:val="18"/>
                      <w:lang w:val="en-US" w:eastAsia="zh-CN"/>
                    </w:rPr>
                    <w:t>北</w:t>
                  </w:r>
                  <w:r>
                    <w:rPr>
                      <w:rFonts w:hint="default" w:ascii="Times New Roman" w:hAnsi="Times New Roman" w:cs="Times New Roman"/>
                      <w:bCs/>
                      <w:color w:val="auto"/>
                      <w:sz w:val="18"/>
                      <w:szCs w:val="18"/>
                    </w:rPr>
                    <w:t>侧，主要设有办公室、会议室等，</w:t>
                  </w:r>
                  <w:r>
                    <w:rPr>
                      <w:rFonts w:hint="default" w:ascii="Times New Roman" w:hAnsi="Times New Roman" w:cs="Times New Roman"/>
                      <w:color w:val="auto"/>
                      <w:sz w:val="18"/>
                      <w:szCs w:val="18"/>
                    </w:rPr>
                    <w:t>建筑面积约</w:t>
                  </w:r>
                  <w:r>
                    <w:rPr>
                      <w:rFonts w:hint="eastAsia" w:ascii="Times New Roman" w:hAnsi="Times New Roman" w:cs="Times New Roman"/>
                      <w:color w:val="auto"/>
                      <w:sz w:val="18"/>
                      <w:szCs w:val="18"/>
                      <w:lang w:val="en-US" w:eastAsia="zh-CN"/>
                    </w:rPr>
                    <w:t>50</w:t>
                  </w:r>
                  <w:r>
                    <w:rPr>
                      <w:rFonts w:hint="default" w:ascii="Times New Roman" w:hAnsi="Times New Roman" w:cs="Times New Roman"/>
                      <w:color w:val="auto"/>
                      <w:sz w:val="18"/>
                      <w:szCs w:val="18"/>
                    </w:rPr>
                    <w:t>m</w:t>
                  </w:r>
                  <w:r>
                    <w:rPr>
                      <w:rFonts w:hint="default" w:ascii="Times New Roman" w:hAnsi="Times New Roman" w:cs="Times New Roman"/>
                      <w:color w:val="auto"/>
                      <w:sz w:val="18"/>
                      <w:szCs w:val="18"/>
                      <w:vertAlign w:val="superscript"/>
                    </w:rPr>
                    <w:t>2</w:t>
                  </w:r>
                  <w:r>
                    <w:rPr>
                      <w:rFonts w:hint="default" w:ascii="Times New Roman" w:hAnsi="Times New Roman" w:cs="Times New Roman"/>
                      <w:color w:val="auto"/>
                      <w:sz w:val="18"/>
                      <w:szCs w:val="18"/>
                    </w:rPr>
                    <w:t>，满足日常办公所需。</w:t>
                  </w:r>
                </w:p>
              </w:tc>
              <w:tc>
                <w:tcPr>
                  <w:tcW w:w="704" w:type="pct"/>
                  <w:vMerge w:val="restart"/>
                  <w:noWrap w:val="0"/>
                  <w:vAlign w:val="center"/>
                </w:tcPr>
                <w:p w14:paraId="6144E1AD">
                  <w:pPr>
                    <w:adjustRightInd w:val="0"/>
                    <w:snapToGrid w:val="0"/>
                    <w:rPr>
                      <w:rFonts w:hint="default" w:ascii="Times New Roman" w:hAnsi="Times New Roman" w:cs="Times New Roman"/>
                      <w:bCs/>
                      <w:color w:val="auto"/>
                      <w:sz w:val="18"/>
                      <w:szCs w:val="18"/>
                    </w:rPr>
                  </w:pPr>
                  <w:r>
                    <w:rPr>
                      <w:rFonts w:hint="default" w:ascii="Times New Roman" w:hAnsi="Times New Roman" w:cs="Times New Roman"/>
                      <w:color w:val="auto"/>
                      <w:sz w:val="18"/>
                      <w:szCs w:val="18"/>
                    </w:rPr>
                    <w:t>依托已建厂房，只进行装修和设备安装</w:t>
                  </w:r>
                </w:p>
              </w:tc>
            </w:tr>
            <w:tr w14:paraId="5503A2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8" w:hRule="atLeast"/>
                <w:jc w:val="center"/>
              </w:trPr>
              <w:tc>
                <w:tcPr>
                  <w:tcW w:w="395" w:type="pct"/>
                  <w:noWrap w:val="0"/>
                  <w:vAlign w:val="center"/>
                </w:tcPr>
                <w:p w14:paraId="708E4176">
                  <w:pPr>
                    <w:spacing w:line="30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2.2</w:t>
                  </w:r>
                </w:p>
              </w:tc>
              <w:tc>
                <w:tcPr>
                  <w:tcW w:w="781" w:type="pct"/>
                  <w:noWrap w:val="0"/>
                  <w:vAlign w:val="center"/>
                </w:tcPr>
                <w:p w14:paraId="6C16EFE8">
                  <w:pPr>
                    <w:spacing w:line="30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模具区</w:t>
                  </w:r>
                </w:p>
              </w:tc>
              <w:tc>
                <w:tcPr>
                  <w:tcW w:w="3117" w:type="pct"/>
                  <w:noWrap w:val="0"/>
                  <w:vAlign w:val="center"/>
                </w:tcPr>
                <w:p w14:paraId="444BA40A">
                  <w:pPr>
                    <w:spacing w:line="300" w:lineRule="exact"/>
                    <w:rPr>
                      <w:rFonts w:hint="default" w:ascii="Times New Roman" w:hAnsi="Times New Roman" w:eastAsia="宋体" w:cs="Times New Roman"/>
                      <w:bCs/>
                      <w:color w:val="auto"/>
                      <w:sz w:val="18"/>
                      <w:szCs w:val="18"/>
                      <w:vertAlign w:val="baseline"/>
                      <w:lang w:val="en-US" w:eastAsia="zh-CN"/>
                    </w:rPr>
                  </w:pPr>
                  <w:r>
                    <w:rPr>
                      <w:rFonts w:hint="eastAsia" w:ascii="Times New Roman" w:hAnsi="Times New Roman" w:cs="Times New Roman"/>
                      <w:bCs/>
                      <w:color w:val="auto"/>
                      <w:sz w:val="18"/>
                      <w:szCs w:val="18"/>
                      <w:lang w:eastAsia="zh-CN"/>
                    </w:rPr>
                    <w:t>位于北侧中部，面积约</w:t>
                  </w:r>
                  <w:r>
                    <w:rPr>
                      <w:rFonts w:hint="eastAsia" w:ascii="Times New Roman" w:hAnsi="Times New Roman" w:cs="Times New Roman"/>
                      <w:bCs/>
                      <w:color w:val="auto"/>
                      <w:sz w:val="18"/>
                      <w:szCs w:val="18"/>
                      <w:lang w:val="en-US" w:eastAsia="zh-CN"/>
                    </w:rPr>
                    <w:t>50m</w:t>
                  </w:r>
                  <w:r>
                    <w:rPr>
                      <w:rFonts w:hint="eastAsia" w:ascii="Times New Roman" w:hAnsi="Times New Roman" w:cs="Times New Roman"/>
                      <w:bCs/>
                      <w:color w:val="auto"/>
                      <w:sz w:val="18"/>
                      <w:szCs w:val="18"/>
                      <w:vertAlign w:val="superscript"/>
                      <w:lang w:val="en-US" w:eastAsia="zh-CN"/>
                    </w:rPr>
                    <w:t>2</w:t>
                  </w:r>
                  <w:r>
                    <w:rPr>
                      <w:rFonts w:hint="eastAsia" w:ascii="Times New Roman" w:hAnsi="Times New Roman" w:cs="Times New Roman"/>
                      <w:bCs/>
                      <w:color w:val="auto"/>
                      <w:sz w:val="18"/>
                      <w:szCs w:val="18"/>
                      <w:vertAlign w:val="baseline"/>
                      <w:lang w:val="en-US" w:eastAsia="zh-CN"/>
                    </w:rPr>
                    <w:t>，主要用于模具的暂存</w:t>
                  </w:r>
                </w:p>
              </w:tc>
              <w:tc>
                <w:tcPr>
                  <w:tcW w:w="704" w:type="pct"/>
                  <w:vMerge w:val="continue"/>
                  <w:noWrap w:val="0"/>
                  <w:vAlign w:val="center"/>
                </w:tcPr>
                <w:p w14:paraId="7A521DB2">
                  <w:pPr>
                    <w:adjustRightInd w:val="0"/>
                    <w:snapToGrid w:val="0"/>
                    <w:rPr>
                      <w:rFonts w:hint="default" w:ascii="Times New Roman" w:hAnsi="Times New Roman" w:cs="Times New Roman"/>
                      <w:color w:val="auto"/>
                      <w:sz w:val="18"/>
                      <w:szCs w:val="18"/>
                    </w:rPr>
                  </w:pPr>
                </w:p>
              </w:tc>
            </w:tr>
            <w:tr w14:paraId="2A31A4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8" w:hRule="atLeast"/>
                <w:jc w:val="center"/>
              </w:trPr>
              <w:tc>
                <w:tcPr>
                  <w:tcW w:w="395" w:type="pct"/>
                  <w:noWrap w:val="0"/>
                  <w:vAlign w:val="center"/>
                </w:tcPr>
                <w:p w14:paraId="20B28211">
                  <w:pPr>
                    <w:spacing w:line="30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3</w:t>
                  </w:r>
                </w:p>
              </w:tc>
              <w:tc>
                <w:tcPr>
                  <w:tcW w:w="4604" w:type="pct"/>
                  <w:gridSpan w:val="3"/>
                  <w:noWrap w:val="0"/>
                  <w:vAlign w:val="center"/>
                </w:tcPr>
                <w:p w14:paraId="4368B9A4">
                  <w:pPr>
                    <w:spacing w:line="300" w:lineRule="exac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储运工程</w:t>
                  </w:r>
                </w:p>
              </w:tc>
            </w:tr>
            <w:tr w14:paraId="333B8C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80" w:hRule="atLeast"/>
                <w:jc w:val="center"/>
              </w:trPr>
              <w:tc>
                <w:tcPr>
                  <w:tcW w:w="395" w:type="pct"/>
                  <w:noWrap w:val="0"/>
                  <w:vAlign w:val="center"/>
                </w:tcPr>
                <w:p w14:paraId="399A20EE">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3.1</w:t>
                  </w:r>
                </w:p>
              </w:tc>
              <w:tc>
                <w:tcPr>
                  <w:tcW w:w="781" w:type="pct"/>
                  <w:noWrap w:val="0"/>
                  <w:vAlign w:val="center"/>
                </w:tcPr>
                <w:p w14:paraId="50A72979">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原材料库房</w:t>
                  </w:r>
                </w:p>
              </w:tc>
              <w:tc>
                <w:tcPr>
                  <w:tcW w:w="3117" w:type="pct"/>
                  <w:noWrap w:val="0"/>
                  <w:vAlign w:val="center"/>
                </w:tcPr>
                <w:p w14:paraId="28D6922B">
                  <w:pPr>
                    <w:spacing w:line="300" w:lineRule="exact"/>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位于厂房</w:t>
                  </w:r>
                  <w:r>
                    <w:rPr>
                      <w:rFonts w:hint="eastAsia" w:ascii="Times New Roman" w:hAnsi="Times New Roman" w:cs="Times New Roman"/>
                      <w:bCs/>
                      <w:color w:val="auto"/>
                      <w:sz w:val="18"/>
                      <w:szCs w:val="18"/>
                      <w:lang w:val="en-US" w:eastAsia="zh-CN"/>
                    </w:rPr>
                    <w:t>北侧</w:t>
                  </w:r>
                  <w:r>
                    <w:rPr>
                      <w:rFonts w:hint="default" w:ascii="Times New Roman" w:hAnsi="Times New Roman" w:cs="Times New Roman"/>
                      <w:color w:val="auto"/>
                      <w:sz w:val="18"/>
                      <w:szCs w:val="18"/>
                    </w:rPr>
                    <w:t>，面积约为</w:t>
                  </w:r>
                  <w:r>
                    <w:rPr>
                      <w:rFonts w:hint="eastAsia" w:ascii="Times New Roman" w:hAnsi="Times New Roman" w:cs="Times New Roman"/>
                      <w:color w:val="auto"/>
                      <w:sz w:val="18"/>
                      <w:szCs w:val="18"/>
                      <w:lang w:val="en-US" w:eastAsia="zh-CN"/>
                    </w:rPr>
                    <w:t>150</w:t>
                  </w:r>
                  <w:r>
                    <w:rPr>
                      <w:rFonts w:hint="default" w:ascii="Times New Roman" w:hAnsi="Times New Roman" w:cs="Times New Roman"/>
                      <w:color w:val="auto"/>
                      <w:sz w:val="18"/>
                      <w:szCs w:val="18"/>
                    </w:rPr>
                    <w:t>m</w:t>
                  </w:r>
                  <w:r>
                    <w:rPr>
                      <w:rFonts w:hint="default" w:ascii="Times New Roman" w:hAnsi="Times New Roman" w:cs="Times New Roman"/>
                      <w:color w:val="auto"/>
                      <w:sz w:val="18"/>
                      <w:szCs w:val="18"/>
                      <w:vertAlign w:val="superscript"/>
                    </w:rPr>
                    <w:t>2</w:t>
                  </w:r>
                  <w:r>
                    <w:rPr>
                      <w:rFonts w:hint="default" w:ascii="Times New Roman" w:hAnsi="Times New Roman" w:cs="Times New Roman"/>
                      <w:color w:val="auto"/>
                      <w:sz w:val="18"/>
                      <w:szCs w:val="18"/>
                    </w:rPr>
                    <w:t>，主要用于原材料</w:t>
                  </w:r>
                  <w:r>
                    <w:rPr>
                      <w:rFonts w:hint="eastAsia" w:ascii="Times New Roman" w:hAnsi="Times New Roman" w:cs="Times New Roman"/>
                      <w:color w:val="auto"/>
                      <w:sz w:val="18"/>
                      <w:szCs w:val="18"/>
                      <w:lang w:val="en-US" w:eastAsia="zh-CN"/>
                    </w:rPr>
                    <w:t>ABS</w:t>
                  </w:r>
                  <w:r>
                    <w:rPr>
                      <w:rFonts w:hint="default" w:ascii="Times New Roman" w:hAnsi="Times New Roman" w:cs="Times New Roman"/>
                      <w:color w:val="auto"/>
                      <w:kern w:val="0"/>
                      <w:sz w:val="18"/>
                      <w:szCs w:val="18"/>
                      <w:lang w:val="en-US" w:eastAsia="zh-CN" w:bidi="ar"/>
                    </w:rPr>
                    <w:t>等原材料</w:t>
                  </w:r>
                  <w:r>
                    <w:rPr>
                      <w:rFonts w:hint="default" w:ascii="Times New Roman" w:hAnsi="Times New Roman" w:cs="Times New Roman"/>
                      <w:color w:val="auto"/>
                      <w:sz w:val="18"/>
                      <w:szCs w:val="18"/>
                    </w:rPr>
                    <w:t>的堆存。</w:t>
                  </w:r>
                </w:p>
              </w:tc>
              <w:tc>
                <w:tcPr>
                  <w:tcW w:w="704" w:type="pct"/>
                  <w:vMerge w:val="restart"/>
                  <w:noWrap w:val="0"/>
                  <w:vAlign w:val="center"/>
                </w:tcPr>
                <w:p w14:paraId="58B218E9">
                  <w:pPr>
                    <w:spacing w:line="300" w:lineRule="exact"/>
                    <w:rPr>
                      <w:rFonts w:hint="default" w:ascii="Times New Roman" w:hAnsi="Times New Roman" w:cs="Times New Roman"/>
                      <w:bCs/>
                      <w:color w:val="auto"/>
                      <w:sz w:val="18"/>
                      <w:szCs w:val="18"/>
                    </w:rPr>
                  </w:pPr>
                  <w:r>
                    <w:rPr>
                      <w:rFonts w:hint="default" w:ascii="Times New Roman" w:hAnsi="Times New Roman" w:cs="Times New Roman"/>
                      <w:color w:val="auto"/>
                      <w:sz w:val="18"/>
                      <w:szCs w:val="18"/>
                    </w:rPr>
                    <w:t>依托已建厂房，只进行装修和设备安装</w:t>
                  </w:r>
                </w:p>
              </w:tc>
            </w:tr>
            <w:tr w14:paraId="6853FD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5" w:type="pct"/>
                  <w:noWrap w:val="0"/>
                  <w:vAlign w:val="center"/>
                </w:tcPr>
                <w:p w14:paraId="3BB392C5">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3.2</w:t>
                  </w:r>
                </w:p>
              </w:tc>
              <w:tc>
                <w:tcPr>
                  <w:tcW w:w="781" w:type="pct"/>
                  <w:noWrap w:val="0"/>
                  <w:vAlign w:val="center"/>
                </w:tcPr>
                <w:p w14:paraId="28453E0D">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成品库房</w:t>
                  </w:r>
                </w:p>
              </w:tc>
              <w:tc>
                <w:tcPr>
                  <w:tcW w:w="3117" w:type="pct"/>
                  <w:noWrap w:val="0"/>
                  <w:vAlign w:val="center"/>
                </w:tcPr>
                <w:p w14:paraId="63FFCCC5">
                  <w:pPr>
                    <w:spacing w:line="300" w:lineRule="exact"/>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位于厂房</w:t>
                  </w:r>
                  <w:r>
                    <w:rPr>
                      <w:rFonts w:hint="eastAsia" w:ascii="Times New Roman" w:hAnsi="Times New Roman" w:cs="Times New Roman"/>
                      <w:bCs/>
                      <w:color w:val="auto"/>
                      <w:sz w:val="18"/>
                      <w:szCs w:val="18"/>
                      <w:lang w:val="en-US" w:eastAsia="zh-CN"/>
                    </w:rPr>
                    <w:t>北侧</w:t>
                  </w:r>
                  <w:r>
                    <w:rPr>
                      <w:rFonts w:hint="default" w:ascii="Times New Roman" w:hAnsi="Times New Roman" w:cs="Times New Roman"/>
                      <w:color w:val="auto"/>
                      <w:sz w:val="18"/>
                      <w:szCs w:val="18"/>
                    </w:rPr>
                    <w:t>，建筑面积约为</w:t>
                  </w:r>
                  <w:r>
                    <w:rPr>
                      <w:rFonts w:hint="eastAsia" w:ascii="Times New Roman" w:hAnsi="Times New Roman" w:cs="Times New Roman"/>
                      <w:color w:val="auto"/>
                      <w:sz w:val="18"/>
                      <w:szCs w:val="18"/>
                      <w:lang w:val="en-US" w:eastAsia="zh-CN"/>
                    </w:rPr>
                    <w:t>15</w:t>
                  </w:r>
                  <w:r>
                    <w:rPr>
                      <w:rFonts w:hint="default" w:ascii="Times New Roman" w:hAnsi="Times New Roman" w:cs="Times New Roman"/>
                      <w:color w:val="auto"/>
                      <w:sz w:val="18"/>
                      <w:szCs w:val="18"/>
                      <w:lang w:val="en-US" w:eastAsia="zh-CN"/>
                    </w:rPr>
                    <w:t>0</w:t>
                  </w:r>
                  <w:r>
                    <w:rPr>
                      <w:rFonts w:hint="default" w:ascii="Times New Roman" w:hAnsi="Times New Roman" w:cs="Times New Roman"/>
                      <w:color w:val="auto"/>
                      <w:sz w:val="18"/>
                      <w:szCs w:val="18"/>
                    </w:rPr>
                    <w:t>m</w:t>
                  </w:r>
                  <w:r>
                    <w:rPr>
                      <w:rFonts w:hint="default" w:ascii="Times New Roman" w:hAnsi="Times New Roman" w:cs="Times New Roman"/>
                      <w:color w:val="auto"/>
                      <w:sz w:val="18"/>
                      <w:szCs w:val="18"/>
                      <w:vertAlign w:val="superscript"/>
                    </w:rPr>
                    <w:t>2</w:t>
                  </w:r>
                  <w:r>
                    <w:rPr>
                      <w:rFonts w:hint="default" w:ascii="Times New Roman" w:hAnsi="Times New Roman" w:cs="Times New Roman"/>
                      <w:color w:val="auto"/>
                      <w:sz w:val="18"/>
                      <w:szCs w:val="18"/>
                    </w:rPr>
                    <w:t>，主要用于成品的储存。</w:t>
                  </w:r>
                </w:p>
              </w:tc>
              <w:tc>
                <w:tcPr>
                  <w:tcW w:w="704" w:type="pct"/>
                  <w:vMerge w:val="continue"/>
                  <w:noWrap w:val="0"/>
                  <w:vAlign w:val="center"/>
                </w:tcPr>
                <w:p w14:paraId="4ED0A889">
                  <w:pPr>
                    <w:spacing w:line="300" w:lineRule="exact"/>
                    <w:rPr>
                      <w:rFonts w:hint="default" w:ascii="Times New Roman" w:hAnsi="Times New Roman" w:cs="Times New Roman"/>
                      <w:color w:val="auto"/>
                      <w:sz w:val="18"/>
                      <w:szCs w:val="18"/>
                    </w:rPr>
                  </w:pPr>
                </w:p>
              </w:tc>
            </w:tr>
            <w:tr w14:paraId="114F94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5" w:type="pct"/>
                  <w:noWrap w:val="0"/>
                  <w:vAlign w:val="center"/>
                </w:tcPr>
                <w:p w14:paraId="7B9E9DCD">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3.3</w:t>
                  </w:r>
                </w:p>
              </w:tc>
              <w:tc>
                <w:tcPr>
                  <w:tcW w:w="781" w:type="pct"/>
                  <w:noWrap w:val="0"/>
                  <w:vAlign w:val="center"/>
                </w:tcPr>
                <w:p w14:paraId="6A89886C">
                  <w:pPr>
                    <w:spacing w:line="300" w:lineRule="exact"/>
                    <w:jc w:val="center"/>
                    <w:rPr>
                      <w:rFonts w:hint="default"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液体物料暂存区</w:t>
                  </w:r>
                </w:p>
              </w:tc>
              <w:tc>
                <w:tcPr>
                  <w:tcW w:w="3117" w:type="pct"/>
                  <w:noWrap w:val="0"/>
                  <w:vAlign w:val="center"/>
                </w:tcPr>
                <w:p w14:paraId="5CD9D514">
                  <w:pPr>
                    <w:spacing w:line="300" w:lineRule="exact"/>
                    <w:jc w:val="left"/>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位于</w:t>
                  </w:r>
                  <w:r>
                    <w:rPr>
                      <w:rFonts w:hint="default" w:ascii="Times New Roman" w:hAnsi="Times New Roman" w:cs="Times New Roman"/>
                      <w:color w:val="auto"/>
                      <w:sz w:val="18"/>
                      <w:szCs w:val="18"/>
                    </w:rPr>
                    <w:t>原材料库房</w:t>
                  </w:r>
                  <w:r>
                    <w:rPr>
                      <w:rFonts w:hint="eastAsia" w:ascii="Times New Roman" w:hAnsi="Times New Roman" w:cs="Times New Roman"/>
                      <w:color w:val="auto"/>
                      <w:sz w:val="18"/>
                      <w:szCs w:val="18"/>
                      <w:lang w:eastAsia="zh-CN"/>
                    </w:rPr>
                    <w:t>内</w:t>
                  </w:r>
                  <w:r>
                    <w:rPr>
                      <w:rFonts w:hint="default" w:ascii="Times New Roman" w:hAnsi="Times New Roman" w:cs="Times New Roman"/>
                      <w:color w:val="auto"/>
                      <w:sz w:val="18"/>
                      <w:szCs w:val="18"/>
                    </w:rPr>
                    <w:t>，面积约为</w:t>
                  </w:r>
                  <w:r>
                    <w:rPr>
                      <w:rFonts w:hint="default" w:ascii="Times New Roman" w:hAnsi="Times New Roman" w:cs="Times New Roman"/>
                      <w:color w:val="auto"/>
                      <w:sz w:val="18"/>
                      <w:szCs w:val="18"/>
                      <w:lang w:val="en-US" w:eastAsia="zh-CN"/>
                    </w:rPr>
                    <w:t>10m</w:t>
                  </w:r>
                  <w:r>
                    <w:rPr>
                      <w:rFonts w:hint="default" w:ascii="Times New Roman" w:hAnsi="Times New Roman" w:cs="Times New Roman"/>
                      <w:color w:val="auto"/>
                      <w:sz w:val="18"/>
                      <w:szCs w:val="18"/>
                      <w:vertAlign w:val="superscript"/>
                    </w:rPr>
                    <w:t>2</w:t>
                  </w:r>
                  <w:r>
                    <w:rPr>
                      <w:rFonts w:hint="default" w:ascii="Times New Roman" w:hAnsi="Times New Roman" w:cs="Times New Roman"/>
                      <w:color w:val="auto"/>
                      <w:sz w:val="18"/>
                      <w:szCs w:val="18"/>
                    </w:rPr>
                    <w:t>，主要用于润滑油、液压油等</w:t>
                  </w:r>
                  <w:r>
                    <w:rPr>
                      <w:rFonts w:hint="default" w:ascii="Times New Roman" w:hAnsi="Times New Roman" w:cs="Times New Roman"/>
                      <w:color w:val="auto"/>
                      <w:sz w:val="18"/>
                      <w:szCs w:val="18"/>
                      <w:lang w:val="en-US" w:eastAsia="zh-CN"/>
                    </w:rPr>
                    <w:t>液体物料</w:t>
                  </w:r>
                  <w:r>
                    <w:rPr>
                      <w:rFonts w:hint="default" w:ascii="Times New Roman" w:hAnsi="Times New Roman" w:cs="Times New Roman"/>
                      <w:color w:val="auto"/>
                      <w:sz w:val="18"/>
                      <w:szCs w:val="18"/>
                    </w:rPr>
                    <w:t>的储存，</w:t>
                  </w:r>
                  <w:r>
                    <w:rPr>
                      <w:rFonts w:hint="default" w:ascii="Times New Roman" w:hAnsi="Times New Roman" w:cs="Times New Roman"/>
                      <w:color w:val="auto"/>
                      <w:sz w:val="18"/>
                      <w:szCs w:val="18"/>
                      <w:lang w:val="en-US" w:eastAsia="zh-CN"/>
                    </w:rPr>
                    <w:t>设置</w:t>
                  </w:r>
                  <w:r>
                    <w:rPr>
                      <w:rFonts w:hint="default" w:ascii="Times New Roman" w:hAnsi="Times New Roman" w:cs="Times New Roman"/>
                      <w:color w:val="auto"/>
                      <w:sz w:val="18"/>
                      <w:szCs w:val="18"/>
                      <w:lang w:eastAsia="zh-CN"/>
                    </w:rPr>
                    <w:t>托盘或围堰，以防止油料泄漏。</w:t>
                  </w:r>
                </w:p>
              </w:tc>
              <w:tc>
                <w:tcPr>
                  <w:tcW w:w="704" w:type="pct"/>
                  <w:vMerge w:val="continue"/>
                  <w:noWrap w:val="0"/>
                  <w:vAlign w:val="center"/>
                </w:tcPr>
                <w:p w14:paraId="024E2069">
                  <w:pPr>
                    <w:spacing w:line="300" w:lineRule="exact"/>
                    <w:jc w:val="center"/>
                    <w:rPr>
                      <w:rFonts w:hint="default" w:ascii="Times New Roman" w:hAnsi="Times New Roman" w:cs="Times New Roman"/>
                      <w:bCs/>
                      <w:color w:val="auto"/>
                      <w:sz w:val="18"/>
                      <w:szCs w:val="18"/>
                    </w:rPr>
                  </w:pPr>
                </w:p>
              </w:tc>
            </w:tr>
            <w:tr w14:paraId="176104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5" w:type="pct"/>
                  <w:noWrap w:val="0"/>
                  <w:vAlign w:val="center"/>
                </w:tcPr>
                <w:p w14:paraId="470306E2">
                  <w:pPr>
                    <w:spacing w:line="300" w:lineRule="exact"/>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4</w:t>
                  </w:r>
                </w:p>
              </w:tc>
              <w:tc>
                <w:tcPr>
                  <w:tcW w:w="4604" w:type="pct"/>
                  <w:gridSpan w:val="3"/>
                  <w:noWrap w:val="0"/>
                  <w:vAlign w:val="center"/>
                </w:tcPr>
                <w:p w14:paraId="351BC3C7">
                  <w:pPr>
                    <w:spacing w:line="300" w:lineRule="exact"/>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公用工程</w:t>
                  </w:r>
                </w:p>
              </w:tc>
            </w:tr>
            <w:tr w14:paraId="75945A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5" w:type="pct"/>
                  <w:noWrap w:val="0"/>
                  <w:vAlign w:val="center"/>
                </w:tcPr>
                <w:p w14:paraId="6FFEA0E4">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4.1</w:t>
                  </w:r>
                </w:p>
              </w:tc>
              <w:tc>
                <w:tcPr>
                  <w:tcW w:w="781" w:type="pct"/>
                  <w:noWrap w:val="0"/>
                  <w:vAlign w:val="center"/>
                </w:tcPr>
                <w:p w14:paraId="3D95E133">
                  <w:pPr>
                    <w:spacing w:line="30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供水</w:t>
                  </w:r>
                </w:p>
              </w:tc>
              <w:tc>
                <w:tcPr>
                  <w:tcW w:w="3117" w:type="pct"/>
                  <w:noWrap w:val="0"/>
                  <w:vAlign w:val="center"/>
                </w:tcPr>
                <w:p w14:paraId="5AD11C20">
                  <w:pPr>
                    <w:spacing w:line="30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由园区给水管网供给。年新鲜</w:t>
                  </w:r>
                  <w:r>
                    <w:rPr>
                      <w:rFonts w:hint="default" w:ascii="Times New Roman" w:hAnsi="Times New Roman" w:cs="Times New Roman"/>
                      <w:bCs/>
                      <w:color w:val="auto"/>
                      <w:sz w:val="18"/>
                      <w:szCs w:val="18"/>
                    </w:rPr>
                    <w:t>用水量</w:t>
                  </w:r>
                  <w:r>
                    <w:rPr>
                      <w:rFonts w:hint="eastAsia" w:ascii="Times New Roman" w:hAnsi="Times New Roman" w:cs="Times New Roman"/>
                      <w:bCs/>
                      <w:color w:val="auto"/>
                      <w:sz w:val="18"/>
                      <w:szCs w:val="18"/>
                      <w:lang w:val="en-US" w:eastAsia="zh-CN"/>
                    </w:rPr>
                    <w:t>0.1316</w:t>
                  </w:r>
                  <w:r>
                    <w:rPr>
                      <w:rFonts w:hint="default" w:ascii="Times New Roman" w:hAnsi="Times New Roman" w:cs="Times New Roman"/>
                      <w:bCs/>
                      <w:color w:val="auto"/>
                      <w:sz w:val="18"/>
                      <w:szCs w:val="18"/>
                    </w:rPr>
                    <w:t>万t/a。</w:t>
                  </w:r>
                </w:p>
              </w:tc>
              <w:tc>
                <w:tcPr>
                  <w:tcW w:w="704" w:type="pct"/>
                  <w:noWrap w:val="0"/>
                  <w:vAlign w:val="center"/>
                </w:tcPr>
                <w:p w14:paraId="0BBDC968">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依托</w:t>
                  </w:r>
                </w:p>
              </w:tc>
            </w:tr>
            <w:tr w14:paraId="5A6C89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1" w:hRule="atLeast"/>
                <w:jc w:val="center"/>
              </w:trPr>
              <w:tc>
                <w:tcPr>
                  <w:tcW w:w="395" w:type="pct"/>
                  <w:noWrap w:val="0"/>
                  <w:vAlign w:val="center"/>
                </w:tcPr>
                <w:p w14:paraId="1934A137">
                  <w:pPr>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4.2</w:t>
                  </w:r>
                </w:p>
              </w:tc>
              <w:tc>
                <w:tcPr>
                  <w:tcW w:w="781" w:type="pct"/>
                  <w:noWrap w:val="0"/>
                  <w:vAlign w:val="center"/>
                </w:tcPr>
                <w:p w14:paraId="42C580FA">
                  <w:pPr>
                    <w:spacing w:line="240" w:lineRule="auto"/>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排水</w:t>
                  </w:r>
                </w:p>
              </w:tc>
              <w:tc>
                <w:tcPr>
                  <w:tcW w:w="3117" w:type="pct"/>
                  <w:noWrap w:val="0"/>
                  <w:vAlign w:val="center"/>
                </w:tcPr>
                <w:p w14:paraId="6D16AA04">
                  <w:pPr>
                    <w:adjustRightInd w:val="0"/>
                    <w:snapToGrid w:val="0"/>
                    <w:spacing w:line="240" w:lineRule="auto"/>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排水系统采用雨污分流制。雨水依托厂区现有雨水管收集后排入园区雨水管网。</w:t>
                  </w:r>
                  <w:r>
                    <w:rPr>
                      <w:rFonts w:hint="default" w:ascii="Times New Roman" w:hAnsi="Times New Roman" w:eastAsia="宋体" w:cs="Times New Roman"/>
                      <w:color w:val="auto"/>
                      <w:sz w:val="18"/>
                      <w:szCs w:val="18"/>
                    </w:rPr>
                    <w:t>本项目营运期产生的</w:t>
                  </w:r>
                  <w:r>
                    <w:rPr>
                      <w:rFonts w:hint="eastAsia" w:ascii="Times New Roman" w:hAnsi="Times New Roman" w:cs="Times New Roman"/>
                      <w:color w:val="auto"/>
                      <w:sz w:val="18"/>
                      <w:szCs w:val="18"/>
                      <w:lang w:val="en-US" w:eastAsia="zh-CN"/>
                    </w:rPr>
                    <w:t>地面清洁废水与生活污水</w:t>
                  </w:r>
                  <w:r>
                    <w:rPr>
                      <w:rFonts w:hint="default" w:ascii="Times New Roman" w:hAnsi="Times New Roman" w:eastAsia="宋体" w:cs="Times New Roman"/>
                      <w:color w:val="auto"/>
                      <w:sz w:val="18"/>
                      <w:szCs w:val="18"/>
                      <w:lang w:val="en-US" w:eastAsia="zh-CN"/>
                    </w:rPr>
                    <w:t>一起</w:t>
                  </w:r>
                  <w:r>
                    <w:rPr>
                      <w:rFonts w:hint="eastAsia" w:ascii="Times New Roman" w:hAnsi="Times New Roman" w:cs="Times New Roman"/>
                      <w:color w:val="auto"/>
                      <w:sz w:val="18"/>
                      <w:szCs w:val="18"/>
                      <w:lang w:val="en-US" w:eastAsia="zh-CN"/>
                    </w:rPr>
                    <w:t>排入重庆三花门业现有生化池处理达</w:t>
                  </w:r>
                  <w:r>
                    <w:rPr>
                      <w:rFonts w:hint="default" w:ascii="Times New Roman" w:hAnsi="Times New Roman" w:eastAsia="宋体" w:cs="Times New Roman"/>
                      <w:color w:val="auto"/>
                      <w:sz w:val="18"/>
                      <w:szCs w:val="18"/>
                    </w:rPr>
                    <w:t>《污水综合排放标准》（GB8978-1996）三级标准后</w:t>
                  </w:r>
                  <w:r>
                    <w:rPr>
                      <w:rFonts w:hint="default" w:ascii="Times New Roman" w:hAnsi="Times New Roman" w:eastAsia="宋体" w:cs="Times New Roman"/>
                      <w:color w:val="auto"/>
                      <w:sz w:val="18"/>
                      <w:szCs w:val="18"/>
                      <w:lang w:eastAsia="zh-CN"/>
                    </w:rPr>
                    <w:t>排</w:t>
                  </w:r>
                  <w:r>
                    <w:rPr>
                      <w:rFonts w:hint="default" w:ascii="Times New Roman" w:hAnsi="Times New Roman" w:eastAsia="宋体" w:cs="Times New Roman"/>
                      <w:color w:val="auto"/>
                      <w:sz w:val="18"/>
                      <w:szCs w:val="18"/>
                    </w:rPr>
                    <w:t>入</w:t>
                  </w:r>
                  <w:r>
                    <w:rPr>
                      <w:rFonts w:hint="default" w:ascii="Times New Roman" w:hAnsi="Times New Roman" w:eastAsia="宋体" w:cs="Times New Roman"/>
                      <w:color w:val="auto"/>
                      <w:sz w:val="18"/>
                      <w:szCs w:val="18"/>
                      <w:lang w:eastAsia="zh-CN"/>
                    </w:rPr>
                    <w:t>园区</w:t>
                  </w:r>
                  <w:r>
                    <w:rPr>
                      <w:rFonts w:hint="default" w:ascii="Times New Roman" w:hAnsi="Times New Roman" w:eastAsia="宋体" w:cs="Times New Roman"/>
                      <w:color w:val="auto"/>
                      <w:sz w:val="18"/>
                      <w:szCs w:val="18"/>
                    </w:rPr>
                    <w:t>污水管网进入</w:t>
                  </w:r>
                  <w:r>
                    <w:rPr>
                      <w:rFonts w:hint="eastAsia" w:ascii="Times New Roman" w:hAnsi="Times New Roman" w:cs="Times New Roman"/>
                      <w:color w:val="auto"/>
                      <w:sz w:val="18"/>
                      <w:szCs w:val="18"/>
                      <w:lang w:eastAsia="zh-CN"/>
                    </w:rPr>
                    <w:t>南溪组团A区污水处理厂</w:t>
                  </w:r>
                  <w:r>
                    <w:rPr>
                      <w:rFonts w:hint="default" w:ascii="Times New Roman" w:hAnsi="Times New Roman" w:eastAsia="宋体" w:cs="Times New Roman"/>
                      <w:color w:val="auto"/>
                      <w:sz w:val="18"/>
                      <w:szCs w:val="18"/>
                    </w:rPr>
                    <w:t>进一步处理</w:t>
                  </w:r>
                  <w:r>
                    <w:rPr>
                      <w:rFonts w:hint="eastAsia" w:ascii="Times New Roman" w:hAnsi="Times New Roman" w:cs="Times New Roman"/>
                      <w:color w:val="auto"/>
                      <w:sz w:val="18"/>
                      <w:szCs w:val="18"/>
                      <w:lang w:eastAsia="zh-CN"/>
                    </w:rPr>
                    <w:t>达《城镇污水处理厂污染物排放标准》（GB18918-2002）一级B标后排入建梁河，最后汇入嘉陵江</w:t>
                  </w:r>
                </w:p>
              </w:tc>
              <w:tc>
                <w:tcPr>
                  <w:tcW w:w="704" w:type="pct"/>
                  <w:noWrap w:val="0"/>
                  <w:vAlign w:val="center"/>
                </w:tcPr>
                <w:p w14:paraId="6108FECB">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依托</w:t>
                  </w:r>
                </w:p>
              </w:tc>
            </w:tr>
            <w:tr w14:paraId="7D9C60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1" w:hRule="atLeast"/>
                <w:jc w:val="center"/>
              </w:trPr>
              <w:tc>
                <w:tcPr>
                  <w:tcW w:w="395" w:type="pct"/>
                  <w:noWrap w:val="0"/>
                  <w:vAlign w:val="center"/>
                </w:tcPr>
                <w:p w14:paraId="04EFAE8D">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4.3</w:t>
                  </w:r>
                </w:p>
              </w:tc>
              <w:tc>
                <w:tcPr>
                  <w:tcW w:w="781" w:type="pct"/>
                  <w:noWrap w:val="0"/>
                  <w:vAlign w:val="center"/>
                </w:tcPr>
                <w:p w14:paraId="1115709C">
                  <w:pPr>
                    <w:spacing w:line="30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供电</w:t>
                  </w:r>
                </w:p>
              </w:tc>
              <w:tc>
                <w:tcPr>
                  <w:tcW w:w="3117" w:type="pct"/>
                  <w:noWrap w:val="0"/>
                  <w:vAlign w:val="center"/>
                </w:tcPr>
                <w:p w14:paraId="53CA098A">
                  <w:pPr>
                    <w:spacing w:line="300" w:lineRule="exact"/>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电源由园区电网供给，用电量</w:t>
                  </w:r>
                  <w:r>
                    <w:rPr>
                      <w:rFonts w:hint="eastAsia" w:ascii="Times New Roman" w:hAnsi="Times New Roman" w:cs="Times New Roman"/>
                      <w:bCs/>
                      <w:color w:val="auto"/>
                      <w:sz w:val="18"/>
                      <w:szCs w:val="18"/>
                      <w:lang w:val="en-US" w:eastAsia="zh-CN"/>
                    </w:rPr>
                    <w:t>50</w:t>
                  </w:r>
                  <w:r>
                    <w:rPr>
                      <w:rFonts w:hint="default" w:ascii="Times New Roman" w:hAnsi="Times New Roman" w:cs="Times New Roman"/>
                      <w:bCs/>
                      <w:color w:val="auto"/>
                      <w:sz w:val="18"/>
                      <w:szCs w:val="18"/>
                    </w:rPr>
                    <w:t>万度/a</w:t>
                  </w:r>
                </w:p>
              </w:tc>
              <w:tc>
                <w:tcPr>
                  <w:tcW w:w="704" w:type="pct"/>
                  <w:noWrap w:val="0"/>
                  <w:vAlign w:val="center"/>
                </w:tcPr>
                <w:p w14:paraId="08934FD1">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依托</w:t>
                  </w:r>
                </w:p>
              </w:tc>
            </w:tr>
            <w:tr w14:paraId="0D120D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1" w:hRule="atLeast"/>
                <w:jc w:val="center"/>
              </w:trPr>
              <w:tc>
                <w:tcPr>
                  <w:tcW w:w="395" w:type="pct"/>
                  <w:noWrap w:val="0"/>
                  <w:vAlign w:val="center"/>
                </w:tcPr>
                <w:p w14:paraId="6B66D9D0">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4.4</w:t>
                  </w:r>
                </w:p>
              </w:tc>
              <w:tc>
                <w:tcPr>
                  <w:tcW w:w="781" w:type="pct"/>
                  <w:noWrap w:val="0"/>
                  <w:vAlign w:val="center"/>
                </w:tcPr>
                <w:p w14:paraId="0E18FF31">
                  <w:pPr>
                    <w:spacing w:line="30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供气</w:t>
                  </w:r>
                </w:p>
              </w:tc>
              <w:tc>
                <w:tcPr>
                  <w:tcW w:w="3117" w:type="pct"/>
                  <w:noWrap w:val="0"/>
                  <w:vAlign w:val="center"/>
                </w:tcPr>
                <w:p w14:paraId="0FA4EE6E">
                  <w:pPr>
                    <w:spacing w:line="300" w:lineRule="exact"/>
                    <w:rPr>
                      <w:rFonts w:hint="default" w:ascii="Times New Roman" w:hAnsi="Times New Roman" w:eastAsia="宋体" w:cs="Times New Roman"/>
                      <w:bCs/>
                      <w:color w:val="auto"/>
                      <w:sz w:val="18"/>
                      <w:szCs w:val="18"/>
                      <w:lang w:val="en-US" w:eastAsia="zh-CN"/>
                    </w:rPr>
                  </w:pPr>
                  <w:r>
                    <w:rPr>
                      <w:rFonts w:hint="default" w:ascii="Times New Roman" w:hAnsi="Times New Roman" w:cs="Times New Roman"/>
                      <w:bCs/>
                      <w:color w:val="auto"/>
                      <w:sz w:val="18"/>
                      <w:szCs w:val="18"/>
                    </w:rPr>
                    <w:t>本项目生产、生活过程均不使用天然气；</w:t>
                  </w:r>
                  <w:r>
                    <w:rPr>
                      <w:rFonts w:hint="default" w:ascii="Times New Roman" w:hAnsi="Times New Roman" w:cs="Times New Roman"/>
                      <w:color w:val="auto"/>
                      <w:sz w:val="18"/>
                      <w:szCs w:val="18"/>
                      <w:lang w:val="en-GB"/>
                    </w:rPr>
                    <w:t>压缩空气来源于空压机，用气量约</w:t>
                  </w:r>
                  <w:r>
                    <w:rPr>
                      <w:rFonts w:hint="eastAsia" w:ascii="Times New Roman" w:hAnsi="Times New Roman" w:cs="Times New Roman"/>
                      <w:color w:val="auto"/>
                      <w:sz w:val="18"/>
                      <w:szCs w:val="18"/>
                      <w:lang w:val="en-US" w:eastAsia="zh-CN"/>
                    </w:rPr>
                    <w:t>2</w:t>
                  </w:r>
                  <w:r>
                    <w:rPr>
                      <w:rFonts w:hint="default" w:ascii="Times New Roman" w:hAnsi="Times New Roman" w:cs="Times New Roman"/>
                      <w:bCs/>
                      <w:color w:val="auto"/>
                      <w:sz w:val="18"/>
                      <w:szCs w:val="18"/>
                    </w:rPr>
                    <w:t>m</w:t>
                  </w:r>
                  <w:r>
                    <w:rPr>
                      <w:rFonts w:hint="default" w:ascii="Times New Roman" w:hAnsi="Times New Roman" w:cs="Times New Roman"/>
                      <w:bCs/>
                      <w:color w:val="auto"/>
                      <w:sz w:val="18"/>
                      <w:szCs w:val="18"/>
                      <w:vertAlign w:val="superscript"/>
                    </w:rPr>
                    <w:t>3</w:t>
                  </w:r>
                  <w:r>
                    <w:rPr>
                      <w:rFonts w:hint="default" w:ascii="Times New Roman" w:hAnsi="Times New Roman" w:cs="Times New Roman"/>
                      <w:bCs/>
                      <w:color w:val="auto"/>
                      <w:sz w:val="18"/>
                      <w:szCs w:val="18"/>
                    </w:rPr>
                    <w:t>/</w:t>
                  </w:r>
                  <w:r>
                    <w:rPr>
                      <w:rFonts w:hint="eastAsia" w:ascii="Times New Roman" w:hAnsi="Times New Roman" w:cs="Times New Roman"/>
                      <w:bCs/>
                      <w:color w:val="auto"/>
                      <w:sz w:val="18"/>
                      <w:szCs w:val="18"/>
                      <w:lang w:val="en-US" w:eastAsia="zh-CN"/>
                    </w:rPr>
                    <w:t>min</w:t>
                  </w:r>
                </w:p>
              </w:tc>
              <w:tc>
                <w:tcPr>
                  <w:tcW w:w="704" w:type="pct"/>
                  <w:noWrap w:val="0"/>
                  <w:vAlign w:val="center"/>
                </w:tcPr>
                <w:p w14:paraId="2F05CE2C">
                  <w:pPr>
                    <w:spacing w:line="30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新建</w:t>
                  </w:r>
                </w:p>
              </w:tc>
            </w:tr>
            <w:tr w14:paraId="65C029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3" w:hRule="atLeast"/>
                <w:jc w:val="center"/>
              </w:trPr>
              <w:tc>
                <w:tcPr>
                  <w:tcW w:w="395" w:type="pct"/>
                  <w:noWrap w:val="0"/>
                  <w:vAlign w:val="center"/>
                </w:tcPr>
                <w:p w14:paraId="3EB935D0">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4.5</w:t>
                  </w:r>
                </w:p>
              </w:tc>
              <w:tc>
                <w:tcPr>
                  <w:tcW w:w="781" w:type="pct"/>
                  <w:noWrap w:val="0"/>
                  <w:vAlign w:val="center"/>
                </w:tcPr>
                <w:p w14:paraId="36BC8E89">
                  <w:pPr>
                    <w:spacing w:line="30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冷却系统</w:t>
                  </w:r>
                </w:p>
              </w:tc>
              <w:tc>
                <w:tcPr>
                  <w:tcW w:w="3117" w:type="pct"/>
                  <w:noWrap w:val="0"/>
                  <w:vAlign w:val="center"/>
                </w:tcPr>
                <w:p w14:paraId="7DB809CA">
                  <w:pPr>
                    <w:spacing w:line="300" w:lineRule="exact"/>
                    <w:rPr>
                      <w:rFonts w:hint="default" w:ascii="Times New Roman" w:hAnsi="Times New Roman" w:cs="Times New Roman"/>
                      <w:bCs/>
                      <w:color w:val="auto"/>
                      <w:sz w:val="18"/>
                      <w:szCs w:val="18"/>
                    </w:rPr>
                  </w:pPr>
                  <w:r>
                    <w:rPr>
                      <w:rFonts w:hint="default" w:ascii="Times New Roman" w:hAnsi="Times New Roman" w:cs="Times New Roman"/>
                      <w:color w:val="auto"/>
                      <w:sz w:val="18"/>
                      <w:szCs w:val="18"/>
                    </w:rPr>
                    <w:t>本项目共设置1</w:t>
                  </w:r>
                  <w:r>
                    <w:rPr>
                      <w:rFonts w:hint="eastAsia" w:cs="Times New Roman"/>
                      <w:color w:val="auto"/>
                      <w:sz w:val="18"/>
                      <w:szCs w:val="18"/>
                      <w:lang w:eastAsia="zh-CN"/>
                    </w:rPr>
                    <w:t>座</w:t>
                  </w:r>
                  <w:r>
                    <w:rPr>
                      <w:rFonts w:hint="default" w:ascii="Times New Roman" w:hAnsi="Times New Roman" w:cs="Times New Roman"/>
                      <w:color w:val="auto"/>
                      <w:sz w:val="18"/>
                      <w:szCs w:val="18"/>
                    </w:rPr>
                    <w:t>冷却塔，合计循环水量为</w:t>
                  </w:r>
                  <w:r>
                    <w:rPr>
                      <w:rFonts w:hint="eastAsia" w:ascii="Times New Roman" w:hAnsi="Times New Roman" w:cs="Times New Roman"/>
                      <w:color w:val="auto"/>
                      <w:sz w:val="18"/>
                      <w:szCs w:val="18"/>
                      <w:lang w:val="en-US" w:eastAsia="zh-CN"/>
                    </w:rPr>
                    <w:t>8</w:t>
                  </w:r>
                  <w:r>
                    <w:rPr>
                      <w:rFonts w:hint="default" w:ascii="Times New Roman" w:hAnsi="Times New Roman" w:cs="Times New Roman"/>
                      <w:color w:val="auto"/>
                      <w:sz w:val="18"/>
                      <w:szCs w:val="18"/>
                    </w:rPr>
                    <w:t>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/h，冷却水通过间接冷却的方式来冷却</w:t>
                  </w:r>
                  <w:r>
                    <w:rPr>
                      <w:rFonts w:hint="default" w:ascii="Times New Roman" w:hAnsi="Times New Roman" w:cs="Times New Roman"/>
                      <w:b w:val="0"/>
                      <w:bCs w:val="0"/>
                      <w:color w:val="auto"/>
                      <w:sz w:val="18"/>
                      <w:szCs w:val="18"/>
                      <w:lang w:val="en-US" w:eastAsia="zh-CN"/>
                    </w:rPr>
                    <w:t>注塑机模具</w:t>
                  </w:r>
                  <w:r>
                    <w:rPr>
                      <w:rFonts w:hint="default" w:ascii="Times New Roman" w:hAnsi="Times New Roman" w:cs="Times New Roman"/>
                      <w:color w:val="auto"/>
                      <w:sz w:val="18"/>
                      <w:szCs w:val="18"/>
                    </w:rPr>
                    <w:t>，不与模具和产品直接接触，因此冷却水较清洁，不外排，只需定期添加自来水</w:t>
                  </w:r>
                </w:p>
              </w:tc>
              <w:tc>
                <w:tcPr>
                  <w:tcW w:w="704" w:type="pct"/>
                  <w:noWrap w:val="0"/>
                  <w:vAlign w:val="center"/>
                </w:tcPr>
                <w:p w14:paraId="3F44724D">
                  <w:pPr>
                    <w:spacing w:line="300" w:lineRule="exact"/>
                    <w:jc w:val="center"/>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新建</w:t>
                  </w:r>
                </w:p>
              </w:tc>
            </w:tr>
            <w:tr w14:paraId="2283B3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0" w:hRule="atLeast"/>
                <w:jc w:val="center"/>
              </w:trPr>
              <w:tc>
                <w:tcPr>
                  <w:tcW w:w="395" w:type="pct"/>
                  <w:noWrap w:val="0"/>
                  <w:vAlign w:val="center"/>
                </w:tcPr>
                <w:p w14:paraId="7F20E647">
                  <w:pPr>
                    <w:spacing w:line="300" w:lineRule="exact"/>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5</w:t>
                  </w:r>
                </w:p>
              </w:tc>
              <w:tc>
                <w:tcPr>
                  <w:tcW w:w="4604" w:type="pct"/>
                  <w:gridSpan w:val="3"/>
                  <w:noWrap w:val="0"/>
                  <w:vAlign w:val="center"/>
                </w:tcPr>
                <w:p w14:paraId="07822BCA">
                  <w:pPr>
                    <w:spacing w:line="300" w:lineRule="exact"/>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环保工程</w:t>
                  </w:r>
                </w:p>
              </w:tc>
            </w:tr>
            <w:tr w14:paraId="6A95A7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5" w:type="pct"/>
                  <w:noWrap w:val="0"/>
                  <w:vAlign w:val="center"/>
                </w:tcPr>
                <w:p w14:paraId="236CE466">
                  <w:pPr>
                    <w:spacing w:line="30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5.1</w:t>
                  </w:r>
                </w:p>
              </w:tc>
              <w:tc>
                <w:tcPr>
                  <w:tcW w:w="781" w:type="pct"/>
                  <w:noWrap w:val="0"/>
                  <w:vAlign w:val="center"/>
                </w:tcPr>
                <w:p w14:paraId="794FB42C">
                  <w:pPr>
                    <w:spacing w:line="30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废气</w:t>
                  </w:r>
                </w:p>
              </w:tc>
              <w:tc>
                <w:tcPr>
                  <w:tcW w:w="3117" w:type="pct"/>
                  <w:noWrap w:val="0"/>
                  <w:vAlign w:val="center"/>
                </w:tcPr>
                <w:p w14:paraId="3EE86903">
                  <w:pPr>
                    <w:adjustRightInd w:val="0"/>
                    <w:snapToGrid w:val="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拟在</w:t>
                  </w:r>
                  <w:r>
                    <w:rPr>
                      <w:rFonts w:hint="default" w:ascii="Times New Roman" w:hAnsi="Times New Roman" w:cs="Times New Roman"/>
                      <w:color w:val="auto"/>
                      <w:sz w:val="18"/>
                      <w:szCs w:val="18"/>
                      <w:lang w:val="en-US" w:eastAsia="zh-CN"/>
                    </w:rPr>
                    <w:t>注塑机</w:t>
                  </w:r>
                  <w:r>
                    <w:rPr>
                      <w:rFonts w:hint="default" w:ascii="Times New Roman" w:hAnsi="Times New Roman" w:cs="Times New Roman"/>
                      <w:color w:val="auto"/>
                      <w:sz w:val="18"/>
                      <w:szCs w:val="18"/>
                    </w:rPr>
                    <w:t>上方设置集气罩收集</w:t>
                  </w:r>
                  <w:r>
                    <w:rPr>
                      <w:rFonts w:hint="default" w:ascii="Times New Roman" w:hAnsi="Times New Roman" w:cs="Times New Roman"/>
                      <w:color w:val="auto"/>
                      <w:sz w:val="18"/>
                      <w:szCs w:val="18"/>
                      <w:lang w:val="en-US" w:eastAsia="zh-CN"/>
                    </w:rPr>
                    <w:t>注塑过程中产生的</w:t>
                  </w:r>
                  <w:r>
                    <w:rPr>
                      <w:rFonts w:hint="default" w:ascii="Times New Roman" w:hAnsi="Times New Roman" w:cs="Times New Roman"/>
                      <w:color w:val="auto"/>
                      <w:sz w:val="18"/>
                      <w:szCs w:val="18"/>
                      <w:lang w:eastAsia="zh-CN"/>
                    </w:rPr>
                    <w:t>废气</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废气收集后经过滤棉+两级活性炭处理最后经</w:t>
                  </w:r>
                  <w:r>
                    <w:rPr>
                      <w:rFonts w:hint="eastAsia" w:ascii="Times New Roman" w:hAnsi="Times New Roman" w:cs="Times New Roman"/>
                      <w:color w:val="auto"/>
                      <w:sz w:val="18"/>
                      <w:szCs w:val="18"/>
                      <w:lang w:val="en-US" w:eastAsia="zh-CN"/>
                    </w:rPr>
                    <w:t>25m</w:t>
                  </w:r>
                  <w:r>
                    <w:rPr>
                      <w:rFonts w:hint="default" w:ascii="Times New Roman" w:hAnsi="Times New Roman" w:cs="Times New Roman"/>
                      <w:color w:val="auto"/>
                      <w:sz w:val="18"/>
                      <w:szCs w:val="18"/>
                      <w:lang w:val="en-US" w:eastAsia="zh-CN"/>
                    </w:rPr>
                    <w:t>高排气筒引至楼顶排放</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kern w:val="0"/>
                      <w:sz w:val="18"/>
                      <w:szCs w:val="18"/>
                      <w:lang w:val="en-US" w:eastAsia="zh-CN"/>
                    </w:rPr>
                    <w:t>风机风量为</w:t>
                  </w:r>
                  <w:r>
                    <w:rPr>
                      <w:rFonts w:hint="eastAsia" w:ascii="Times New Roman" w:hAnsi="Times New Roman" w:cs="Times New Roman"/>
                      <w:color w:val="auto"/>
                      <w:kern w:val="0"/>
                      <w:sz w:val="18"/>
                      <w:szCs w:val="18"/>
                      <w:lang w:val="en-US" w:eastAsia="zh-CN"/>
                    </w:rPr>
                    <w:t>14000</w:t>
                  </w:r>
                  <w:r>
                    <w:rPr>
                      <w:rFonts w:hint="default" w:ascii="Times New Roman" w:hAnsi="Times New Roman" w:cs="Times New Roman"/>
                      <w:color w:val="auto"/>
                      <w:sz w:val="18"/>
                      <w:szCs w:val="18"/>
                    </w:rPr>
                    <w:t>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/h</w:t>
                  </w:r>
                </w:p>
              </w:tc>
              <w:tc>
                <w:tcPr>
                  <w:tcW w:w="704" w:type="pct"/>
                  <w:noWrap w:val="0"/>
                  <w:vAlign w:val="center"/>
                </w:tcPr>
                <w:p w14:paraId="592A126D">
                  <w:pPr>
                    <w:jc w:val="center"/>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新建</w:t>
                  </w:r>
                </w:p>
              </w:tc>
            </w:tr>
            <w:tr w14:paraId="1F645C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1" w:hRule="atLeast"/>
                <w:jc w:val="center"/>
              </w:trPr>
              <w:tc>
                <w:tcPr>
                  <w:tcW w:w="395" w:type="pct"/>
                  <w:noWrap w:val="0"/>
                  <w:vAlign w:val="center"/>
                </w:tcPr>
                <w:p w14:paraId="454BBFDE">
                  <w:pPr>
                    <w:spacing w:line="30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5.2</w:t>
                  </w:r>
                </w:p>
              </w:tc>
              <w:tc>
                <w:tcPr>
                  <w:tcW w:w="781" w:type="pct"/>
                  <w:noWrap w:val="0"/>
                  <w:vAlign w:val="center"/>
                </w:tcPr>
                <w:p w14:paraId="265D7D59">
                  <w:pPr>
                    <w:spacing w:line="30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废水</w:t>
                  </w:r>
                </w:p>
              </w:tc>
              <w:tc>
                <w:tcPr>
                  <w:tcW w:w="3117" w:type="pct"/>
                  <w:noWrap w:val="0"/>
                  <w:vAlign w:val="center"/>
                </w:tcPr>
                <w:p w14:paraId="4ED86D40">
                  <w:pPr>
                    <w:spacing w:line="300" w:lineRule="exact"/>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rPr>
                    <w:t>本项目营运期产生的</w:t>
                  </w:r>
                  <w:r>
                    <w:rPr>
                      <w:rFonts w:hint="eastAsia" w:ascii="Times New Roman" w:hAnsi="Times New Roman" w:cs="Times New Roman"/>
                      <w:color w:val="auto"/>
                      <w:sz w:val="18"/>
                      <w:szCs w:val="18"/>
                      <w:lang w:val="en-US" w:eastAsia="zh-CN"/>
                    </w:rPr>
                    <w:t>地面清洁废水与生活污水</w:t>
                  </w:r>
                  <w:r>
                    <w:rPr>
                      <w:rFonts w:hint="default" w:ascii="Times New Roman" w:hAnsi="Times New Roman" w:eastAsia="宋体" w:cs="Times New Roman"/>
                      <w:color w:val="auto"/>
                      <w:sz w:val="18"/>
                      <w:szCs w:val="18"/>
                      <w:lang w:val="en-US" w:eastAsia="zh-CN"/>
                    </w:rPr>
                    <w:t>一起</w:t>
                  </w:r>
                  <w:r>
                    <w:rPr>
                      <w:rFonts w:hint="eastAsia" w:ascii="Times New Roman" w:hAnsi="Times New Roman" w:cs="Times New Roman"/>
                      <w:color w:val="auto"/>
                      <w:sz w:val="18"/>
                      <w:szCs w:val="18"/>
                      <w:lang w:val="en-US" w:eastAsia="zh-CN"/>
                    </w:rPr>
                    <w:t>排入重庆三花门业现有生化池处理达</w:t>
                  </w:r>
                  <w:r>
                    <w:rPr>
                      <w:rFonts w:hint="default" w:ascii="Times New Roman" w:hAnsi="Times New Roman" w:eastAsia="宋体" w:cs="Times New Roman"/>
                      <w:color w:val="auto"/>
                      <w:sz w:val="18"/>
                      <w:szCs w:val="18"/>
                    </w:rPr>
                    <w:t>《污水综合排放标准》（GB8978-1996）三级标准后</w:t>
                  </w:r>
                  <w:r>
                    <w:rPr>
                      <w:rFonts w:hint="default" w:ascii="Times New Roman" w:hAnsi="Times New Roman" w:eastAsia="宋体" w:cs="Times New Roman"/>
                      <w:color w:val="auto"/>
                      <w:sz w:val="18"/>
                      <w:szCs w:val="18"/>
                      <w:lang w:eastAsia="zh-CN"/>
                    </w:rPr>
                    <w:t>排</w:t>
                  </w:r>
                  <w:r>
                    <w:rPr>
                      <w:rFonts w:hint="default" w:ascii="Times New Roman" w:hAnsi="Times New Roman" w:eastAsia="宋体" w:cs="Times New Roman"/>
                      <w:color w:val="auto"/>
                      <w:sz w:val="18"/>
                      <w:szCs w:val="18"/>
                    </w:rPr>
                    <w:t>入</w:t>
                  </w:r>
                  <w:r>
                    <w:rPr>
                      <w:rFonts w:hint="default" w:ascii="Times New Roman" w:hAnsi="Times New Roman" w:eastAsia="宋体" w:cs="Times New Roman"/>
                      <w:color w:val="auto"/>
                      <w:sz w:val="18"/>
                      <w:szCs w:val="18"/>
                      <w:lang w:eastAsia="zh-CN"/>
                    </w:rPr>
                    <w:t>园区</w:t>
                  </w:r>
                  <w:r>
                    <w:rPr>
                      <w:rFonts w:hint="default" w:ascii="Times New Roman" w:hAnsi="Times New Roman" w:eastAsia="宋体" w:cs="Times New Roman"/>
                      <w:color w:val="auto"/>
                      <w:sz w:val="18"/>
                      <w:szCs w:val="18"/>
                    </w:rPr>
                    <w:t>污水管网</w:t>
                  </w:r>
                  <w:r>
                    <w:rPr>
                      <w:rFonts w:hint="default" w:ascii="Times New Roman" w:hAnsi="Times New Roman" w:eastAsia="宋体" w:cs="Times New Roman"/>
                      <w:color w:val="auto"/>
                      <w:sz w:val="18"/>
                      <w:szCs w:val="18"/>
                      <w:lang w:eastAsia="zh-CN"/>
                    </w:rPr>
                    <w:t>，最后</w:t>
                  </w:r>
                  <w:r>
                    <w:rPr>
                      <w:rFonts w:hint="default" w:ascii="Times New Roman" w:hAnsi="Times New Roman" w:eastAsia="宋体" w:cs="Times New Roman"/>
                      <w:color w:val="auto"/>
                      <w:sz w:val="18"/>
                      <w:szCs w:val="18"/>
                    </w:rPr>
                    <w:t>进入</w:t>
                  </w:r>
                  <w:r>
                    <w:rPr>
                      <w:rFonts w:hint="eastAsia" w:ascii="Times New Roman" w:hAnsi="Times New Roman" w:cs="Times New Roman"/>
                      <w:color w:val="auto"/>
                      <w:sz w:val="18"/>
                      <w:szCs w:val="18"/>
                      <w:lang w:eastAsia="zh-CN"/>
                    </w:rPr>
                    <w:t>南溪组团A区污水处理厂</w:t>
                  </w:r>
                  <w:r>
                    <w:rPr>
                      <w:rFonts w:hint="default" w:ascii="Times New Roman" w:hAnsi="Times New Roman" w:eastAsia="宋体" w:cs="Times New Roman"/>
                      <w:color w:val="auto"/>
                      <w:sz w:val="18"/>
                      <w:szCs w:val="18"/>
                    </w:rPr>
                    <w:t>进一步处理</w:t>
                  </w:r>
                  <w:r>
                    <w:rPr>
                      <w:rFonts w:hint="eastAsia" w:ascii="Times New Roman" w:hAnsi="Times New Roman" w:cs="Times New Roman"/>
                      <w:color w:val="auto"/>
                      <w:sz w:val="18"/>
                      <w:szCs w:val="18"/>
                      <w:lang w:eastAsia="zh-CN"/>
                    </w:rPr>
                    <w:t>达《城镇污水处理厂污染物排放标准》（GB18918-2002）一级B标后排入建梁河，最后汇入嘉陵江</w:t>
                  </w:r>
                  <w:r>
                    <w:rPr>
                      <w:rFonts w:hint="default" w:ascii="Times New Roman" w:hAnsi="Times New Roman" w:eastAsia="宋体" w:cs="Times New Roman"/>
                      <w:color w:val="auto"/>
                      <w:sz w:val="18"/>
                      <w:szCs w:val="18"/>
                    </w:rPr>
                    <w:t>。</w:t>
                  </w:r>
                </w:p>
              </w:tc>
              <w:tc>
                <w:tcPr>
                  <w:tcW w:w="704" w:type="pct"/>
                  <w:noWrap w:val="0"/>
                  <w:vAlign w:val="center"/>
                </w:tcPr>
                <w:p w14:paraId="2C337E4F">
                  <w:pPr>
                    <w:jc w:val="center"/>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依托</w:t>
                  </w:r>
                </w:p>
              </w:tc>
            </w:tr>
            <w:tr w14:paraId="780096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5" w:type="pct"/>
                  <w:noWrap w:val="0"/>
                  <w:vAlign w:val="center"/>
                </w:tcPr>
                <w:p w14:paraId="1DF101A1">
                  <w:pPr>
                    <w:spacing w:line="30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5.3</w:t>
                  </w:r>
                </w:p>
              </w:tc>
              <w:tc>
                <w:tcPr>
                  <w:tcW w:w="781" w:type="pct"/>
                  <w:noWrap w:val="0"/>
                  <w:vAlign w:val="center"/>
                </w:tcPr>
                <w:p w14:paraId="1A90EA98">
                  <w:pPr>
                    <w:spacing w:line="30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噪声</w:t>
                  </w:r>
                </w:p>
              </w:tc>
              <w:tc>
                <w:tcPr>
                  <w:tcW w:w="3117" w:type="pct"/>
                  <w:noWrap w:val="0"/>
                  <w:vAlign w:val="center"/>
                </w:tcPr>
                <w:p w14:paraId="124FE24F">
                  <w:pPr>
                    <w:spacing w:line="300" w:lineRule="exact"/>
                    <w:rPr>
                      <w:rFonts w:hint="default" w:ascii="Times New Roman" w:hAnsi="Times New Roman" w:cs="Times New Roman"/>
                      <w:bCs/>
                      <w:color w:val="auto"/>
                      <w:sz w:val="18"/>
                      <w:szCs w:val="18"/>
                    </w:rPr>
                  </w:pPr>
                  <w:r>
                    <w:rPr>
                      <w:rFonts w:hint="default" w:ascii="Times New Roman" w:hAnsi="Times New Roman" w:cs="Times New Roman"/>
                      <w:color w:val="auto"/>
                      <w:sz w:val="18"/>
                      <w:szCs w:val="18"/>
                    </w:rPr>
                    <w:t>合理布置、基础减振、建筑隔声</w:t>
                  </w:r>
                </w:p>
              </w:tc>
              <w:tc>
                <w:tcPr>
                  <w:tcW w:w="704" w:type="pct"/>
                  <w:noWrap w:val="0"/>
                  <w:vAlign w:val="center"/>
                </w:tcPr>
                <w:p w14:paraId="10A69E50">
                  <w:pPr>
                    <w:jc w:val="center"/>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新建</w:t>
                  </w:r>
                </w:p>
              </w:tc>
            </w:tr>
            <w:tr w14:paraId="463FDD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1" w:hRule="atLeast"/>
                <w:jc w:val="center"/>
              </w:trPr>
              <w:tc>
                <w:tcPr>
                  <w:tcW w:w="395" w:type="pct"/>
                  <w:noWrap w:val="0"/>
                  <w:vAlign w:val="center"/>
                </w:tcPr>
                <w:p w14:paraId="74DB8E83">
                  <w:pPr>
                    <w:spacing w:line="30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5.4</w:t>
                  </w:r>
                </w:p>
              </w:tc>
              <w:tc>
                <w:tcPr>
                  <w:tcW w:w="781" w:type="pct"/>
                  <w:noWrap w:val="0"/>
                  <w:vAlign w:val="center"/>
                </w:tcPr>
                <w:p w14:paraId="541903DF">
                  <w:pPr>
                    <w:spacing w:line="30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固体废物</w:t>
                  </w:r>
                </w:p>
              </w:tc>
              <w:tc>
                <w:tcPr>
                  <w:tcW w:w="3117" w:type="pct"/>
                  <w:noWrap w:val="0"/>
                  <w:vAlign w:val="center"/>
                </w:tcPr>
                <w:p w14:paraId="59FF9B6A">
                  <w:pPr>
                    <w:spacing w:line="240" w:lineRule="auto"/>
                    <w:rPr>
                      <w:rFonts w:hint="default" w:ascii="Times New Roman" w:hAnsi="Times New Roman" w:cs="Times New Roman"/>
                      <w:snapToGrid w:val="0"/>
                      <w:color w:val="auto"/>
                      <w:kern w:val="0"/>
                      <w:sz w:val="18"/>
                      <w:szCs w:val="18"/>
                    </w:rPr>
                  </w:pPr>
                  <w:r>
                    <w:rPr>
                      <w:rFonts w:hint="default" w:ascii="Times New Roman" w:hAnsi="Times New Roman" w:cs="Times New Roman"/>
                      <w:b/>
                      <w:color w:val="auto"/>
                      <w:sz w:val="18"/>
                      <w:szCs w:val="18"/>
                    </w:rPr>
                    <w:t>①一般工业固体废物：</w:t>
                  </w:r>
                  <w:r>
                    <w:rPr>
                      <w:rFonts w:hint="default" w:ascii="Times New Roman" w:hAnsi="Times New Roman" w:cs="Times New Roman"/>
                      <w:color w:val="auto"/>
                      <w:sz w:val="18"/>
                      <w:szCs w:val="18"/>
                    </w:rPr>
                    <w:t>一般工业固体废物</w:t>
                  </w:r>
                  <w:r>
                    <w:rPr>
                      <w:rFonts w:hint="default" w:ascii="Times New Roman" w:hAnsi="Times New Roman" w:cs="Times New Roman"/>
                      <w:color w:val="auto"/>
                      <w:sz w:val="18"/>
                      <w:szCs w:val="18"/>
                      <w:lang w:eastAsia="zh-CN"/>
                    </w:rPr>
                    <w:t>主要为</w:t>
                  </w:r>
                  <w:r>
                    <w:rPr>
                      <w:rFonts w:hint="eastAsia" w:ascii="Times New Roman" w:hAnsi="Times New Roman" w:cs="Times New Roman"/>
                      <w:color w:val="auto"/>
                      <w:sz w:val="18"/>
                      <w:szCs w:val="18"/>
                      <w:lang w:eastAsia="zh-CN"/>
                    </w:rPr>
                    <w:t>废包装材料、废边角料、不合格品</w:t>
                  </w:r>
                  <w:r>
                    <w:rPr>
                      <w:rFonts w:hint="default" w:ascii="Times New Roman" w:hAnsi="Times New Roman" w:cs="Times New Roman"/>
                      <w:color w:val="auto"/>
                      <w:sz w:val="18"/>
                      <w:szCs w:val="18"/>
                    </w:rPr>
                    <w:t>，</w:t>
                  </w:r>
                  <w:r>
                    <w:rPr>
                      <w:rFonts w:hint="eastAsia" w:ascii="Times New Roman" w:hAnsi="Times New Roman" w:cs="Times New Roman"/>
                      <w:color w:val="auto"/>
                      <w:sz w:val="18"/>
                      <w:szCs w:val="18"/>
                      <w:lang w:eastAsia="zh-CN"/>
                    </w:rPr>
                    <w:t>废包装材料</w:t>
                  </w:r>
                  <w:r>
                    <w:rPr>
                      <w:rFonts w:hint="default" w:ascii="Times New Roman" w:hAnsi="Times New Roman" w:cs="Times New Roman"/>
                      <w:color w:val="auto"/>
                      <w:sz w:val="18"/>
                      <w:szCs w:val="18"/>
                      <w:lang w:eastAsia="zh-CN"/>
                    </w:rPr>
                    <w:t>集中收集后交由废品回收单位处理，</w:t>
                  </w:r>
                  <w:r>
                    <w:rPr>
                      <w:rFonts w:hint="eastAsia" w:ascii="Times New Roman" w:hAnsi="Times New Roman" w:cs="Times New Roman"/>
                      <w:color w:val="auto"/>
                      <w:sz w:val="18"/>
                      <w:szCs w:val="18"/>
                      <w:lang w:eastAsia="zh-CN"/>
                    </w:rPr>
                    <w:t>废边角料及不合格产品破</w:t>
                  </w:r>
                  <w:r>
                    <w:rPr>
                      <w:rFonts w:hint="default" w:ascii="Times New Roman" w:hAnsi="Times New Roman" w:cs="Times New Roman"/>
                      <w:color w:val="auto"/>
                      <w:sz w:val="18"/>
                      <w:szCs w:val="18"/>
                      <w:lang w:eastAsia="zh-CN"/>
                    </w:rPr>
                    <w:t>碎后回用于生产线</w:t>
                  </w:r>
                  <w:r>
                    <w:rPr>
                      <w:rFonts w:hint="default" w:ascii="Times New Roman" w:hAnsi="Times New Roman" w:cs="Times New Roman"/>
                      <w:color w:val="auto"/>
                      <w:sz w:val="18"/>
                      <w:szCs w:val="18"/>
                    </w:rPr>
                    <w:t>，</w:t>
                  </w:r>
                  <w:r>
                    <w:rPr>
                      <w:rFonts w:hint="default" w:ascii="Times New Roman" w:hAnsi="Times New Roman" w:eastAsia="宋体" w:cs="Times New Roman"/>
                      <w:color w:val="auto"/>
                      <w:sz w:val="18"/>
                      <w:szCs w:val="18"/>
                    </w:rPr>
                    <w:t>设一般固废暂存点，</w:t>
                  </w:r>
                  <w:r>
                    <w:rPr>
                      <w:rFonts w:hint="eastAsia" w:ascii="Times New Roman" w:hAnsi="Times New Roman" w:cs="Times New Roman"/>
                      <w:color w:val="auto"/>
                      <w:sz w:val="18"/>
                      <w:szCs w:val="18"/>
                      <w:lang w:eastAsia="zh-CN"/>
                    </w:rPr>
                    <w:t>位于厂区外南侧</w:t>
                  </w:r>
                  <w:r>
                    <w:rPr>
                      <w:rFonts w:hint="default" w:ascii="Times New Roman" w:hAnsi="Times New Roman" w:eastAsia="宋体" w:cs="Times New Roman"/>
                      <w:color w:val="auto"/>
                      <w:sz w:val="18"/>
                      <w:szCs w:val="18"/>
                    </w:rPr>
                    <w:t>，约</w:t>
                  </w:r>
                  <w:r>
                    <w:rPr>
                      <w:rFonts w:hint="eastAsia" w:ascii="Times New Roman" w:hAnsi="Times New Roman" w:cs="Times New Roman"/>
                      <w:color w:val="auto"/>
                      <w:sz w:val="18"/>
                      <w:szCs w:val="18"/>
                      <w:lang w:val="en-US" w:eastAsia="zh-CN"/>
                    </w:rPr>
                    <w:t>5</w:t>
                  </w:r>
                  <w:r>
                    <w:rPr>
                      <w:rFonts w:hint="default" w:ascii="Times New Roman" w:hAnsi="Times New Roman" w:eastAsia="宋体" w:cs="Times New Roman"/>
                      <w:color w:val="auto"/>
                      <w:sz w:val="18"/>
                      <w:szCs w:val="18"/>
                    </w:rPr>
                    <w:t>m</w:t>
                  </w:r>
                  <w:r>
                    <w:rPr>
                      <w:rFonts w:hint="default" w:ascii="Times New Roman" w:hAnsi="Times New Roman" w:eastAsia="宋体" w:cs="Times New Roman"/>
                      <w:color w:val="auto"/>
                      <w:sz w:val="18"/>
                      <w:szCs w:val="18"/>
                      <w:vertAlign w:val="superscript"/>
                    </w:rPr>
                    <w:t>2</w:t>
                  </w:r>
                  <w:r>
                    <w:rPr>
                      <w:rFonts w:hint="default" w:ascii="Times New Roman" w:hAnsi="Times New Roman" w:eastAsia="宋体" w:cs="Times New Roman"/>
                      <w:color w:val="auto"/>
                      <w:sz w:val="18"/>
                      <w:szCs w:val="18"/>
                    </w:rPr>
                    <w:t>，设标识牌</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并做好防渗漏、防雨淋、防扬尘措施。</w:t>
                  </w:r>
                </w:p>
                <w:p w14:paraId="78B364A3">
                  <w:pPr>
                    <w:spacing w:line="240" w:lineRule="auto"/>
                    <w:rPr>
                      <w:rFonts w:hint="default" w:ascii="Times New Roman" w:hAnsi="Times New Roman" w:cs="Times New Roman"/>
                      <w:bCs/>
                      <w:color w:val="auto"/>
                      <w:sz w:val="18"/>
                      <w:szCs w:val="18"/>
                      <w:lang w:eastAsia="zh-CN"/>
                    </w:rPr>
                  </w:pPr>
                  <w:r>
                    <w:rPr>
                      <w:rFonts w:hint="default" w:ascii="Times New Roman" w:hAnsi="Times New Roman" w:cs="Times New Roman"/>
                      <w:b/>
                      <w:color w:val="auto"/>
                      <w:sz w:val="18"/>
                      <w:szCs w:val="18"/>
                    </w:rPr>
                    <w:t>②危险废物：</w:t>
                  </w:r>
                  <w:r>
                    <w:rPr>
                      <w:rFonts w:hint="default" w:ascii="Times New Roman" w:hAnsi="Times New Roman" w:cs="Times New Roman"/>
                      <w:color w:val="auto"/>
                      <w:sz w:val="18"/>
                      <w:szCs w:val="18"/>
                    </w:rPr>
                    <w:t>主要为</w:t>
                  </w:r>
                  <w:r>
                    <w:rPr>
                      <w:rFonts w:hint="eastAsia" w:cs="Times New Roman"/>
                      <w:color w:val="auto"/>
                      <w:sz w:val="18"/>
                      <w:szCs w:val="18"/>
                      <w:lang w:eastAsia="zh-CN"/>
                    </w:rPr>
                    <w:t>废油桶</w:t>
                  </w:r>
                  <w:r>
                    <w:rPr>
                      <w:rFonts w:hint="eastAsia" w:ascii="Times New Roman" w:hAnsi="Times New Roman" w:cs="Times New Roman"/>
                      <w:color w:val="auto"/>
                      <w:sz w:val="18"/>
                      <w:szCs w:val="18"/>
                      <w:lang w:eastAsia="zh-CN"/>
                    </w:rPr>
                    <w:t>、废矿物油、废含油棉纱和手套、废活性炭、废过滤棉、空压机含油冷凝液</w:t>
                  </w:r>
                  <w:r>
                    <w:rPr>
                      <w:rFonts w:hint="default" w:ascii="Times New Roman" w:hAnsi="Times New Roman" w:cs="Times New Roman"/>
                      <w:color w:val="auto"/>
                      <w:sz w:val="18"/>
                      <w:szCs w:val="18"/>
                    </w:rPr>
                    <w:t>，分类收集后暂存于</w:t>
                  </w:r>
                  <w:r>
                    <w:rPr>
                      <w:rFonts w:hint="eastAsia" w:ascii="Times New Roman" w:hAnsi="Times New Roman" w:cs="Times New Roman"/>
                      <w:color w:val="auto"/>
                      <w:sz w:val="18"/>
                      <w:szCs w:val="18"/>
                      <w:lang w:eastAsia="zh-CN"/>
                    </w:rPr>
                    <w:t>危险废物贮存库</w:t>
                  </w:r>
                  <w:r>
                    <w:rPr>
                      <w:rFonts w:hint="default" w:ascii="Times New Roman" w:hAnsi="Times New Roman" w:cs="Times New Roman"/>
                      <w:color w:val="auto"/>
                      <w:sz w:val="18"/>
                      <w:szCs w:val="18"/>
                    </w:rPr>
                    <w:t>，定期交有资质单位处置。</w:t>
                  </w:r>
                  <w:r>
                    <w:rPr>
                      <w:rFonts w:hint="default" w:ascii="Times New Roman" w:hAnsi="Times New Roman" w:eastAsia="宋体" w:cs="Times New Roman"/>
                      <w:b w:val="0"/>
                      <w:bCs w:val="0"/>
                      <w:snapToGrid w:val="0"/>
                      <w:color w:val="auto"/>
                      <w:kern w:val="0"/>
                      <w:sz w:val="18"/>
                      <w:szCs w:val="18"/>
                    </w:rPr>
                    <w:t>设置一个</w:t>
                  </w:r>
                  <w:r>
                    <w:rPr>
                      <w:rFonts w:hint="eastAsia" w:ascii="Times New Roman" w:hAnsi="Times New Roman" w:cs="Times New Roman"/>
                      <w:b w:val="0"/>
                      <w:bCs w:val="0"/>
                      <w:snapToGrid w:val="0"/>
                      <w:color w:val="auto"/>
                      <w:kern w:val="0"/>
                      <w:sz w:val="18"/>
                      <w:szCs w:val="18"/>
                      <w:lang w:eastAsia="zh-CN"/>
                    </w:rPr>
                    <w:t>危险废物贮存库</w:t>
                  </w:r>
                  <w:r>
                    <w:rPr>
                      <w:rFonts w:hint="default" w:ascii="Times New Roman" w:hAnsi="Times New Roman" w:eastAsia="宋体" w:cs="Times New Roman"/>
                      <w:b w:val="0"/>
                      <w:bCs w:val="0"/>
                      <w:snapToGrid w:val="0"/>
                      <w:color w:val="auto"/>
                      <w:kern w:val="0"/>
                      <w:sz w:val="18"/>
                      <w:szCs w:val="18"/>
                    </w:rPr>
                    <w:t>，约</w:t>
                  </w:r>
                  <w:r>
                    <w:rPr>
                      <w:rFonts w:hint="default" w:ascii="Times New Roman" w:hAnsi="Times New Roman" w:cs="Times New Roman"/>
                      <w:b w:val="0"/>
                      <w:bCs w:val="0"/>
                      <w:snapToGrid w:val="0"/>
                      <w:color w:val="auto"/>
                      <w:kern w:val="0"/>
                      <w:sz w:val="18"/>
                      <w:szCs w:val="18"/>
                      <w:lang w:val="en-US" w:eastAsia="zh-CN"/>
                    </w:rPr>
                    <w:t>5</w:t>
                  </w:r>
                  <w:r>
                    <w:rPr>
                      <w:rFonts w:hint="default" w:ascii="Times New Roman" w:hAnsi="Times New Roman" w:eastAsia="宋体" w:cs="Times New Roman"/>
                      <w:b w:val="0"/>
                      <w:bCs w:val="0"/>
                      <w:snapToGrid w:val="0"/>
                      <w:color w:val="auto"/>
                      <w:kern w:val="0"/>
                      <w:sz w:val="18"/>
                      <w:szCs w:val="18"/>
                      <w:lang w:val="en-US" w:eastAsia="zh-CN"/>
                    </w:rPr>
                    <w:t>m</w:t>
                  </w:r>
                  <w:r>
                    <w:rPr>
                      <w:rFonts w:hint="default" w:ascii="Times New Roman" w:hAnsi="Times New Roman" w:eastAsia="宋体" w:cs="Times New Roman"/>
                      <w:b w:val="0"/>
                      <w:bCs w:val="0"/>
                      <w:snapToGrid w:val="0"/>
                      <w:color w:val="auto"/>
                      <w:kern w:val="0"/>
                      <w:sz w:val="18"/>
                      <w:szCs w:val="18"/>
                      <w:vertAlign w:val="superscript"/>
                    </w:rPr>
                    <w:t>2</w:t>
                  </w:r>
                  <w:r>
                    <w:rPr>
                      <w:rFonts w:hint="default" w:ascii="Times New Roman" w:hAnsi="Times New Roman" w:eastAsia="宋体" w:cs="Times New Roman"/>
                      <w:b w:val="0"/>
                      <w:bCs w:val="0"/>
                      <w:snapToGrid w:val="0"/>
                      <w:color w:val="auto"/>
                      <w:kern w:val="0"/>
                      <w:sz w:val="18"/>
                      <w:szCs w:val="18"/>
                    </w:rPr>
                    <w:t>，</w:t>
                  </w:r>
                  <w:r>
                    <w:rPr>
                      <w:rFonts w:hint="eastAsia" w:ascii="Times New Roman" w:hAnsi="Times New Roman" w:cs="Times New Roman"/>
                      <w:color w:val="auto"/>
                      <w:sz w:val="18"/>
                      <w:szCs w:val="18"/>
                      <w:lang w:eastAsia="zh-CN"/>
                    </w:rPr>
                    <w:t>位于厂区外南侧</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设标识牌</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并做好</w:t>
                  </w:r>
                  <w:r>
                    <w:rPr>
                      <w:rFonts w:hint="default" w:ascii="Times New Roman" w:hAnsi="Times New Roman" w:cs="Times New Roman"/>
                      <w:bCs/>
                      <w:color w:val="auto"/>
                      <w:sz w:val="18"/>
                      <w:szCs w:val="18"/>
                    </w:rPr>
                    <w:t>防风、防晒、防雨、防漏、防渗、防腐以及其他环境污染防治措施</w:t>
                  </w:r>
                  <w:r>
                    <w:rPr>
                      <w:rFonts w:hint="default" w:ascii="Times New Roman" w:hAnsi="Times New Roman" w:cs="Times New Roman"/>
                      <w:bCs/>
                      <w:color w:val="auto"/>
                      <w:sz w:val="18"/>
                      <w:szCs w:val="18"/>
                      <w:lang w:eastAsia="zh-CN"/>
                    </w:rPr>
                    <w:t>。</w:t>
                  </w:r>
                </w:p>
                <w:p w14:paraId="0EBB0C37">
                  <w:pPr>
                    <w:adjustRightInd w:val="0"/>
                    <w:snapToGrid w:val="0"/>
                    <w:rPr>
                      <w:rFonts w:hint="default" w:ascii="Times New Roman" w:hAnsi="Times New Roman" w:cs="Times New Roman"/>
                      <w:bCs/>
                      <w:color w:val="auto"/>
                      <w:sz w:val="18"/>
                      <w:szCs w:val="18"/>
                    </w:rPr>
                  </w:pPr>
                  <w:r>
                    <w:rPr>
                      <w:rFonts w:hint="default" w:ascii="Times New Roman" w:hAnsi="Times New Roman" w:eastAsia="宋体" w:cs="Times New Roman"/>
                      <w:b/>
                      <w:color w:val="auto"/>
                      <w:sz w:val="18"/>
                      <w:szCs w:val="18"/>
                    </w:rPr>
                    <w:t>③生活垃圾：</w:t>
                  </w:r>
                  <w:r>
                    <w:rPr>
                      <w:rFonts w:hint="default" w:ascii="Times New Roman" w:hAnsi="Times New Roman" w:eastAsia="宋体" w:cs="Times New Roman"/>
                      <w:color w:val="auto"/>
                      <w:sz w:val="18"/>
                      <w:szCs w:val="18"/>
                    </w:rPr>
                    <w:t>集中收集后交由环卫部门统一收集处理。</w:t>
                  </w:r>
                </w:p>
              </w:tc>
              <w:tc>
                <w:tcPr>
                  <w:tcW w:w="704" w:type="pct"/>
                  <w:noWrap w:val="0"/>
                  <w:vAlign w:val="center"/>
                </w:tcPr>
                <w:p w14:paraId="4B2CC761">
                  <w:pPr>
                    <w:spacing w:line="300" w:lineRule="exact"/>
                    <w:jc w:val="center"/>
                    <w:rPr>
                      <w:rFonts w:hint="default" w:ascii="Times New Roman" w:hAnsi="Times New Roman" w:eastAsia="宋体" w:cs="Times New Roman"/>
                      <w:bCs/>
                      <w:color w:val="auto"/>
                      <w:sz w:val="18"/>
                      <w:szCs w:val="18"/>
                      <w:lang w:eastAsia="zh-CN"/>
                    </w:rPr>
                  </w:pPr>
                  <w:r>
                    <w:rPr>
                      <w:rFonts w:hint="default" w:ascii="Times New Roman" w:hAnsi="Times New Roman" w:cs="Times New Roman"/>
                      <w:bCs/>
                      <w:color w:val="auto"/>
                      <w:sz w:val="18"/>
                      <w:szCs w:val="18"/>
                      <w:lang w:val="en-US" w:eastAsia="zh-CN"/>
                    </w:rPr>
                    <w:t>新建</w:t>
                  </w:r>
                </w:p>
              </w:tc>
            </w:tr>
          </w:tbl>
          <w:p w14:paraId="5EE23650">
            <w:pPr>
              <w:pStyle w:val="26"/>
              <w:adjustRightInd w:val="0"/>
              <w:snapToGrid w:val="0"/>
              <w:spacing w:before="0" w:beforeAutospacing="0" w:after="0" w:afterAutospacing="0" w:line="360" w:lineRule="auto"/>
              <w:jc w:val="both"/>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2.3.4劳动定员及工作制度</w:t>
            </w:r>
          </w:p>
          <w:p w14:paraId="43F10531">
            <w:pPr>
              <w:spacing w:line="360" w:lineRule="auto"/>
              <w:ind w:firstLine="422" w:firstLineChars="200"/>
              <w:outlineLvl w:val="1"/>
              <w:rPr>
                <w:rFonts w:hint="default" w:ascii="Times New Roman" w:hAnsi="Times New Roman" w:cs="Times New Roman"/>
                <w:b/>
                <w:color w:val="auto"/>
                <w:szCs w:val="21"/>
              </w:rPr>
            </w:pPr>
            <w:bookmarkStart w:id="48" w:name="_Toc34490622"/>
            <w:bookmarkStart w:id="49" w:name="_Toc34493759"/>
            <w:bookmarkStart w:id="50" w:name="_Toc34494952"/>
            <w:bookmarkStart w:id="51" w:name="_Toc34491707"/>
            <w:r>
              <w:rPr>
                <w:rFonts w:hint="default" w:ascii="Times New Roman" w:hAnsi="Times New Roman" w:cs="Times New Roman"/>
                <w:b/>
                <w:color w:val="auto"/>
                <w:kern w:val="0"/>
                <w:szCs w:val="21"/>
              </w:rPr>
              <w:t>劳动定员：</w:t>
            </w:r>
            <w:bookmarkEnd w:id="48"/>
            <w:bookmarkEnd w:id="49"/>
            <w:bookmarkEnd w:id="50"/>
            <w:bookmarkEnd w:id="51"/>
            <w:r>
              <w:rPr>
                <w:rFonts w:hint="eastAsia" w:ascii="Times New Roman" w:hAnsi="Times New Roman" w:cs="Times New Roman"/>
                <w:bCs/>
                <w:color w:val="auto"/>
                <w:kern w:val="0"/>
                <w:szCs w:val="21"/>
                <w:lang w:val="en-US" w:eastAsia="zh-CN"/>
              </w:rPr>
              <w:t>本项目劳动定员10</w:t>
            </w:r>
            <w:r>
              <w:rPr>
                <w:rFonts w:hint="default" w:ascii="Times New Roman" w:hAnsi="Times New Roman" w:cs="Times New Roman"/>
                <w:bCs/>
                <w:color w:val="auto"/>
                <w:kern w:val="0"/>
                <w:szCs w:val="21"/>
                <w:lang w:val="en-US" w:eastAsia="zh-CN"/>
              </w:rPr>
              <w:t>人</w:t>
            </w:r>
            <w:r>
              <w:rPr>
                <w:rFonts w:hint="default" w:ascii="Times New Roman" w:hAnsi="Times New Roman" w:cs="Times New Roman"/>
                <w:bCs/>
                <w:color w:val="auto"/>
                <w:kern w:val="0"/>
                <w:szCs w:val="21"/>
              </w:rPr>
              <w:t>，</w:t>
            </w:r>
            <w:r>
              <w:rPr>
                <w:rFonts w:hint="eastAsia" w:ascii="Times New Roman" w:hAnsi="Times New Roman" w:cs="Times New Roman"/>
                <w:bCs/>
                <w:color w:val="auto"/>
                <w:kern w:val="0"/>
                <w:szCs w:val="21"/>
                <w:lang w:val="en-US" w:eastAsia="zh-CN"/>
              </w:rPr>
              <w:t>不设食堂和住宿</w:t>
            </w:r>
            <w:r>
              <w:rPr>
                <w:rFonts w:hint="default" w:ascii="Times New Roman" w:hAnsi="Times New Roman" w:cs="Times New Roman"/>
                <w:bCs/>
                <w:color w:val="auto"/>
                <w:szCs w:val="21"/>
              </w:rPr>
              <w:t>。</w:t>
            </w:r>
          </w:p>
          <w:p w14:paraId="6FEC4C2C">
            <w:pPr>
              <w:spacing w:line="360" w:lineRule="auto"/>
              <w:ind w:firstLine="422" w:firstLineChars="200"/>
              <w:outlineLvl w:val="1"/>
              <w:rPr>
                <w:rFonts w:hint="default" w:ascii="Times New Roman" w:hAnsi="Times New Roman" w:cs="Times New Roman"/>
                <w:color w:val="auto"/>
                <w:szCs w:val="21"/>
              </w:rPr>
            </w:pPr>
            <w:bookmarkStart w:id="52" w:name="_Toc34491708"/>
            <w:bookmarkStart w:id="53" w:name="_Toc34494953"/>
            <w:bookmarkStart w:id="54" w:name="_Toc34493760"/>
            <w:bookmarkStart w:id="55" w:name="_Toc34490623"/>
            <w:r>
              <w:rPr>
                <w:rFonts w:hint="default" w:ascii="Times New Roman" w:hAnsi="Times New Roman" w:cs="Times New Roman"/>
                <w:b/>
                <w:color w:val="auto"/>
                <w:szCs w:val="21"/>
              </w:rPr>
              <w:t>工作制度：</w:t>
            </w:r>
            <w:r>
              <w:rPr>
                <w:rFonts w:hint="default" w:ascii="Times New Roman" w:hAnsi="Times New Roman" w:cs="Times New Roman"/>
                <w:color w:val="auto"/>
                <w:szCs w:val="21"/>
              </w:rPr>
              <w:t>年工作300天，</w:t>
            </w:r>
            <w:r>
              <w:rPr>
                <w:rFonts w:hint="eastAsia" w:ascii="Times New Roman" w:hAnsi="Times New Roman" w:cs="Times New Roman"/>
                <w:color w:val="auto"/>
                <w:szCs w:val="21"/>
                <w:lang w:val="en-US" w:eastAsia="zh-CN"/>
              </w:rPr>
              <w:t>3</w:t>
            </w:r>
            <w:r>
              <w:rPr>
                <w:rFonts w:hint="default" w:ascii="Times New Roman" w:hAnsi="Times New Roman" w:cs="Times New Roman"/>
                <w:color w:val="auto"/>
                <w:szCs w:val="21"/>
              </w:rPr>
              <w:t>班制，8h/班</w:t>
            </w:r>
            <w:bookmarkEnd w:id="52"/>
            <w:bookmarkEnd w:id="53"/>
            <w:bookmarkEnd w:id="54"/>
            <w:bookmarkEnd w:id="55"/>
            <w:r>
              <w:rPr>
                <w:rFonts w:hint="default" w:ascii="Times New Roman" w:hAnsi="Times New Roman" w:cs="Times New Roman"/>
                <w:color w:val="auto"/>
                <w:szCs w:val="21"/>
              </w:rPr>
              <w:t>。</w:t>
            </w:r>
          </w:p>
          <w:p w14:paraId="24CA3F47">
            <w:pPr>
              <w:adjustRightInd w:val="0"/>
              <w:snapToGrid w:val="0"/>
              <w:spacing w:line="360" w:lineRule="auto"/>
              <w:outlineLvl w:val="1"/>
              <w:rPr>
                <w:rFonts w:hint="default" w:ascii="Times New Roman" w:hAnsi="Times New Roman" w:cs="Times New Roman"/>
                <w:b/>
                <w:color w:val="auto"/>
                <w:szCs w:val="21"/>
              </w:rPr>
            </w:pPr>
            <w:r>
              <w:rPr>
                <w:rFonts w:hint="default" w:ascii="Times New Roman" w:hAnsi="Times New Roman" w:cs="Times New Roman"/>
                <w:b/>
                <w:color w:val="auto"/>
                <w:szCs w:val="21"/>
              </w:rPr>
              <w:t>2.3.5项目主要生产设备</w:t>
            </w:r>
          </w:p>
          <w:p w14:paraId="46CFC6E3">
            <w:pPr>
              <w:adjustRightInd w:val="0"/>
              <w:snapToGrid w:val="0"/>
              <w:ind w:firstLine="422" w:firstLineChars="200"/>
              <w:jc w:val="center"/>
              <w:outlineLvl w:val="1"/>
              <w:rPr>
                <w:rFonts w:hint="default" w:ascii="Times New Roman" w:hAnsi="Times New Roman" w:cs="Times New Roman"/>
                <w:b/>
                <w:color w:val="auto"/>
                <w:szCs w:val="21"/>
              </w:rPr>
            </w:pPr>
            <w:r>
              <w:rPr>
                <w:rFonts w:hint="default" w:ascii="Times New Roman" w:hAnsi="Times New Roman" w:cs="Times New Roman"/>
                <w:b/>
                <w:color w:val="auto"/>
                <w:szCs w:val="21"/>
              </w:rPr>
              <w:t>表2-3  本项目主要生产设备一览表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3"/>
              <w:gridCol w:w="2306"/>
              <w:gridCol w:w="2251"/>
              <w:gridCol w:w="1159"/>
              <w:gridCol w:w="1770"/>
            </w:tblGrid>
            <w:tr w14:paraId="78047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78" w:type="pct"/>
                  <w:noWrap w:val="0"/>
                  <w:vAlign w:val="center"/>
                </w:tcPr>
                <w:p w14:paraId="370710D9">
                  <w:pPr>
                    <w:widowControl/>
                    <w:spacing w:line="240" w:lineRule="auto"/>
                    <w:jc w:val="center"/>
                    <w:rPr>
                      <w:rFonts w:hint="default" w:ascii="Times New Roman" w:hAnsi="Times New Roman" w:cs="Times New Roman"/>
                      <w:b/>
                      <w:color w:val="auto"/>
                      <w:kern w:val="0"/>
                      <w:sz w:val="18"/>
                      <w:szCs w:val="18"/>
                    </w:rPr>
                  </w:pPr>
                  <w:r>
                    <w:rPr>
                      <w:rFonts w:hint="default" w:ascii="Times New Roman" w:hAnsi="Times New Roman" w:cs="Times New Roman"/>
                      <w:b/>
                      <w:color w:val="auto"/>
                      <w:kern w:val="0"/>
                      <w:sz w:val="18"/>
                      <w:szCs w:val="18"/>
                    </w:rPr>
                    <w:t>序号</w:t>
                  </w:r>
                </w:p>
              </w:tc>
              <w:tc>
                <w:tcPr>
                  <w:tcW w:w="1423" w:type="pct"/>
                  <w:noWrap w:val="0"/>
                  <w:vAlign w:val="center"/>
                </w:tcPr>
                <w:p w14:paraId="242D281A">
                  <w:pPr>
                    <w:widowControl/>
                    <w:spacing w:line="240" w:lineRule="auto"/>
                    <w:jc w:val="center"/>
                    <w:rPr>
                      <w:rFonts w:hint="default" w:ascii="Times New Roman" w:hAnsi="Times New Roman" w:cs="Times New Roman"/>
                      <w:b/>
                      <w:color w:val="auto"/>
                      <w:kern w:val="0"/>
                      <w:sz w:val="18"/>
                      <w:szCs w:val="18"/>
                    </w:rPr>
                  </w:pPr>
                  <w:r>
                    <w:rPr>
                      <w:rFonts w:hint="default" w:ascii="Times New Roman" w:hAnsi="Times New Roman" w:cs="Times New Roman"/>
                      <w:b/>
                      <w:color w:val="auto"/>
                      <w:kern w:val="0"/>
                      <w:sz w:val="18"/>
                      <w:szCs w:val="18"/>
                    </w:rPr>
                    <w:t>设备名称</w:t>
                  </w:r>
                </w:p>
              </w:tc>
              <w:tc>
                <w:tcPr>
                  <w:tcW w:w="1389" w:type="pct"/>
                  <w:noWrap w:val="0"/>
                  <w:vAlign w:val="center"/>
                </w:tcPr>
                <w:p w14:paraId="137AD4B6">
                  <w:pPr>
                    <w:widowControl/>
                    <w:spacing w:line="240" w:lineRule="auto"/>
                    <w:jc w:val="center"/>
                    <w:rPr>
                      <w:rFonts w:hint="default" w:ascii="Times New Roman" w:hAnsi="Times New Roman" w:cs="Times New Roman"/>
                      <w:b/>
                      <w:color w:val="auto"/>
                      <w:kern w:val="0"/>
                      <w:sz w:val="18"/>
                      <w:szCs w:val="18"/>
                    </w:rPr>
                  </w:pPr>
                  <w:r>
                    <w:rPr>
                      <w:rFonts w:hint="default" w:ascii="Times New Roman" w:hAnsi="Times New Roman" w:cs="Times New Roman"/>
                      <w:b/>
                      <w:color w:val="auto"/>
                      <w:kern w:val="0"/>
                      <w:sz w:val="18"/>
                      <w:szCs w:val="18"/>
                    </w:rPr>
                    <w:t>型号及规格</w:t>
                  </w:r>
                </w:p>
              </w:tc>
              <w:tc>
                <w:tcPr>
                  <w:tcW w:w="715" w:type="pct"/>
                  <w:noWrap w:val="0"/>
                  <w:vAlign w:val="center"/>
                </w:tcPr>
                <w:p w14:paraId="7E0C7D27">
                  <w:pPr>
                    <w:widowControl/>
                    <w:spacing w:line="240" w:lineRule="auto"/>
                    <w:jc w:val="center"/>
                    <w:rPr>
                      <w:rFonts w:hint="default" w:ascii="Times New Roman" w:hAnsi="Times New Roman" w:cs="Times New Roman"/>
                      <w:b/>
                      <w:color w:val="auto"/>
                      <w:kern w:val="0"/>
                      <w:sz w:val="18"/>
                      <w:szCs w:val="18"/>
                    </w:rPr>
                  </w:pPr>
                  <w:r>
                    <w:rPr>
                      <w:rFonts w:hint="eastAsia" w:ascii="Times New Roman" w:hAnsi="Times New Roman" w:cs="Times New Roman"/>
                      <w:b/>
                      <w:color w:val="auto"/>
                      <w:kern w:val="0"/>
                      <w:sz w:val="18"/>
                      <w:szCs w:val="18"/>
                      <w:lang w:val="en-US" w:eastAsia="zh-CN"/>
                    </w:rPr>
                    <w:t>数量</w:t>
                  </w:r>
                  <w:r>
                    <w:rPr>
                      <w:rFonts w:hint="default" w:ascii="Times New Roman" w:hAnsi="Times New Roman" w:cs="Times New Roman"/>
                      <w:b/>
                      <w:color w:val="auto"/>
                      <w:kern w:val="0"/>
                      <w:sz w:val="18"/>
                      <w:szCs w:val="18"/>
                    </w:rPr>
                    <w:t>（台）</w:t>
                  </w:r>
                </w:p>
              </w:tc>
              <w:tc>
                <w:tcPr>
                  <w:tcW w:w="1092" w:type="pct"/>
                  <w:noWrap w:val="0"/>
                  <w:vAlign w:val="center"/>
                </w:tcPr>
                <w:p w14:paraId="5FE242FE">
                  <w:pPr>
                    <w:widowControl/>
                    <w:spacing w:line="240" w:lineRule="auto"/>
                    <w:jc w:val="center"/>
                    <w:rPr>
                      <w:rFonts w:hint="default" w:ascii="Times New Roman" w:hAnsi="Times New Roman" w:cs="Times New Roman"/>
                      <w:b/>
                      <w:color w:val="auto"/>
                      <w:kern w:val="0"/>
                      <w:sz w:val="18"/>
                      <w:szCs w:val="18"/>
                    </w:rPr>
                  </w:pPr>
                  <w:r>
                    <w:rPr>
                      <w:rFonts w:hint="default" w:ascii="Times New Roman" w:hAnsi="Times New Roman" w:cs="Times New Roman"/>
                      <w:b/>
                      <w:color w:val="auto"/>
                      <w:kern w:val="0"/>
                      <w:sz w:val="18"/>
                      <w:szCs w:val="18"/>
                    </w:rPr>
                    <w:t>用途</w:t>
                  </w:r>
                </w:p>
              </w:tc>
            </w:tr>
            <w:tr w14:paraId="70050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378" w:type="pct"/>
                  <w:noWrap w:val="0"/>
                  <w:vAlign w:val="center"/>
                </w:tcPr>
                <w:p w14:paraId="4C64F19E">
                  <w:pPr>
                    <w:spacing w:line="240" w:lineRule="auto"/>
                    <w:jc w:val="center"/>
                    <w:rPr>
                      <w:rFonts w:hint="default" w:ascii="Times New Roman" w:hAnsi="Times New Roman" w:cs="Times New Roman"/>
                      <w:bCs/>
                      <w:color w:val="auto"/>
                      <w:kern w:val="0"/>
                      <w:sz w:val="18"/>
                      <w:szCs w:val="18"/>
                    </w:rPr>
                  </w:pPr>
                  <w:r>
                    <w:rPr>
                      <w:rFonts w:hint="default" w:ascii="Times New Roman" w:hAnsi="Times New Roman" w:cs="Times New Roman"/>
                      <w:bCs/>
                      <w:color w:val="auto"/>
                      <w:sz w:val="18"/>
                      <w:szCs w:val="18"/>
                    </w:rPr>
                    <w:t>1</w:t>
                  </w:r>
                </w:p>
              </w:tc>
              <w:tc>
                <w:tcPr>
                  <w:tcW w:w="1423" w:type="pct"/>
                  <w:vMerge w:val="restart"/>
                  <w:noWrap w:val="0"/>
                  <w:vAlign w:val="center"/>
                </w:tcPr>
                <w:p w14:paraId="188A0078">
                  <w:pPr>
                    <w:pStyle w:val="113"/>
                    <w:spacing w:line="240" w:lineRule="auto"/>
                    <w:jc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注塑机</w:t>
                  </w:r>
                </w:p>
              </w:tc>
              <w:tc>
                <w:tcPr>
                  <w:tcW w:w="1389" w:type="pct"/>
                  <w:noWrap w:val="0"/>
                  <w:vAlign w:val="center"/>
                </w:tcPr>
                <w:p w14:paraId="7869AFE4">
                  <w:pPr>
                    <w:pStyle w:val="124"/>
                    <w:ind w:firstLine="0" w:firstLineChars="0"/>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UN260SKIII</w:t>
                  </w:r>
                </w:p>
              </w:tc>
              <w:tc>
                <w:tcPr>
                  <w:tcW w:w="715" w:type="pct"/>
                  <w:noWrap w:val="0"/>
                  <w:vAlign w:val="center"/>
                </w:tcPr>
                <w:p w14:paraId="17725F75">
                  <w:pPr>
                    <w:keepNext w:val="0"/>
                    <w:keepLines w:val="0"/>
                    <w:widowControl/>
                    <w:suppressLineNumbers w:val="0"/>
                    <w:jc w:val="center"/>
                    <w:textAlignment w:val="center"/>
                    <w:rPr>
                      <w:rFonts w:hint="default" w:ascii="Times New Roman" w:hAnsi="Times New Roman" w:eastAsia="宋体" w:cs="Times New Roman"/>
                      <w:color w:val="auto"/>
                      <w:kern w:val="0"/>
                      <w:sz w:val="18"/>
                      <w:szCs w:val="18"/>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w:t>
                  </w:r>
                </w:p>
              </w:tc>
              <w:tc>
                <w:tcPr>
                  <w:tcW w:w="1092" w:type="pct"/>
                  <w:vMerge w:val="restart"/>
                  <w:noWrap w:val="0"/>
                  <w:vAlign w:val="center"/>
                </w:tcPr>
                <w:p w14:paraId="60BADE55">
                  <w:pPr>
                    <w:widowControl/>
                    <w:spacing w:line="240" w:lineRule="auto"/>
                    <w:jc w:val="center"/>
                    <w:rPr>
                      <w:rFonts w:hint="default" w:ascii="Times New Roman" w:hAnsi="Times New Roman" w:cs="Times New Roman"/>
                      <w:bCs/>
                      <w:color w:val="auto"/>
                      <w:kern w:val="0"/>
                      <w:sz w:val="18"/>
                      <w:szCs w:val="18"/>
                    </w:rPr>
                  </w:pPr>
                  <w:r>
                    <w:rPr>
                      <w:rFonts w:hint="default" w:ascii="Times New Roman" w:hAnsi="Times New Roman" w:eastAsia="宋体" w:cs="Times New Roman"/>
                      <w:bCs/>
                      <w:color w:val="auto"/>
                      <w:kern w:val="0"/>
                      <w:sz w:val="18"/>
                      <w:szCs w:val="18"/>
                      <w:lang w:val="en-US" w:eastAsia="zh-CN" w:bidi="ar-SA"/>
                    </w:rPr>
                    <w:t>进料、加热、注塑成型、冷却、脱模</w:t>
                  </w:r>
                </w:p>
              </w:tc>
            </w:tr>
            <w:tr w14:paraId="7F757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 w:hRule="atLeast"/>
                <w:jc w:val="center"/>
              </w:trPr>
              <w:tc>
                <w:tcPr>
                  <w:tcW w:w="378" w:type="pct"/>
                  <w:noWrap w:val="0"/>
                  <w:vAlign w:val="center"/>
                </w:tcPr>
                <w:p w14:paraId="58604930">
                  <w:pPr>
                    <w:spacing w:line="240" w:lineRule="auto"/>
                    <w:jc w:val="center"/>
                    <w:rPr>
                      <w:rFonts w:hint="default" w:ascii="Times New Roman" w:hAnsi="Times New Roman" w:eastAsia="宋体" w:cs="Times New Roman"/>
                      <w:bCs/>
                      <w:color w:val="auto"/>
                      <w:kern w:val="0"/>
                      <w:sz w:val="18"/>
                      <w:szCs w:val="18"/>
                      <w:lang w:val="en-US" w:eastAsia="zh-CN"/>
                    </w:rPr>
                  </w:pPr>
                  <w:r>
                    <w:rPr>
                      <w:rFonts w:hint="default" w:ascii="Times New Roman" w:hAnsi="Times New Roman" w:cs="Times New Roman"/>
                      <w:bCs/>
                      <w:color w:val="auto"/>
                      <w:kern w:val="0"/>
                      <w:sz w:val="18"/>
                      <w:szCs w:val="18"/>
                      <w:lang w:val="en-US" w:eastAsia="zh-CN"/>
                    </w:rPr>
                    <w:t>2</w:t>
                  </w:r>
                </w:p>
              </w:tc>
              <w:tc>
                <w:tcPr>
                  <w:tcW w:w="1423" w:type="pct"/>
                  <w:vMerge w:val="continue"/>
                  <w:noWrap w:val="0"/>
                  <w:vAlign w:val="center"/>
                </w:tcPr>
                <w:p w14:paraId="6341E9C2">
                  <w:pPr>
                    <w:pStyle w:val="113"/>
                    <w:spacing w:line="240" w:lineRule="auto"/>
                    <w:jc w:val="center"/>
                    <w:rPr>
                      <w:rFonts w:hint="default" w:ascii="Times New Roman" w:hAnsi="Times New Roman" w:eastAsia="宋体" w:cs="Times New Roman"/>
                      <w:color w:val="auto"/>
                      <w:kern w:val="2"/>
                      <w:sz w:val="18"/>
                      <w:szCs w:val="18"/>
                      <w:lang w:val="en-US" w:eastAsia="zh-CN" w:bidi="ar-SA"/>
                    </w:rPr>
                  </w:pPr>
                </w:p>
              </w:tc>
              <w:tc>
                <w:tcPr>
                  <w:tcW w:w="1389" w:type="pct"/>
                  <w:noWrap w:val="0"/>
                  <w:vAlign w:val="center"/>
                </w:tcPr>
                <w:p w14:paraId="0B2E0AE8">
                  <w:pPr>
                    <w:pStyle w:val="124"/>
                    <w:ind w:firstLine="0" w:firstLineChars="0"/>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UN160SKIII</w:t>
                  </w:r>
                </w:p>
              </w:tc>
              <w:tc>
                <w:tcPr>
                  <w:tcW w:w="715" w:type="pct"/>
                  <w:noWrap w:val="0"/>
                  <w:vAlign w:val="center"/>
                </w:tcPr>
                <w:p w14:paraId="7DE68F9F">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olor w:val="auto"/>
                      <w:kern w:val="0"/>
                      <w:sz w:val="18"/>
                      <w:szCs w:val="18"/>
                      <w:u w:val="none"/>
                      <w:lang w:val="en-US" w:eastAsia="zh-CN" w:bidi="ar"/>
                    </w:rPr>
                    <w:t>8</w:t>
                  </w:r>
                </w:p>
              </w:tc>
              <w:tc>
                <w:tcPr>
                  <w:tcW w:w="1092" w:type="pct"/>
                  <w:vMerge w:val="continue"/>
                  <w:noWrap w:val="0"/>
                  <w:vAlign w:val="center"/>
                </w:tcPr>
                <w:p w14:paraId="51A36FF5">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18"/>
                      <w:szCs w:val="18"/>
                      <w:lang w:val="en-US" w:eastAsia="zh-CN" w:bidi="ar"/>
                    </w:rPr>
                  </w:pPr>
                </w:p>
              </w:tc>
            </w:tr>
            <w:tr w14:paraId="7DC30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2" w:hRule="atLeast"/>
                <w:jc w:val="center"/>
              </w:trPr>
              <w:tc>
                <w:tcPr>
                  <w:tcW w:w="378" w:type="pct"/>
                  <w:noWrap w:val="0"/>
                  <w:vAlign w:val="center"/>
                </w:tcPr>
                <w:p w14:paraId="3AB326FF">
                  <w:pPr>
                    <w:spacing w:line="240" w:lineRule="auto"/>
                    <w:jc w:val="center"/>
                    <w:rPr>
                      <w:rFonts w:hint="default"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3</w:t>
                  </w:r>
                </w:p>
              </w:tc>
              <w:tc>
                <w:tcPr>
                  <w:tcW w:w="1423" w:type="pct"/>
                  <w:noWrap w:val="0"/>
                  <w:vAlign w:val="center"/>
                </w:tcPr>
                <w:p w14:paraId="267FCE78">
                  <w:pPr>
                    <w:widowControl/>
                    <w:jc w:val="center"/>
                    <w:textAlignment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rPr>
                    <w:t>空压机</w:t>
                  </w:r>
                </w:p>
              </w:tc>
              <w:tc>
                <w:tcPr>
                  <w:tcW w:w="1389" w:type="pct"/>
                  <w:noWrap w:val="0"/>
                  <w:vAlign w:val="center"/>
                </w:tcPr>
                <w:p w14:paraId="28B73E1B">
                  <w:pPr>
                    <w:widowControl/>
                    <w:jc w:val="center"/>
                    <w:textAlignment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13kW</w:t>
                  </w:r>
                  <w:r>
                    <w:rPr>
                      <w:rFonts w:hint="eastAsia"/>
                      <w:color w:val="auto"/>
                      <w:sz w:val="18"/>
                      <w:szCs w:val="18"/>
                    </w:rPr>
                    <w:t>/2m</w:t>
                  </w:r>
                  <w:r>
                    <w:rPr>
                      <w:rFonts w:hint="eastAsia"/>
                      <w:color w:val="auto"/>
                      <w:sz w:val="18"/>
                      <w:szCs w:val="18"/>
                      <w:vertAlign w:val="superscript"/>
                    </w:rPr>
                    <w:t>3</w:t>
                  </w:r>
                </w:p>
              </w:tc>
              <w:tc>
                <w:tcPr>
                  <w:tcW w:w="715" w:type="pct"/>
                  <w:noWrap w:val="0"/>
                  <w:vAlign w:val="center"/>
                </w:tcPr>
                <w:p w14:paraId="4C9B80C4">
                  <w:pPr>
                    <w:widowControl/>
                    <w:jc w:val="center"/>
                    <w:textAlignment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rPr>
                    <w:t>1</w:t>
                  </w:r>
                </w:p>
              </w:tc>
              <w:tc>
                <w:tcPr>
                  <w:tcW w:w="1092" w:type="pct"/>
                  <w:noWrap w:val="0"/>
                  <w:vAlign w:val="center"/>
                </w:tcPr>
                <w:p w14:paraId="2B964F09">
                  <w:pPr>
                    <w:jc w:val="center"/>
                    <w:rPr>
                      <w:rFonts w:hint="default" w:ascii="Times New Roman" w:hAnsi="Times New Roman" w:eastAsia="宋体" w:cs="Times New Roman"/>
                      <w:color w:val="auto"/>
                      <w:kern w:val="2"/>
                      <w:sz w:val="18"/>
                      <w:szCs w:val="18"/>
                      <w:lang w:val="en-US" w:eastAsia="zh-TW" w:bidi="ar-SA"/>
                    </w:rPr>
                  </w:pPr>
                  <w:r>
                    <w:rPr>
                      <w:rFonts w:hint="default" w:ascii="Times New Roman" w:hAnsi="Times New Roman" w:cs="Times New Roman"/>
                      <w:bCs/>
                      <w:color w:val="auto"/>
                      <w:kern w:val="0"/>
                      <w:sz w:val="18"/>
                      <w:szCs w:val="18"/>
                      <w:lang w:val="en-US" w:eastAsia="zh-CN"/>
                    </w:rPr>
                    <w:t>辅助动力</w:t>
                  </w:r>
                </w:p>
              </w:tc>
            </w:tr>
            <w:tr w14:paraId="19DFC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378" w:type="pct"/>
                  <w:noWrap w:val="0"/>
                  <w:vAlign w:val="center"/>
                </w:tcPr>
                <w:p w14:paraId="68ED3270">
                  <w:pPr>
                    <w:spacing w:line="240" w:lineRule="auto"/>
                    <w:jc w:val="center"/>
                    <w:rPr>
                      <w:rFonts w:hint="default" w:ascii="Times New Roman" w:hAnsi="Times New Roman" w:eastAsia="宋体" w:cs="Times New Roman"/>
                      <w:bCs/>
                      <w:color w:val="auto"/>
                      <w:kern w:val="0"/>
                      <w:sz w:val="18"/>
                      <w:szCs w:val="18"/>
                      <w:lang w:val="en-US" w:eastAsia="zh-CN" w:bidi="ar-SA"/>
                    </w:rPr>
                  </w:pPr>
                  <w:r>
                    <w:rPr>
                      <w:rFonts w:hint="eastAsia" w:ascii="Times New Roman" w:hAnsi="Times New Roman" w:cs="Times New Roman"/>
                      <w:bCs/>
                      <w:color w:val="auto"/>
                      <w:kern w:val="0"/>
                      <w:sz w:val="18"/>
                      <w:szCs w:val="18"/>
                      <w:lang w:val="en-US" w:eastAsia="zh-CN" w:bidi="ar-SA"/>
                    </w:rPr>
                    <w:t>4</w:t>
                  </w:r>
                </w:p>
              </w:tc>
              <w:tc>
                <w:tcPr>
                  <w:tcW w:w="1423" w:type="pct"/>
                  <w:vMerge w:val="restart"/>
                  <w:noWrap w:val="0"/>
                  <w:vAlign w:val="center"/>
                </w:tcPr>
                <w:p w14:paraId="673B1BEF">
                  <w:pPr>
                    <w:widowControl/>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eastAsia="zh-CN"/>
                    </w:rPr>
                    <w:t>破碎机</w:t>
                  </w:r>
                </w:p>
              </w:tc>
              <w:tc>
                <w:tcPr>
                  <w:tcW w:w="1389" w:type="pct"/>
                  <w:noWrap w:val="0"/>
                  <w:vAlign w:val="center"/>
                </w:tcPr>
                <w:p w14:paraId="5008944C">
                  <w:pPr>
                    <w:pStyle w:val="124"/>
                    <w:ind w:firstLine="0" w:firstLineChars="0"/>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PG400</w:t>
                  </w:r>
                </w:p>
              </w:tc>
              <w:tc>
                <w:tcPr>
                  <w:tcW w:w="715" w:type="pct"/>
                  <w:noWrap w:val="0"/>
                  <w:vAlign w:val="center"/>
                </w:tcPr>
                <w:p w14:paraId="6A58D7FE">
                  <w:pPr>
                    <w:widowControl/>
                    <w:jc w:val="center"/>
                    <w:textAlignment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rPr>
                    <w:t>1</w:t>
                  </w:r>
                </w:p>
              </w:tc>
              <w:tc>
                <w:tcPr>
                  <w:tcW w:w="1092" w:type="pct"/>
                  <w:noWrap w:val="0"/>
                  <w:vAlign w:val="center"/>
                </w:tcPr>
                <w:p w14:paraId="731AEECA">
                  <w:pPr>
                    <w:jc w:val="center"/>
                    <w:rPr>
                      <w:rFonts w:hint="default" w:ascii="Times New Roman" w:hAnsi="Times New Roman" w:eastAsia="宋体" w:cs="Times New Roman"/>
                      <w:color w:val="auto"/>
                      <w:kern w:val="2"/>
                      <w:sz w:val="18"/>
                      <w:szCs w:val="18"/>
                      <w:lang w:val="en-US" w:eastAsia="zh-TW" w:bidi="ar-SA"/>
                    </w:rPr>
                  </w:pPr>
                  <w:r>
                    <w:rPr>
                      <w:rFonts w:hint="eastAsia" w:ascii="Times New Roman" w:hAnsi="Times New Roman" w:cs="Times New Roman"/>
                      <w:bCs/>
                      <w:color w:val="auto"/>
                      <w:kern w:val="0"/>
                      <w:sz w:val="18"/>
                      <w:szCs w:val="18"/>
                      <w:lang w:val="en-US" w:eastAsia="zh-CN"/>
                    </w:rPr>
                    <w:t>废</w:t>
                  </w:r>
                  <w:r>
                    <w:rPr>
                      <w:rFonts w:hint="default" w:ascii="Times New Roman" w:hAnsi="Times New Roman" w:cs="Times New Roman"/>
                      <w:bCs/>
                      <w:color w:val="auto"/>
                      <w:kern w:val="0"/>
                      <w:sz w:val="18"/>
                      <w:szCs w:val="18"/>
                      <w:lang w:val="en-US" w:eastAsia="zh-CN"/>
                    </w:rPr>
                    <w:t>料破碎</w:t>
                  </w:r>
                </w:p>
              </w:tc>
            </w:tr>
            <w:tr w14:paraId="3884B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78" w:type="pct"/>
                  <w:noWrap w:val="0"/>
                  <w:vAlign w:val="center"/>
                </w:tcPr>
                <w:p w14:paraId="55079824">
                  <w:pPr>
                    <w:spacing w:line="240" w:lineRule="auto"/>
                    <w:jc w:val="center"/>
                    <w:rPr>
                      <w:rFonts w:hint="default" w:ascii="Times New Roman" w:hAnsi="Times New Roman" w:cs="Times New Roman"/>
                      <w:bCs/>
                      <w:color w:val="auto"/>
                      <w:kern w:val="0"/>
                      <w:sz w:val="18"/>
                      <w:szCs w:val="18"/>
                      <w:lang w:val="en-US" w:eastAsia="zh-CN"/>
                    </w:rPr>
                  </w:pPr>
                  <w:r>
                    <w:rPr>
                      <w:rFonts w:hint="eastAsia" w:ascii="Times New Roman" w:hAnsi="Times New Roman" w:cs="Times New Roman"/>
                      <w:bCs/>
                      <w:color w:val="auto"/>
                      <w:kern w:val="0"/>
                      <w:sz w:val="18"/>
                      <w:szCs w:val="18"/>
                      <w:lang w:val="en-US" w:eastAsia="zh-CN"/>
                    </w:rPr>
                    <w:t>5</w:t>
                  </w:r>
                </w:p>
              </w:tc>
              <w:tc>
                <w:tcPr>
                  <w:tcW w:w="1423" w:type="pct"/>
                  <w:vMerge w:val="continue"/>
                  <w:noWrap w:val="0"/>
                  <w:vAlign w:val="center"/>
                </w:tcPr>
                <w:p w14:paraId="3788E4BD">
                  <w:pPr>
                    <w:widowControl/>
                    <w:jc w:val="center"/>
                    <w:textAlignment w:val="center"/>
                    <w:rPr>
                      <w:rFonts w:hint="eastAsia"/>
                      <w:color w:val="auto"/>
                      <w:sz w:val="18"/>
                      <w:szCs w:val="18"/>
                      <w:lang w:eastAsia="zh-CN"/>
                    </w:rPr>
                  </w:pPr>
                </w:p>
              </w:tc>
              <w:tc>
                <w:tcPr>
                  <w:tcW w:w="1389" w:type="pct"/>
                  <w:noWrap w:val="0"/>
                  <w:vAlign w:val="center"/>
                </w:tcPr>
                <w:p w14:paraId="547DC13A">
                  <w:pPr>
                    <w:pStyle w:val="124"/>
                    <w:ind w:firstLine="0" w:firstLineChars="0"/>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PG10</w:t>
                  </w:r>
                </w:p>
              </w:tc>
              <w:tc>
                <w:tcPr>
                  <w:tcW w:w="715" w:type="pct"/>
                  <w:noWrap w:val="0"/>
                  <w:vAlign w:val="center"/>
                </w:tcPr>
                <w:p w14:paraId="55AE778B">
                  <w:pPr>
                    <w:widowControl/>
                    <w:jc w:val="center"/>
                    <w:textAlignment w:val="center"/>
                    <w:rPr>
                      <w:rFonts w:hint="eastAsia" w:eastAsia="宋体"/>
                      <w:color w:val="auto"/>
                      <w:sz w:val="18"/>
                      <w:szCs w:val="18"/>
                      <w:lang w:val="en-US" w:eastAsia="zh-CN"/>
                    </w:rPr>
                  </w:pPr>
                  <w:r>
                    <w:rPr>
                      <w:rFonts w:hint="eastAsia"/>
                      <w:color w:val="auto"/>
                      <w:sz w:val="18"/>
                      <w:szCs w:val="18"/>
                      <w:lang w:val="en-US" w:eastAsia="zh-CN"/>
                    </w:rPr>
                    <w:t>1</w:t>
                  </w:r>
                </w:p>
              </w:tc>
              <w:tc>
                <w:tcPr>
                  <w:tcW w:w="1092" w:type="pct"/>
                  <w:noWrap w:val="0"/>
                  <w:vAlign w:val="center"/>
                </w:tcPr>
                <w:p w14:paraId="7A60CD07">
                  <w:pPr>
                    <w:jc w:val="center"/>
                    <w:rPr>
                      <w:rFonts w:hint="eastAsia" w:ascii="Times New Roman" w:hAnsi="Times New Roman" w:cs="Times New Roman"/>
                      <w:bCs/>
                      <w:color w:val="auto"/>
                      <w:kern w:val="0"/>
                      <w:sz w:val="18"/>
                      <w:szCs w:val="18"/>
                      <w:lang w:val="en-US" w:eastAsia="zh-CN"/>
                    </w:rPr>
                  </w:pPr>
                  <w:r>
                    <w:rPr>
                      <w:rFonts w:hint="eastAsia" w:ascii="Times New Roman" w:hAnsi="Times New Roman" w:cs="Times New Roman"/>
                      <w:bCs/>
                      <w:color w:val="auto"/>
                      <w:kern w:val="0"/>
                      <w:sz w:val="18"/>
                      <w:szCs w:val="18"/>
                      <w:lang w:val="en-US" w:eastAsia="zh-CN"/>
                    </w:rPr>
                    <w:t>废</w:t>
                  </w:r>
                  <w:r>
                    <w:rPr>
                      <w:rFonts w:hint="default" w:ascii="Times New Roman" w:hAnsi="Times New Roman" w:cs="Times New Roman"/>
                      <w:bCs/>
                      <w:color w:val="auto"/>
                      <w:kern w:val="0"/>
                      <w:sz w:val="18"/>
                      <w:szCs w:val="18"/>
                      <w:lang w:val="en-US" w:eastAsia="zh-CN"/>
                    </w:rPr>
                    <w:t>料破碎</w:t>
                  </w:r>
                </w:p>
              </w:tc>
            </w:tr>
            <w:tr w14:paraId="241DB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jc w:val="center"/>
              </w:trPr>
              <w:tc>
                <w:tcPr>
                  <w:tcW w:w="378" w:type="pct"/>
                  <w:noWrap w:val="0"/>
                  <w:vAlign w:val="center"/>
                </w:tcPr>
                <w:p w14:paraId="5A6D98E3">
                  <w:pPr>
                    <w:spacing w:line="240" w:lineRule="auto"/>
                    <w:jc w:val="center"/>
                    <w:rPr>
                      <w:rFonts w:hint="default" w:ascii="Times New Roman" w:hAnsi="Times New Roman" w:eastAsia="宋体" w:cs="Times New Roman"/>
                      <w:bCs/>
                      <w:color w:val="auto"/>
                      <w:kern w:val="0"/>
                      <w:sz w:val="18"/>
                      <w:szCs w:val="18"/>
                      <w:lang w:val="en-US" w:eastAsia="zh-CN" w:bidi="ar-SA"/>
                    </w:rPr>
                  </w:pPr>
                  <w:r>
                    <w:rPr>
                      <w:rFonts w:hint="eastAsia" w:ascii="Times New Roman" w:hAnsi="Times New Roman" w:cs="Times New Roman"/>
                      <w:bCs/>
                      <w:color w:val="auto"/>
                      <w:kern w:val="0"/>
                      <w:sz w:val="18"/>
                      <w:szCs w:val="18"/>
                      <w:lang w:val="en-US" w:eastAsia="zh-CN" w:bidi="ar-SA"/>
                    </w:rPr>
                    <w:t>6</w:t>
                  </w:r>
                </w:p>
              </w:tc>
              <w:tc>
                <w:tcPr>
                  <w:tcW w:w="1423" w:type="pct"/>
                  <w:noWrap w:val="0"/>
                  <w:vAlign w:val="center"/>
                </w:tcPr>
                <w:p w14:paraId="27DBC151">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cs="Times New Roman"/>
                      <w:color w:val="auto"/>
                      <w:kern w:val="0"/>
                      <w:sz w:val="18"/>
                      <w:szCs w:val="18"/>
                      <w:lang w:val="en-US" w:eastAsia="zh-CN" w:bidi="ar"/>
                    </w:rPr>
                    <w:t>冷却塔</w:t>
                  </w:r>
                </w:p>
              </w:tc>
              <w:tc>
                <w:tcPr>
                  <w:tcW w:w="1389" w:type="pct"/>
                  <w:noWrap w:val="0"/>
                  <w:vAlign w:val="center"/>
                </w:tcPr>
                <w:p w14:paraId="208DB48E">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18"/>
                      <w:szCs w:val="18"/>
                      <w:lang w:val="en-US" w:eastAsia="zh-CN" w:bidi="ar"/>
                    </w:rPr>
                  </w:pPr>
                  <w:r>
                    <w:rPr>
                      <w:rFonts w:hint="eastAsia" w:ascii="Times New Roman" w:hAnsi="Times New Roman" w:eastAsia="宋体" w:cs="Times New Roman"/>
                      <w:color w:val="auto"/>
                      <w:kern w:val="0"/>
                      <w:sz w:val="18"/>
                      <w:szCs w:val="18"/>
                      <w:lang w:val="en-US" w:eastAsia="zh-CN" w:bidi="ar"/>
                    </w:rPr>
                    <w:t>8</w:t>
                  </w:r>
                  <w:r>
                    <w:rPr>
                      <w:rFonts w:hint="default" w:ascii="Times New Roman" w:hAnsi="Times New Roman" w:eastAsia="宋体" w:cs="Times New Roman"/>
                      <w:color w:val="auto"/>
                      <w:kern w:val="0"/>
                      <w:sz w:val="18"/>
                      <w:szCs w:val="18"/>
                      <w:lang w:val="en-US" w:eastAsia="zh-CN" w:bidi="ar"/>
                    </w:rPr>
                    <w:t>t/h</w:t>
                  </w:r>
                </w:p>
              </w:tc>
              <w:tc>
                <w:tcPr>
                  <w:tcW w:w="715" w:type="pct"/>
                  <w:noWrap w:val="0"/>
                  <w:vAlign w:val="center"/>
                </w:tcPr>
                <w:p w14:paraId="223433AF">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18"/>
                      <w:szCs w:val="18"/>
                      <w:lang w:val="en-US" w:eastAsia="zh-CN" w:bidi="ar"/>
                    </w:rPr>
                  </w:pPr>
                  <w:r>
                    <w:rPr>
                      <w:rFonts w:hint="eastAsia" w:ascii="Times New Roman" w:hAnsi="Times New Roman" w:eastAsia="宋体" w:cs="Times New Roman"/>
                      <w:color w:val="auto"/>
                      <w:kern w:val="0"/>
                      <w:sz w:val="18"/>
                      <w:szCs w:val="18"/>
                      <w:lang w:val="en-US" w:eastAsia="zh-CN" w:bidi="ar"/>
                    </w:rPr>
                    <w:t>1</w:t>
                  </w:r>
                </w:p>
              </w:tc>
              <w:tc>
                <w:tcPr>
                  <w:tcW w:w="1092" w:type="pct"/>
                  <w:noWrap w:val="0"/>
                  <w:vAlign w:val="center"/>
                </w:tcPr>
                <w:p w14:paraId="7B68CD1A">
                  <w:pPr>
                    <w:widowControl/>
                    <w:spacing w:line="240" w:lineRule="auto"/>
                    <w:jc w:val="center"/>
                    <w:rPr>
                      <w:rFonts w:hint="default" w:ascii="Times New Roman" w:hAnsi="Times New Roman" w:eastAsia="宋体" w:cs="Times New Roman"/>
                      <w:bCs/>
                      <w:color w:val="auto"/>
                      <w:kern w:val="0"/>
                      <w:sz w:val="18"/>
                      <w:szCs w:val="18"/>
                      <w:lang w:val="en-US" w:eastAsia="zh-CN" w:bidi="ar-SA"/>
                    </w:rPr>
                  </w:pPr>
                  <w:r>
                    <w:rPr>
                      <w:rFonts w:hint="default" w:ascii="Times New Roman" w:hAnsi="Times New Roman" w:cs="Times New Roman"/>
                      <w:bCs/>
                      <w:color w:val="auto"/>
                      <w:kern w:val="0"/>
                      <w:sz w:val="18"/>
                      <w:szCs w:val="18"/>
                      <w:lang w:val="en-US" w:eastAsia="zh-CN"/>
                    </w:rPr>
                    <w:t>注塑机</w:t>
                  </w:r>
                  <w:r>
                    <w:rPr>
                      <w:rFonts w:hint="eastAsia" w:ascii="Times New Roman" w:hAnsi="Times New Roman" w:cs="Times New Roman"/>
                      <w:bCs/>
                      <w:color w:val="auto"/>
                      <w:kern w:val="0"/>
                      <w:sz w:val="18"/>
                      <w:szCs w:val="18"/>
                      <w:lang w:val="en-US" w:eastAsia="zh-CN"/>
                    </w:rPr>
                    <w:t>模具</w:t>
                  </w:r>
                  <w:r>
                    <w:rPr>
                      <w:rFonts w:hint="default" w:ascii="Times New Roman" w:hAnsi="Times New Roman" w:cs="Times New Roman"/>
                      <w:bCs/>
                      <w:color w:val="auto"/>
                      <w:kern w:val="0"/>
                      <w:sz w:val="18"/>
                      <w:szCs w:val="18"/>
                      <w:lang w:val="en-US" w:eastAsia="zh-CN"/>
                    </w:rPr>
                    <w:t>冷却</w:t>
                  </w:r>
                </w:p>
              </w:tc>
            </w:tr>
            <w:tr w14:paraId="45345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78" w:type="pct"/>
                  <w:noWrap w:val="0"/>
                  <w:vAlign w:val="center"/>
                </w:tcPr>
                <w:p w14:paraId="237472C2">
                  <w:pPr>
                    <w:spacing w:line="240" w:lineRule="auto"/>
                    <w:jc w:val="center"/>
                    <w:rPr>
                      <w:rFonts w:hint="default" w:ascii="Times New Roman" w:hAnsi="Times New Roman" w:eastAsia="宋体" w:cs="Times New Roman"/>
                      <w:bCs/>
                      <w:color w:val="auto"/>
                      <w:kern w:val="0"/>
                      <w:sz w:val="18"/>
                      <w:szCs w:val="18"/>
                      <w:lang w:val="en-US" w:eastAsia="zh-CN" w:bidi="ar-SA"/>
                    </w:rPr>
                  </w:pPr>
                  <w:r>
                    <w:rPr>
                      <w:rFonts w:hint="eastAsia" w:ascii="Times New Roman" w:hAnsi="Times New Roman" w:cs="Times New Roman"/>
                      <w:bCs/>
                      <w:color w:val="auto"/>
                      <w:kern w:val="0"/>
                      <w:sz w:val="18"/>
                      <w:szCs w:val="18"/>
                      <w:lang w:val="en-US" w:eastAsia="zh-CN" w:bidi="ar-SA"/>
                    </w:rPr>
                    <w:t>7</w:t>
                  </w:r>
                </w:p>
              </w:tc>
              <w:tc>
                <w:tcPr>
                  <w:tcW w:w="1423" w:type="pct"/>
                  <w:noWrap w:val="0"/>
                  <w:vAlign w:val="center"/>
                </w:tcPr>
                <w:p w14:paraId="6DF7A821">
                  <w:pPr>
                    <w:pStyle w:val="113"/>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风机</w:t>
                  </w:r>
                </w:p>
              </w:tc>
              <w:tc>
                <w:tcPr>
                  <w:tcW w:w="1389" w:type="pct"/>
                  <w:noWrap w:val="0"/>
                  <w:vAlign w:val="center"/>
                </w:tcPr>
                <w:p w14:paraId="625A3B7A">
                  <w:pPr>
                    <w:widowControl/>
                    <w:spacing w:line="240" w:lineRule="auto"/>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14</w:t>
                  </w:r>
                  <w:r>
                    <w:rPr>
                      <w:rFonts w:hint="default" w:ascii="Times New Roman" w:hAnsi="Times New Roman" w:cs="Times New Roman"/>
                      <w:color w:val="auto"/>
                      <w:sz w:val="18"/>
                      <w:szCs w:val="18"/>
                    </w:rPr>
                    <w:t>000m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/h</w:t>
                  </w:r>
                </w:p>
              </w:tc>
              <w:tc>
                <w:tcPr>
                  <w:tcW w:w="715" w:type="pct"/>
                  <w:noWrap w:val="0"/>
                  <w:vAlign w:val="center"/>
                </w:tcPr>
                <w:p w14:paraId="018954AE">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18"/>
                      <w:szCs w:val="18"/>
                      <w:lang w:val="en-US" w:eastAsia="zh-CN" w:bidi="ar"/>
                    </w:rPr>
                  </w:pPr>
                  <w:r>
                    <w:rPr>
                      <w:rFonts w:hint="eastAsia" w:ascii="Times New Roman" w:hAnsi="Times New Roman" w:cs="Times New Roman"/>
                      <w:color w:val="auto"/>
                      <w:kern w:val="0"/>
                      <w:sz w:val="18"/>
                      <w:szCs w:val="18"/>
                      <w:lang w:val="en-US" w:eastAsia="zh-CN" w:bidi="ar"/>
                    </w:rPr>
                    <w:t>1</w:t>
                  </w:r>
                </w:p>
              </w:tc>
              <w:tc>
                <w:tcPr>
                  <w:tcW w:w="1092" w:type="pct"/>
                  <w:noWrap w:val="0"/>
                  <w:vAlign w:val="center"/>
                </w:tcPr>
                <w:p w14:paraId="4D641616">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kern w:val="0"/>
                      <w:sz w:val="18"/>
                      <w:szCs w:val="18"/>
                      <w:lang w:val="en-US" w:eastAsia="zh-CN" w:bidi="ar-SA"/>
                    </w:rPr>
                  </w:pPr>
                  <w:r>
                    <w:rPr>
                      <w:rFonts w:hint="default" w:ascii="Times New Roman" w:hAnsi="Times New Roman" w:cs="Times New Roman"/>
                      <w:bCs/>
                      <w:color w:val="auto"/>
                      <w:kern w:val="0"/>
                      <w:sz w:val="18"/>
                      <w:szCs w:val="18"/>
                      <w:lang w:val="en-US" w:eastAsia="zh-CN"/>
                    </w:rPr>
                    <w:t>废气处理设施</w:t>
                  </w:r>
                </w:p>
              </w:tc>
            </w:tr>
          </w:tbl>
          <w:p w14:paraId="3A0A30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经查以上设备不属于《产业结构</w:t>
            </w:r>
            <w:r>
              <w:rPr>
                <w:rFonts w:hint="default" w:ascii="Times New Roman" w:hAnsi="Times New Roman" w:eastAsia="宋体" w:cs="Times New Roman"/>
                <w:color w:val="auto"/>
                <w:sz w:val="21"/>
                <w:szCs w:val="21"/>
                <w:lang w:eastAsia="zh-CN"/>
              </w:rPr>
              <w:t>调整</w:t>
            </w:r>
            <w:r>
              <w:rPr>
                <w:rFonts w:hint="default" w:ascii="Times New Roman" w:hAnsi="Times New Roman" w:eastAsia="宋体" w:cs="Times New Roman"/>
                <w:color w:val="auto"/>
                <w:sz w:val="21"/>
                <w:szCs w:val="21"/>
              </w:rPr>
              <w:t>指导目录（</w:t>
            </w:r>
            <w:r>
              <w:rPr>
                <w:rFonts w:hint="default" w:ascii="Times New Roman" w:hAnsi="Times New Roman" w:eastAsia="宋体" w:cs="Times New Roman"/>
                <w:color w:val="auto"/>
                <w:sz w:val="21"/>
                <w:szCs w:val="21"/>
                <w:lang w:eastAsia="zh-CN"/>
              </w:rPr>
              <w:t>2024年本）</w:t>
            </w:r>
            <w:r>
              <w:rPr>
                <w:rFonts w:hint="default" w:ascii="Times New Roman" w:hAnsi="Times New Roman" w:eastAsia="宋体" w:cs="Times New Roman"/>
                <w:color w:val="auto"/>
                <w:sz w:val="21"/>
                <w:szCs w:val="21"/>
              </w:rPr>
              <w:t>》淘汰设备</w:t>
            </w:r>
            <w:r>
              <w:rPr>
                <w:rFonts w:hint="default" w:ascii="Times New Roman" w:hAnsi="Times New Roman" w:eastAsia="宋体" w:cs="Times New Roman"/>
                <w:color w:val="auto"/>
                <w:sz w:val="21"/>
                <w:szCs w:val="21"/>
                <w:lang w:eastAsia="zh-CN"/>
              </w:rPr>
              <w:t>。</w:t>
            </w:r>
          </w:p>
          <w:p w14:paraId="482860F1">
            <w:pPr>
              <w:adjustRightInd w:val="0"/>
              <w:snapToGrid w:val="0"/>
              <w:spacing w:line="360" w:lineRule="auto"/>
              <w:ind w:firstLine="422" w:firstLineChars="200"/>
              <w:rPr>
                <w:rFonts w:hint="default" w:ascii="Times New Roman" w:hAnsi="Times New Roman" w:cs="Times New Roman"/>
                <w:b/>
                <w:bCs/>
                <w:color w:val="auto"/>
              </w:rPr>
            </w:pPr>
            <w:r>
              <w:rPr>
                <w:rFonts w:hint="default" w:ascii="Times New Roman" w:hAnsi="Times New Roman" w:cs="Times New Roman"/>
                <w:b/>
                <w:bCs/>
                <w:color w:val="auto"/>
              </w:rPr>
              <w:t>设备产能匹配性</w:t>
            </w:r>
            <w:r>
              <w:rPr>
                <w:rFonts w:hint="eastAsia" w:ascii="Times New Roman" w:hAnsi="Times New Roman" w:cs="Times New Roman"/>
                <w:b/>
                <w:bCs/>
                <w:color w:val="auto"/>
                <w:lang w:eastAsia="zh-CN"/>
              </w:rPr>
              <w:t>分析</w:t>
            </w:r>
            <w:r>
              <w:rPr>
                <w:rFonts w:hint="default" w:ascii="Times New Roman" w:hAnsi="Times New Roman" w:cs="Times New Roman"/>
                <w:b/>
                <w:bCs/>
                <w:color w:val="auto"/>
              </w:rPr>
              <w:t>：</w:t>
            </w:r>
          </w:p>
          <w:p w14:paraId="228C335C">
            <w:pPr>
              <w:adjustRightInd w:val="0"/>
              <w:snapToGrid w:val="0"/>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rPr>
              <w:t>根据生产工艺可知，本项目</w:t>
            </w:r>
            <w:r>
              <w:rPr>
                <w:rFonts w:hint="default" w:ascii="Times New Roman" w:hAnsi="Times New Roman" w:cs="Times New Roman"/>
                <w:color w:val="auto"/>
                <w:lang w:eastAsia="zh-CN"/>
              </w:rPr>
              <w:t>产能主要由注塑出</w:t>
            </w:r>
            <w:r>
              <w:rPr>
                <w:rFonts w:hint="default" w:ascii="Times New Roman" w:hAnsi="Times New Roman" w:cs="Times New Roman"/>
                <w:color w:val="auto"/>
                <w:highlight w:val="none"/>
                <w:lang w:eastAsia="zh-CN"/>
              </w:rPr>
              <w:t>模时间决定，本项目各产品与设备之间的产能核算</w:t>
            </w:r>
            <w:r>
              <w:rPr>
                <w:rFonts w:hint="default" w:ascii="Times New Roman" w:hAnsi="Times New Roman" w:cs="Times New Roman"/>
                <w:color w:val="auto"/>
                <w:highlight w:val="none"/>
              </w:rPr>
              <w:t>见下表。</w:t>
            </w:r>
          </w:p>
          <w:p w14:paraId="2B8FA4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表2-</w:t>
            </w:r>
            <w:r>
              <w:rPr>
                <w:rFonts w:hint="default" w:ascii="Times New Roman" w:hAnsi="Times New Roman" w:cs="Times New Roman"/>
                <w:b/>
                <w:bCs/>
                <w:color w:val="auto"/>
                <w:highlight w:val="none"/>
                <w:lang w:val="en-US" w:eastAsia="zh-CN"/>
              </w:rPr>
              <w:t xml:space="preserve">4  </w:t>
            </w:r>
            <w:r>
              <w:rPr>
                <w:rFonts w:hint="default" w:ascii="Times New Roman" w:hAnsi="Times New Roman" w:cs="Times New Roman"/>
                <w:b/>
                <w:bCs/>
                <w:color w:val="auto"/>
                <w:highlight w:val="none"/>
              </w:rPr>
              <w:t>设备产能匹配性分析情况一览表</w:t>
            </w:r>
          </w:p>
          <w:tbl>
            <w:tblPr>
              <w:tblStyle w:val="30"/>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311"/>
              <w:gridCol w:w="839"/>
              <w:gridCol w:w="1757"/>
              <w:gridCol w:w="1522"/>
              <w:gridCol w:w="1156"/>
              <w:gridCol w:w="1088"/>
            </w:tblGrid>
            <w:tr w14:paraId="5F63D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tcBorders>
                    <w:tl2br w:val="nil"/>
                    <w:tr2bl w:val="nil"/>
                  </w:tcBorders>
                  <w:noWrap w:val="0"/>
                  <w:vAlign w:val="center"/>
                </w:tcPr>
                <w:p w14:paraId="3B99A9A6">
                  <w:pPr>
                    <w:pStyle w:val="99"/>
                    <w:rPr>
                      <w:rFonts w:ascii="Times New Roman" w:hAnsi="Times New Roman"/>
                      <w:color w:val="auto"/>
                      <w:sz w:val="18"/>
                      <w:szCs w:val="18"/>
                    </w:rPr>
                  </w:pPr>
                  <w:r>
                    <w:rPr>
                      <w:rFonts w:ascii="Times New Roman" w:hAnsi="Times New Roman"/>
                      <w:color w:val="auto"/>
                      <w:sz w:val="18"/>
                      <w:szCs w:val="18"/>
                    </w:rPr>
                    <w:t>序号</w:t>
                  </w:r>
                </w:p>
              </w:tc>
              <w:tc>
                <w:tcPr>
                  <w:tcW w:w="810" w:type="pct"/>
                  <w:tcBorders>
                    <w:tl2br w:val="nil"/>
                    <w:tr2bl w:val="nil"/>
                  </w:tcBorders>
                  <w:noWrap w:val="0"/>
                  <w:vAlign w:val="center"/>
                </w:tcPr>
                <w:p w14:paraId="5C78F205">
                  <w:pPr>
                    <w:pStyle w:val="99"/>
                    <w:rPr>
                      <w:rFonts w:ascii="Times New Roman" w:hAnsi="Times New Roman"/>
                      <w:color w:val="auto"/>
                      <w:sz w:val="18"/>
                      <w:szCs w:val="18"/>
                    </w:rPr>
                  </w:pPr>
                  <w:r>
                    <w:rPr>
                      <w:rFonts w:ascii="Times New Roman" w:hAnsi="Times New Roman"/>
                      <w:color w:val="auto"/>
                      <w:sz w:val="18"/>
                      <w:szCs w:val="18"/>
                    </w:rPr>
                    <w:t>设备名称</w:t>
                  </w:r>
                </w:p>
              </w:tc>
              <w:tc>
                <w:tcPr>
                  <w:tcW w:w="518" w:type="pct"/>
                  <w:tcBorders>
                    <w:tl2br w:val="nil"/>
                    <w:tr2bl w:val="nil"/>
                  </w:tcBorders>
                  <w:noWrap w:val="0"/>
                  <w:vAlign w:val="center"/>
                </w:tcPr>
                <w:p w14:paraId="5780BDF9">
                  <w:pPr>
                    <w:pStyle w:val="99"/>
                    <w:rPr>
                      <w:rFonts w:hint="eastAsia" w:ascii="Times New Roman" w:hAnsi="Times New Roman" w:eastAsia="宋体"/>
                      <w:color w:val="auto"/>
                      <w:sz w:val="18"/>
                      <w:szCs w:val="18"/>
                      <w:lang w:eastAsia="zh-CN"/>
                    </w:rPr>
                  </w:pPr>
                  <w:r>
                    <w:rPr>
                      <w:rFonts w:ascii="Times New Roman" w:hAnsi="Times New Roman"/>
                      <w:color w:val="auto"/>
                      <w:sz w:val="18"/>
                      <w:szCs w:val="18"/>
                    </w:rPr>
                    <w:t>数量</w:t>
                  </w:r>
                  <w:r>
                    <w:rPr>
                      <w:rFonts w:hint="eastAsia" w:ascii="Times New Roman" w:hAnsi="Times New Roman"/>
                      <w:color w:val="auto"/>
                      <w:sz w:val="18"/>
                      <w:szCs w:val="18"/>
                      <w:lang w:eastAsia="zh-CN"/>
                    </w:rPr>
                    <w:t>（台）</w:t>
                  </w:r>
                </w:p>
              </w:tc>
              <w:tc>
                <w:tcPr>
                  <w:tcW w:w="1085" w:type="pct"/>
                  <w:tcBorders>
                    <w:tl2br w:val="nil"/>
                    <w:tr2bl w:val="nil"/>
                  </w:tcBorders>
                  <w:noWrap w:val="0"/>
                  <w:vAlign w:val="center"/>
                </w:tcPr>
                <w:p w14:paraId="0A00858F">
                  <w:pPr>
                    <w:pStyle w:val="99"/>
                    <w:rPr>
                      <w:rFonts w:ascii="Times New Roman" w:hAnsi="Times New Roman"/>
                      <w:color w:val="auto"/>
                      <w:sz w:val="18"/>
                      <w:szCs w:val="18"/>
                    </w:rPr>
                  </w:pPr>
                  <w:r>
                    <w:rPr>
                      <w:rFonts w:ascii="Times New Roman" w:hAnsi="Times New Roman"/>
                      <w:color w:val="auto"/>
                      <w:sz w:val="18"/>
                      <w:szCs w:val="18"/>
                    </w:rPr>
                    <w:t>型号/</w:t>
                  </w:r>
                </w:p>
                <w:p w14:paraId="72260943">
                  <w:pPr>
                    <w:pStyle w:val="99"/>
                    <w:rPr>
                      <w:rFonts w:ascii="Times New Roman" w:hAnsi="Times New Roman"/>
                      <w:color w:val="auto"/>
                      <w:sz w:val="18"/>
                      <w:szCs w:val="18"/>
                    </w:rPr>
                  </w:pPr>
                  <w:r>
                    <w:rPr>
                      <w:rFonts w:ascii="Times New Roman" w:hAnsi="Times New Roman"/>
                      <w:color w:val="auto"/>
                      <w:sz w:val="18"/>
                      <w:szCs w:val="18"/>
                    </w:rPr>
                    <w:t>规格</w:t>
                  </w:r>
                </w:p>
              </w:tc>
              <w:tc>
                <w:tcPr>
                  <w:tcW w:w="940" w:type="pct"/>
                  <w:tcBorders>
                    <w:tl2br w:val="nil"/>
                    <w:tr2bl w:val="nil"/>
                  </w:tcBorders>
                  <w:noWrap w:val="0"/>
                  <w:vAlign w:val="center"/>
                </w:tcPr>
                <w:p w14:paraId="54D4E36F">
                  <w:pPr>
                    <w:pStyle w:val="99"/>
                    <w:rPr>
                      <w:rFonts w:ascii="Times New Roman" w:hAnsi="Times New Roman"/>
                      <w:color w:val="auto"/>
                      <w:sz w:val="18"/>
                      <w:szCs w:val="18"/>
                    </w:rPr>
                  </w:pPr>
                  <w:r>
                    <w:rPr>
                      <w:rFonts w:ascii="Times New Roman" w:hAnsi="Times New Roman"/>
                      <w:color w:val="auto"/>
                      <w:sz w:val="18"/>
                      <w:szCs w:val="18"/>
                    </w:rPr>
                    <w:t>注塑机树脂最大使用量kg/</w:t>
                  </w:r>
                  <w:r>
                    <w:rPr>
                      <w:rFonts w:hint="eastAsia" w:ascii="Times New Roman" w:hAnsi="Times New Roman"/>
                      <w:color w:val="auto"/>
                      <w:sz w:val="18"/>
                      <w:szCs w:val="18"/>
                      <w:lang w:eastAsia="zh-CN"/>
                    </w:rPr>
                    <w:t>（</w:t>
                  </w:r>
                  <w:r>
                    <w:rPr>
                      <w:rFonts w:ascii="Times New Roman" w:hAnsi="Times New Roman"/>
                      <w:color w:val="auto"/>
                      <w:sz w:val="18"/>
                      <w:szCs w:val="18"/>
                    </w:rPr>
                    <w:t>h·台</w:t>
                  </w:r>
                  <w:r>
                    <w:rPr>
                      <w:rFonts w:hint="eastAsia" w:ascii="Times New Roman" w:hAnsi="Times New Roman"/>
                      <w:color w:val="auto"/>
                      <w:sz w:val="18"/>
                      <w:szCs w:val="18"/>
                      <w:lang w:eastAsia="zh-CN"/>
                    </w:rPr>
                    <w:t>）</w:t>
                  </w:r>
                </w:p>
              </w:tc>
              <w:tc>
                <w:tcPr>
                  <w:tcW w:w="712" w:type="pct"/>
                  <w:tcBorders>
                    <w:tl2br w:val="nil"/>
                    <w:tr2bl w:val="nil"/>
                  </w:tcBorders>
                  <w:noWrap w:val="0"/>
                  <w:vAlign w:val="center"/>
                </w:tcPr>
                <w:p w14:paraId="5AB9E229">
                  <w:pPr>
                    <w:pStyle w:val="99"/>
                    <w:rPr>
                      <w:rFonts w:ascii="Times New Roman" w:hAnsi="Times New Roman"/>
                      <w:color w:val="auto"/>
                      <w:sz w:val="18"/>
                      <w:szCs w:val="18"/>
                    </w:rPr>
                  </w:pPr>
                  <w:r>
                    <w:rPr>
                      <w:rFonts w:ascii="Times New Roman" w:hAnsi="Times New Roman"/>
                      <w:color w:val="auto"/>
                      <w:sz w:val="18"/>
                      <w:szCs w:val="18"/>
                    </w:rPr>
                    <w:t>注塑机年生产时间h</w:t>
                  </w:r>
                </w:p>
              </w:tc>
              <w:tc>
                <w:tcPr>
                  <w:tcW w:w="672" w:type="pct"/>
                  <w:tcBorders>
                    <w:tl2br w:val="nil"/>
                    <w:tr2bl w:val="nil"/>
                  </w:tcBorders>
                  <w:noWrap w:val="0"/>
                  <w:vAlign w:val="center"/>
                </w:tcPr>
                <w:p w14:paraId="2272C860">
                  <w:pPr>
                    <w:pStyle w:val="99"/>
                    <w:rPr>
                      <w:rFonts w:ascii="Times New Roman" w:hAnsi="Times New Roman"/>
                      <w:color w:val="auto"/>
                      <w:sz w:val="18"/>
                      <w:szCs w:val="18"/>
                    </w:rPr>
                  </w:pPr>
                  <w:r>
                    <w:rPr>
                      <w:rFonts w:ascii="Times New Roman" w:hAnsi="Times New Roman"/>
                      <w:color w:val="auto"/>
                      <w:sz w:val="18"/>
                      <w:szCs w:val="18"/>
                    </w:rPr>
                    <w:t>注塑机年树脂消耗量t</w:t>
                  </w:r>
                </w:p>
              </w:tc>
            </w:tr>
            <w:tr w14:paraId="59C39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tcBorders>
                    <w:tl2br w:val="nil"/>
                    <w:tr2bl w:val="nil"/>
                  </w:tcBorders>
                  <w:noWrap w:val="0"/>
                  <w:vAlign w:val="center"/>
                </w:tcPr>
                <w:p w14:paraId="1D2A66C3">
                  <w:pPr>
                    <w:keepNext w:val="0"/>
                    <w:keepLines w:val="0"/>
                    <w:widowControl/>
                    <w:suppressLineNumbers w:val="0"/>
                    <w:jc w:val="center"/>
                    <w:textAlignment w:val="center"/>
                    <w:rPr>
                      <w:rFonts w:ascii="Times New Roman" w:hAnsi="Times New Roman"/>
                      <w:color w:val="auto"/>
                      <w:sz w:val="18"/>
                      <w:szCs w:val="18"/>
                    </w:rPr>
                  </w:pPr>
                  <w:bookmarkStart w:id="56" w:name="OLE_LINK9" w:colFirst="5" w:colLast="69"/>
                  <w:r>
                    <w:rPr>
                      <w:rFonts w:hint="default" w:ascii="Times New Roman" w:hAnsi="Times New Roman" w:eastAsia="宋体" w:cs="Times New Roman"/>
                      <w:i w:val="0"/>
                      <w:iCs w:val="0"/>
                      <w:color w:val="auto"/>
                      <w:kern w:val="0"/>
                      <w:sz w:val="18"/>
                      <w:szCs w:val="18"/>
                      <w:u w:val="none"/>
                      <w:lang w:val="en-US" w:eastAsia="zh-CN" w:bidi="ar"/>
                    </w:rPr>
                    <w:t>1</w:t>
                  </w:r>
                </w:p>
              </w:tc>
              <w:tc>
                <w:tcPr>
                  <w:tcW w:w="810" w:type="pct"/>
                  <w:vMerge w:val="restart"/>
                  <w:tcBorders>
                    <w:tl2br w:val="nil"/>
                    <w:tr2bl w:val="nil"/>
                  </w:tcBorders>
                  <w:noWrap w:val="0"/>
                  <w:vAlign w:val="center"/>
                </w:tcPr>
                <w:p w14:paraId="1D3ACCB4">
                  <w:pPr>
                    <w:keepNext w:val="0"/>
                    <w:keepLines w:val="0"/>
                    <w:widowControl/>
                    <w:suppressLineNumbers w:val="0"/>
                    <w:jc w:val="center"/>
                    <w:textAlignment w:val="center"/>
                    <w:rPr>
                      <w:rFonts w:ascii="Times New Roman" w:hAnsi="Times New Roman"/>
                      <w:color w:val="auto"/>
                      <w:sz w:val="18"/>
                      <w:szCs w:val="18"/>
                    </w:rPr>
                  </w:pPr>
                  <w:r>
                    <w:rPr>
                      <w:rFonts w:hint="eastAsia" w:ascii="宋体" w:hAnsi="宋体" w:eastAsia="宋体" w:cs="宋体"/>
                      <w:i w:val="0"/>
                      <w:iCs w:val="0"/>
                      <w:color w:val="auto"/>
                      <w:kern w:val="0"/>
                      <w:sz w:val="18"/>
                      <w:szCs w:val="18"/>
                      <w:u w:val="none"/>
                      <w:lang w:val="en-US" w:eastAsia="zh-CN" w:bidi="ar"/>
                    </w:rPr>
                    <w:t>注塑机</w:t>
                  </w:r>
                </w:p>
              </w:tc>
              <w:tc>
                <w:tcPr>
                  <w:tcW w:w="518" w:type="pct"/>
                  <w:tcBorders>
                    <w:tl2br w:val="nil"/>
                    <w:tr2bl w:val="nil"/>
                  </w:tcBorders>
                  <w:noWrap w:val="0"/>
                  <w:vAlign w:val="center"/>
                </w:tcPr>
                <w:p w14:paraId="7DBA38CD">
                  <w:pPr>
                    <w:keepNext w:val="0"/>
                    <w:keepLines w:val="0"/>
                    <w:widowControl/>
                    <w:suppressLineNumbers w:val="0"/>
                    <w:jc w:val="center"/>
                    <w:textAlignment w:val="center"/>
                    <w:rPr>
                      <w:rFonts w:hint="default" w:ascii="Times New Roman" w:hAnsi="Times New Roman" w:eastAsia="宋体" w:cs="Times New Roman"/>
                      <w:color w:val="auto"/>
                      <w:kern w:val="0"/>
                      <w:sz w:val="18"/>
                      <w:szCs w:val="18"/>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w:t>
                  </w:r>
                </w:p>
              </w:tc>
              <w:tc>
                <w:tcPr>
                  <w:tcW w:w="1085" w:type="pct"/>
                  <w:tcBorders>
                    <w:tl2br w:val="nil"/>
                    <w:tr2bl w:val="nil"/>
                  </w:tcBorders>
                  <w:noWrap w:val="0"/>
                  <w:vAlign w:val="center"/>
                </w:tcPr>
                <w:p w14:paraId="2B71F3AE">
                  <w:pPr>
                    <w:pStyle w:val="124"/>
                    <w:ind w:firstLine="0" w:firstLineChars="0"/>
                    <w:rPr>
                      <w:rFonts w:hint="default" w:ascii="仿宋_GB2312" w:hAnsi="Times New Roman" w:eastAsia="仿宋_GB2312" w:cs="Times New Roman"/>
                      <w:b/>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UN260SKIII</w:t>
                  </w:r>
                </w:p>
              </w:tc>
              <w:tc>
                <w:tcPr>
                  <w:tcW w:w="1582" w:type="dxa"/>
                  <w:tcBorders>
                    <w:tl2br w:val="nil"/>
                    <w:tr2bl w:val="nil"/>
                  </w:tcBorders>
                  <w:noWrap w:val="0"/>
                  <w:vAlign w:val="center"/>
                </w:tcPr>
                <w:p w14:paraId="70378875">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5</w:t>
                  </w:r>
                </w:p>
              </w:tc>
              <w:tc>
                <w:tcPr>
                  <w:tcW w:w="1202" w:type="dxa"/>
                  <w:vMerge w:val="restart"/>
                  <w:tcBorders>
                    <w:tl2br w:val="nil"/>
                    <w:tr2bl w:val="nil"/>
                  </w:tcBorders>
                  <w:noWrap w:val="0"/>
                  <w:vAlign w:val="center"/>
                </w:tcPr>
                <w:p w14:paraId="3691F513">
                  <w:pPr>
                    <w:keepNext w:val="0"/>
                    <w:keepLines w:val="0"/>
                    <w:widowControl/>
                    <w:suppressLineNumbers w:val="0"/>
                    <w:jc w:val="center"/>
                    <w:textAlignment w:val="center"/>
                    <w:rPr>
                      <w:rFonts w:hint="default" w:ascii="Times New Roman" w:hAnsi="Times New Roman" w:eastAsia="宋体"/>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7200</w:t>
                  </w:r>
                </w:p>
              </w:tc>
              <w:tc>
                <w:tcPr>
                  <w:tcW w:w="1131" w:type="dxa"/>
                  <w:tcBorders>
                    <w:tl2br w:val="nil"/>
                    <w:tr2bl w:val="nil"/>
                  </w:tcBorders>
                  <w:noWrap w:val="0"/>
                  <w:vAlign w:val="center"/>
                </w:tcPr>
                <w:p w14:paraId="2950331A">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288</w:t>
                  </w:r>
                </w:p>
              </w:tc>
            </w:tr>
            <w:tr w14:paraId="33068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tcBorders>
                    <w:tl2br w:val="nil"/>
                    <w:tr2bl w:val="nil"/>
                  </w:tcBorders>
                  <w:noWrap w:val="0"/>
                  <w:vAlign w:val="center"/>
                </w:tcPr>
                <w:p w14:paraId="7023C9D2">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2</w:t>
                  </w:r>
                </w:p>
              </w:tc>
              <w:tc>
                <w:tcPr>
                  <w:tcW w:w="810" w:type="pct"/>
                  <w:vMerge w:val="continue"/>
                  <w:tcBorders>
                    <w:tl2br w:val="nil"/>
                    <w:tr2bl w:val="nil"/>
                  </w:tcBorders>
                  <w:noWrap w:val="0"/>
                  <w:vAlign w:val="center"/>
                </w:tcPr>
                <w:p w14:paraId="2A23DAE8">
                  <w:pPr>
                    <w:jc w:val="center"/>
                    <w:rPr>
                      <w:rFonts w:ascii="Times New Roman" w:hAnsi="Times New Roman"/>
                      <w:color w:val="auto"/>
                      <w:sz w:val="18"/>
                      <w:szCs w:val="18"/>
                    </w:rPr>
                  </w:pPr>
                </w:p>
              </w:tc>
              <w:tc>
                <w:tcPr>
                  <w:tcW w:w="518" w:type="pct"/>
                  <w:tcBorders>
                    <w:tl2br w:val="nil"/>
                    <w:tr2bl w:val="nil"/>
                  </w:tcBorders>
                  <w:noWrap w:val="0"/>
                  <w:vAlign w:val="center"/>
                </w:tcPr>
                <w:p w14:paraId="05EC5275">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i w:val="0"/>
                      <w:iCs w:val="0"/>
                      <w:color w:val="auto"/>
                      <w:kern w:val="0"/>
                      <w:sz w:val="18"/>
                      <w:szCs w:val="18"/>
                      <w:u w:val="none"/>
                      <w:lang w:val="en-US" w:eastAsia="zh-CN" w:bidi="ar"/>
                    </w:rPr>
                    <w:t>8</w:t>
                  </w:r>
                </w:p>
              </w:tc>
              <w:tc>
                <w:tcPr>
                  <w:tcW w:w="1085" w:type="pct"/>
                  <w:tcBorders>
                    <w:tl2br w:val="nil"/>
                    <w:tr2bl w:val="nil"/>
                  </w:tcBorders>
                  <w:noWrap w:val="0"/>
                  <w:vAlign w:val="center"/>
                </w:tcPr>
                <w:p w14:paraId="1A8294DF">
                  <w:pPr>
                    <w:pStyle w:val="124"/>
                    <w:ind w:firstLine="0" w:firstLineChars="0"/>
                    <w:rPr>
                      <w:rFonts w:hint="default" w:ascii="仿宋_GB2312" w:hAnsi="Times New Roman" w:eastAsia="仿宋_GB2312" w:cs="Times New Roman"/>
                      <w:b/>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UN160SKIII</w:t>
                  </w:r>
                </w:p>
              </w:tc>
              <w:tc>
                <w:tcPr>
                  <w:tcW w:w="1582" w:type="dxa"/>
                  <w:tcBorders>
                    <w:tl2br w:val="nil"/>
                    <w:tr2bl w:val="nil"/>
                  </w:tcBorders>
                  <w:noWrap w:val="0"/>
                  <w:vAlign w:val="center"/>
                </w:tcPr>
                <w:p w14:paraId="754CD10A">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3</w:t>
                  </w:r>
                </w:p>
              </w:tc>
              <w:tc>
                <w:tcPr>
                  <w:tcW w:w="1202" w:type="dxa"/>
                  <w:vMerge w:val="continue"/>
                  <w:tcBorders>
                    <w:tl2br w:val="nil"/>
                    <w:tr2bl w:val="nil"/>
                  </w:tcBorders>
                  <w:noWrap w:val="0"/>
                  <w:vAlign w:val="center"/>
                </w:tcPr>
                <w:p w14:paraId="5B761570">
                  <w:pPr>
                    <w:jc w:val="center"/>
                    <w:rPr>
                      <w:rFonts w:hint="default" w:ascii="Times New Roman" w:hAnsi="Times New Roman"/>
                      <w:color w:val="auto"/>
                      <w:sz w:val="18"/>
                      <w:szCs w:val="18"/>
                      <w:lang w:val="en-US"/>
                    </w:rPr>
                  </w:pPr>
                </w:p>
              </w:tc>
              <w:tc>
                <w:tcPr>
                  <w:tcW w:w="1131" w:type="dxa"/>
                  <w:tcBorders>
                    <w:tl2br w:val="nil"/>
                    <w:tr2bl w:val="nil"/>
                  </w:tcBorders>
                  <w:noWrap w:val="0"/>
                  <w:vAlign w:val="center"/>
                </w:tcPr>
                <w:p w14:paraId="264C2622">
                  <w:pPr>
                    <w:keepNext w:val="0"/>
                    <w:keepLines w:val="0"/>
                    <w:widowControl/>
                    <w:suppressLineNumbers w:val="0"/>
                    <w:jc w:val="center"/>
                    <w:textAlignment w:val="center"/>
                    <w:rPr>
                      <w:rFonts w:ascii="Times New Roman" w:hAnsi="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172.8</w:t>
                  </w:r>
                </w:p>
              </w:tc>
            </w:tr>
            <w:bookmarkEnd w:id="56"/>
            <w:tr w14:paraId="2B98E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7" w:type="pct"/>
                  <w:gridSpan w:val="6"/>
                  <w:tcBorders>
                    <w:tl2br w:val="nil"/>
                    <w:tr2bl w:val="nil"/>
                  </w:tcBorders>
                  <w:noWrap w:val="0"/>
                  <w:vAlign w:val="center"/>
                </w:tcPr>
                <w:p w14:paraId="06EA959C">
                  <w:pPr>
                    <w:keepNext w:val="0"/>
                    <w:keepLines w:val="0"/>
                    <w:widowControl/>
                    <w:suppressLineNumbers w:val="0"/>
                    <w:jc w:val="center"/>
                    <w:textAlignment w:val="center"/>
                    <w:rPr>
                      <w:rFonts w:ascii="Times New Roman" w:hAnsi="Times New Roman"/>
                      <w:b/>
                      <w:bCs/>
                      <w:color w:val="auto"/>
                      <w:sz w:val="18"/>
                      <w:szCs w:val="18"/>
                    </w:rPr>
                  </w:pPr>
                  <w:r>
                    <w:rPr>
                      <w:rFonts w:hint="eastAsia" w:ascii="宋体" w:hAnsi="宋体" w:eastAsia="宋体" w:cs="宋体"/>
                      <w:b/>
                      <w:bCs/>
                      <w:i w:val="0"/>
                      <w:iCs w:val="0"/>
                      <w:color w:val="auto"/>
                      <w:kern w:val="0"/>
                      <w:sz w:val="18"/>
                      <w:szCs w:val="18"/>
                      <w:u w:val="none"/>
                      <w:lang w:val="en-US" w:eastAsia="zh-CN" w:bidi="ar"/>
                    </w:rPr>
                    <w:t>设备产能总计</w:t>
                  </w:r>
                </w:p>
              </w:tc>
              <w:tc>
                <w:tcPr>
                  <w:tcW w:w="672" w:type="pct"/>
                  <w:tcBorders>
                    <w:tl2br w:val="nil"/>
                    <w:tr2bl w:val="nil"/>
                  </w:tcBorders>
                  <w:noWrap w:val="0"/>
                  <w:vAlign w:val="center"/>
                </w:tcPr>
                <w:p w14:paraId="5303D0C4">
                  <w:pPr>
                    <w:keepNext w:val="0"/>
                    <w:keepLines w:val="0"/>
                    <w:widowControl/>
                    <w:suppressLineNumbers w:val="0"/>
                    <w:jc w:val="center"/>
                    <w:textAlignment w:val="center"/>
                    <w:rPr>
                      <w:rFonts w:hint="default" w:ascii="Times New Roman" w:hAnsi="Times New Roman" w:eastAsia="宋体"/>
                      <w:b/>
                      <w:bCs/>
                      <w:color w:val="auto"/>
                      <w:sz w:val="18"/>
                      <w:szCs w:val="18"/>
                      <w:lang w:val="en-US" w:eastAsia="zh-CN"/>
                    </w:rPr>
                  </w:pPr>
                  <w:r>
                    <w:rPr>
                      <w:rFonts w:hint="eastAsia" w:ascii="Times New Roman" w:hAnsi="Times New Roman"/>
                      <w:b/>
                      <w:bCs/>
                      <w:color w:val="auto"/>
                      <w:sz w:val="18"/>
                      <w:szCs w:val="18"/>
                      <w:lang w:val="en-US" w:eastAsia="zh-CN"/>
                    </w:rPr>
                    <w:t>460</w:t>
                  </w:r>
                </w:p>
              </w:tc>
            </w:tr>
          </w:tbl>
          <w:p w14:paraId="7A59F368">
            <w:pPr>
              <w:adjustRightInd w:val="0"/>
              <w:snapToGrid w:val="0"/>
              <w:spacing w:line="360" w:lineRule="auto"/>
              <w:ind w:firstLine="420" w:firstLineChars="200"/>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eastAsia="zh-CN"/>
              </w:rPr>
              <w:t>由上表</w:t>
            </w:r>
            <w:r>
              <w:rPr>
                <w:rFonts w:hint="default" w:ascii="Times New Roman" w:hAnsi="Times New Roman" w:eastAsia="宋体" w:cs="Times New Roman"/>
                <w:color w:val="auto"/>
                <w:szCs w:val="21"/>
              </w:rPr>
              <w:t>核算出</w:t>
            </w:r>
            <w:r>
              <w:rPr>
                <w:rFonts w:hint="eastAsia" w:ascii="Times New Roman" w:hAnsi="Times New Roman" w:eastAsia="宋体" w:cs="Times New Roman"/>
                <w:color w:val="auto"/>
                <w:sz w:val="21"/>
                <w:szCs w:val="21"/>
                <w:lang w:val="en-US" w:eastAsia="zh-CN"/>
              </w:rPr>
              <w:t>注</w:t>
            </w:r>
            <w:r>
              <w:rPr>
                <w:rFonts w:hint="default" w:ascii="Times New Roman" w:hAnsi="Times New Roman" w:eastAsia="宋体" w:cs="Times New Roman"/>
                <w:color w:val="auto"/>
                <w:sz w:val="21"/>
                <w:szCs w:val="21"/>
                <w:lang w:val="en-US" w:eastAsia="zh-CN"/>
              </w:rPr>
              <w:t>塑机</w:t>
            </w:r>
            <w:r>
              <w:rPr>
                <w:rFonts w:hint="eastAsia" w:ascii="Times New Roman" w:hAnsi="Times New Roman" w:eastAsia="宋体" w:cs="Times New Roman"/>
                <w:color w:val="auto"/>
                <w:sz w:val="21"/>
                <w:szCs w:val="21"/>
                <w:lang w:val="en-US" w:eastAsia="zh-CN"/>
              </w:rPr>
              <w:t>树脂</w:t>
            </w:r>
            <w:r>
              <w:rPr>
                <w:rFonts w:hint="default" w:ascii="Times New Roman" w:hAnsi="Times New Roman" w:eastAsia="宋体" w:cs="Times New Roman"/>
                <w:color w:val="auto"/>
                <w:szCs w:val="21"/>
              </w:rPr>
              <w:t>年最</w:t>
            </w:r>
            <w:r>
              <w:rPr>
                <w:rFonts w:hint="eastAsia" w:ascii="Times New Roman" w:hAnsi="Times New Roman" w:eastAsia="宋体" w:cs="Times New Roman"/>
                <w:color w:val="auto"/>
                <w:szCs w:val="21"/>
                <w:lang w:eastAsia="zh-CN"/>
              </w:rPr>
              <w:t>大消耗量</w:t>
            </w:r>
            <w:r>
              <w:rPr>
                <w:rFonts w:hint="default" w:ascii="Times New Roman" w:hAnsi="Times New Roman" w:eastAsia="宋体" w:cs="Times New Roman"/>
                <w:color w:val="auto"/>
                <w:szCs w:val="21"/>
              </w:rPr>
              <w:t>为</w:t>
            </w:r>
            <w:r>
              <w:rPr>
                <w:rFonts w:hint="eastAsia" w:ascii="Times New Roman" w:hAnsi="Times New Roman" w:eastAsia="宋体" w:cs="Times New Roman"/>
                <w:color w:val="auto"/>
                <w:szCs w:val="21"/>
                <w:lang w:val="en-US" w:eastAsia="zh-CN"/>
              </w:rPr>
              <w:t>460t</w:t>
            </w:r>
            <w:r>
              <w:rPr>
                <w:rFonts w:hint="default" w:ascii="Times New Roman" w:hAnsi="Times New Roman" w:eastAsia="宋体" w:cs="Times New Roman"/>
                <w:color w:val="auto"/>
                <w:szCs w:val="21"/>
              </w:rPr>
              <w:t>/a，</w:t>
            </w:r>
            <w:r>
              <w:rPr>
                <w:rFonts w:hint="eastAsia" w:ascii="Times New Roman" w:hAnsi="Times New Roman" w:eastAsia="宋体" w:cs="Times New Roman"/>
                <w:color w:val="auto"/>
                <w:szCs w:val="21"/>
                <w:lang w:val="en-US" w:eastAsia="zh-CN"/>
              </w:rPr>
              <w:t>本项目</w:t>
            </w:r>
            <w:r>
              <w:rPr>
                <w:rFonts w:hint="eastAsia" w:ascii="Times New Roman" w:hAnsi="Times New Roman" w:eastAsia="宋体" w:cs="Times New Roman"/>
                <w:color w:val="auto"/>
                <w:sz w:val="21"/>
                <w:szCs w:val="21"/>
                <w:lang w:val="en-US" w:eastAsia="zh-CN"/>
              </w:rPr>
              <w:t>树脂颗粒</w:t>
            </w:r>
            <w:r>
              <w:rPr>
                <w:rFonts w:hint="eastAsia" w:ascii="Times New Roman" w:hAnsi="Times New Roman" w:eastAsia="宋体" w:cs="Times New Roman"/>
                <w:color w:val="auto"/>
                <w:szCs w:val="21"/>
                <w:lang w:val="en-US" w:eastAsia="zh-CN"/>
              </w:rPr>
              <w:t>设计</w:t>
            </w:r>
            <w:r>
              <w:rPr>
                <w:rFonts w:hint="default" w:ascii="Times New Roman" w:hAnsi="Times New Roman" w:eastAsia="宋体" w:cs="Times New Roman"/>
                <w:color w:val="auto"/>
                <w:szCs w:val="21"/>
              </w:rPr>
              <w:t>年</w:t>
            </w:r>
            <w:r>
              <w:rPr>
                <w:rFonts w:hint="eastAsia" w:ascii="Times New Roman" w:hAnsi="Times New Roman" w:eastAsia="宋体" w:cs="Times New Roman"/>
                <w:color w:val="auto"/>
                <w:szCs w:val="21"/>
                <w:lang w:val="en-US" w:eastAsia="zh-CN"/>
              </w:rPr>
              <w:t>使用量为440t/a</w:t>
            </w:r>
            <w:r>
              <w:rPr>
                <w:rFonts w:hint="default" w:ascii="Times New Roman" w:hAnsi="Times New Roman" w:eastAsia="宋体" w:cs="Times New Roman"/>
                <w:color w:val="auto"/>
                <w:szCs w:val="21"/>
                <w:highlight w:val="none"/>
              </w:rPr>
              <w:t>&lt;</w:t>
            </w:r>
            <w:r>
              <w:rPr>
                <w:rFonts w:hint="eastAsia" w:ascii="Times New Roman" w:hAnsi="Times New Roman" w:eastAsia="宋体" w:cs="Times New Roman"/>
                <w:color w:val="auto"/>
                <w:szCs w:val="21"/>
                <w:lang w:val="en-US" w:eastAsia="zh-CN"/>
              </w:rPr>
              <w:t>460t</w:t>
            </w:r>
            <w:r>
              <w:rPr>
                <w:rFonts w:hint="default" w:ascii="Times New Roman" w:hAnsi="Times New Roman" w:eastAsia="宋体" w:cs="Times New Roman"/>
                <w:color w:val="auto"/>
                <w:szCs w:val="21"/>
              </w:rPr>
              <w:t>/a（设备最大产能）</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因此，本项目</w:t>
            </w:r>
            <w:r>
              <w:rPr>
                <w:rFonts w:hint="default" w:ascii="Times New Roman" w:hAnsi="Times New Roman" w:eastAsia="宋体" w:cs="Times New Roman"/>
                <w:color w:val="auto"/>
                <w:szCs w:val="21"/>
                <w:lang w:val="en-US" w:eastAsia="zh-CN"/>
              </w:rPr>
              <w:t>关键设备</w:t>
            </w:r>
            <w:r>
              <w:rPr>
                <w:rFonts w:hint="default" w:ascii="Times New Roman" w:hAnsi="Times New Roman" w:eastAsia="宋体" w:cs="Times New Roman"/>
                <w:color w:val="auto"/>
                <w:szCs w:val="21"/>
              </w:rPr>
              <w:t>产能</w:t>
            </w:r>
            <w:r>
              <w:rPr>
                <w:rFonts w:hint="eastAsia" w:ascii="Times New Roman" w:hAnsi="Times New Roman" w:eastAsia="宋体" w:cs="Times New Roman"/>
                <w:color w:val="auto"/>
                <w:szCs w:val="21"/>
                <w:lang w:eastAsia="zh-CN"/>
              </w:rPr>
              <w:t>注塑机</w:t>
            </w:r>
            <w:r>
              <w:rPr>
                <w:rFonts w:hint="default" w:ascii="Times New Roman" w:hAnsi="Times New Roman" w:eastAsia="宋体" w:cs="Times New Roman"/>
                <w:color w:val="auto"/>
                <w:szCs w:val="21"/>
              </w:rPr>
              <w:t>与本项目生产规模匹配。</w:t>
            </w:r>
          </w:p>
          <w:p w14:paraId="52818892">
            <w:pPr>
              <w:spacing w:line="360" w:lineRule="auto"/>
              <w:outlineLvl w:val="1"/>
              <w:rPr>
                <w:rFonts w:hint="default" w:ascii="Times New Roman" w:hAnsi="Times New Roman" w:cs="Times New Roman"/>
                <w:b/>
                <w:color w:val="auto"/>
                <w:szCs w:val="21"/>
              </w:rPr>
            </w:pPr>
            <w:r>
              <w:rPr>
                <w:rFonts w:hint="default" w:ascii="Times New Roman" w:hAnsi="Times New Roman" w:cs="Times New Roman"/>
                <w:b/>
                <w:color w:val="auto"/>
                <w:szCs w:val="21"/>
              </w:rPr>
              <w:t>2.3.6项目主要原辅材料及燃料</w:t>
            </w:r>
          </w:p>
          <w:p w14:paraId="1871FB04">
            <w:pPr>
              <w:spacing w:line="360" w:lineRule="auto"/>
              <w:ind w:firstLine="420" w:firstLineChars="200"/>
              <w:outlineLvl w:val="1"/>
              <w:rPr>
                <w:rFonts w:hint="default" w:ascii="Times New Roman" w:hAnsi="Times New Roman" w:cs="Times New Roman"/>
                <w:b/>
                <w:color w:val="auto"/>
                <w:szCs w:val="21"/>
              </w:rPr>
            </w:pPr>
            <w:r>
              <w:rPr>
                <w:rFonts w:hint="default" w:ascii="Times New Roman" w:hAnsi="Times New Roman" w:cs="Times New Roman"/>
                <w:color w:val="auto"/>
                <w:szCs w:val="21"/>
              </w:rPr>
              <w:t>本项目主要原辅材料名称及年消耗量详见下表。</w:t>
            </w:r>
          </w:p>
          <w:p w14:paraId="704AA795">
            <w:pPr>
              <w:pStyle w:val="26"/>
              <w:adjustRightInd w:val="0"/>
              <w:snapToGrid w:val="0"/>
              <w:spacing w:before="0" w:beforeAutospacing="0" w:after="0" w:afterAutospacing="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表2-</w:t>
            </w:r>
            <w:r>
              <w:rPr>
                <w:rFonts w:hint="default" w:ascii="Times New Roman" w:hAnsi="Times New Roman" w:cs="Times New Roman"/>
                <w:b/>
                <w:color w:val="auto"/>
                <w:sz w:val="21"/>
                <w:szCs w:val="21"/>
                <w:lang w:val="en-US" w:eastAsia="zh-CN"/>
              </w:rPr>
              <w:t>5</w:t>
            </w:r>
            <w:r>
              <w:rPr>
                <w:rFonts w:hint="default" w:ascii="Times New Roman" w:hAnsi="Times New Roman" w:cs="Times New Roman"/>
                <w:b/>
                <w:color w:val="auto"/>
                <w:sz w:val="21"/>
                <w:szCs w:val="21"/>
              </w:rPr>
              <w:t xml:space="preserve">  本项目主要原辅材料及燃料一览表</w:t>
            </w:r>
          </w:p>
          <w:tbl>
            <w:tblPr>
              <w:tblStyle w:val="30"/>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965"/>
              <w:gridCol w:w="1235"/>
              <w:gridCol w:w="799"/>
              <w:gridCol w:w="1640"/>
              <w:gridCol w:w="1807"/>
            </w:tblGrid>
            <w:tr w14:paraId="5D747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1" w:type="pct"/>
                  <w:noWrap w:val="0"/>
                  <w:vAlign w:val="center"/>
                </w:tcPr>
                <w:p w14:paraId="778D6381">
                  <w:pPr>
                    <w:widowControl/>
                    <w:spacing w:line="240" w:lineRule="auto"/>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序号</w:t>
                  </w:r>
                </w:p>
              </w:tc>
              <w:tc>
                <w:tcPr>
                  <w:tcW w:w="1214" w:type="pct"/>
                  <w:noWrap w:val="0"/>
                  <w:vAlign w:val="center"/>
                </w:tcPr>
                <w:p w14:paraId="013B98DF">
                  <w:pPr>
                    <w:widowControl/>
                    <w:spacing w:line="240" w:lineRule="auto"/>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名称</w:t>
                  </w:r>
                </w:p>
              </w:tc>
              <w:tc>
                <w:tcPr>
                  <w:tcW w:w="763" w:type="pct"/>
                  <w:noWrap w:val="0"/>
                  <w:vAlign w:val="center"/>
                </w:tcPr>
                <w:p w14:paraId="64073C4F">
                  <w:pPr>
                    <w:widowControl/>
                    <w:spacing w:line="240" w:lineRule="auto"/>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规格及成分</w:t>
                  </w:r>
                </w:p>
              </w:tc>
              <w:tc>
                <w:tcPr>
                  <w:tcW w:w="493" w:type="pct"/>
                  <w:noWrap w:val="0"/>
                  <w:vAlign w:val="center"/>
                </w:tcPr>
                <w:p w14:paraId="51C3F44D">
                  <w:pPr>
                    <w:widowControl/>
                    <w:spacing w:line="240" w:lineRule="auto"/>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单位</w:t>
                  </w:r>
                </w:p>
              </w:tc>
              <w:tc>
                <w:tcPr>
                  <w:tcW w:w="1013" w:type="pct"/>
                  <w:noWrap w:val="0"/>
                  <w:vAlign w:val="center"/>
                </w:tcPr>
                <w:p w14:paraId="611D9A31">
                  <w:pPr>
                    <w:widowControl/>
                    <w:spacing w:line="240" w:lineRule="auto"/>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本项目年耗量</w:t>
                  </w:r>
                </w:p>
              </w:tc>
              <w:tc>
                <w:tcPr>
                  <w:tcW w:w="1114" w:type="pct"/>
                  <w:noWrap w:val="0"/>
                  <w:vAlign w:val="center"/>
                </w:tcPr>
                <w:p w14:paraId="7A2A2300">
                  <w:pPr>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最大储存量</w:t>
                  </w:r>
                </w:p>
              </w:tc>
            </w:tr>
            <w:tr w14:paraId="55A6D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1" w:type="pct"/>
                  <w:noWrap w:val="0"/>
                  <w:vAlign w:val="center"/>
                </w:tcPr>
                <w:p w14:paraId="0BE63495">
                  <w:pPr>
                    <w:spacing w:line="240" w:lineRule="auto"/>
                    <w:jc w:val="center"/>
                    <w:rPr>
                      <w:rFonts w:hint="default" w:ascii="Times New Roman" w:hAnsi="Times New Roman" w:cs="Times New Roman"/>
                      <w:color w:val="auto"/>
                      <w:kern w:val="0"/>
                      <w:sz w:val="18"/>
                      <w:szCs w:val="18"/>
                    </w:rPr>
                  </w:pPr>
                  <w:r>
                    <w:rPr>
                      <w:rFonts w:hint="default" w:ascii="Times New Roman" w:hAnsi="Times New Roman" w:cs="Times New Roman"/>
                      <w:color w:val="auto"/>
                      <w:sz w:val="18"/>
                      <w:szCs w:val="18"/>
                    </w:rPr>
                    <w:t>1</w:t>
                  </w:r>
                </w:p>
              </w:tc>
              <w:tc>
                <w:tcPr>
                  <w:tcW w:w="1214" w:type="pct"/>
                  <w:noWrap w:val="0"/>
                  <w:vAlign w:val="center"/>
                </w:tcPr>
                <w:p w14:paraId="7DB25AE0">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ABS塑料颗粒</w:t>
                  </w:r>
                </w:p>
              </w:tc>
              <w:tc>
                <w:tcPr>
                  <w:tcW w:w="763" w:type="pct"/>
                  <w:noWrap w:val="0"/>
                  <w:vAlign w:val="center"/>
                </w:tcPr>
                <w:p w14:paraId="65B953B1">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cs="Times New Roman"/>
                      <w:color w:val="auto"/>
                      <w:sz w:val="18"/>
                      <w:szCs w:val="18"/>
                    </w:rPr>
                    <w:t>2</w:t>
                  </w:r>
                  <w:r>
                    <w:rPr>
                      <w:rFonts w:hint="eastAsia" w:ascii="Times New Roman" w:hAnsi="Times New Roman" w:cs="Times New Roman"/>
                      <w:color w:val="auto"/>
                      <w:sz w:val="18"/>
                      <w:szCs w:val="18"/>
                      <w:lang w:val="en-US" w:eastAsia="zh-CN"/>
                    </w:rPr>
                    <w:t>5</w:t>
                  </w:r>
                  <w:r>
                    <w:rPr>
                      <w:rFonts w:hint="default" w:ascii="Times New Roman" w:hAnsi="Times New Roman" w:cs="Times New Roman"/>
                      <w:color w:val="auto"/>
                      <w:sz w:val="18"/>
                      <w:szCs w:val="18"/>
                    </w:rPr>
                    <w:t>kg/袋</w:t>
                  </w:r>
                </w:p>
              </w:tc>
              <w:tc>
                <w:tcPr>
                  <w:tcW w:w="493" w:type="pct"/>
                  <w:noWrap w:val="0"/>
                  <w:vAlign w:val="center"/>
                </w:tcPr>
                <w:p w14:paraId="5D7E2609">
                  <w:pPr>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t/a</w:t>
                  </w:r>
                </w:p>
              </w:tc>
              <w:tc>
                <w:tcPr>
                  <w:tcW w:w="1013" w:type="pct"/>
                  <w:noWrap w:val="0"/>
                  <w:vAlign w:val="center"/>
                </w:tcPr>
                <w:p w14:paraId="0D032BD6">
                  <w:pPr>
                    <w:spacing w:line="240"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440</w:t>
                  </w:r>
                </w:p>
              </w:tc>
              <w:tc>
                <w:tcPr>
                  <w:tcW w:w="1114" w:type="pct"/>
                  <w:noWrap w:val="0"/>
                  <w:vAlign w:val="center"/>
                </w:tcPr>
                <w:p w14:paraId="6DC5399D">
                  <w:pPr>
                    <w:spacing w:line="240" w:lineRule="auto"/>
                    <w:jc w:val="center"/>
                    <w:rPr>
                      <w:rFonts w:hint="default" w:ascii="Times New Roman" w:hAnsi="Times New Roman" w:eastAsia="宋体"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10</w:t>
                  </w:r>
                </w:p>
              </w:tc>
            </w:tr>
            <w:tr w14:paraId="2CEA5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01" w:type="pct"/>
                  <w:noWrap w:val="0"/>
                  <w:vAlign w:val="center"/>
                </w:tcPr>
                <w:p w14:paraId="17477543">
                  <w:pPr>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1214" w:type="pct"/>
                  <w:shd w:val="clear" w:color="auto" w:fill="auto"/>
                  <w:noWrap w:val="0"/>
                  <w:vAlign w:val="center"/>
                </w:tcPr>
                <w:p w14:paraId="591D7E5B">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TW" w:bidi="ar"/>
                    </w:rPr>
                    <w:t>液压</w:t>
                  </w:r>
                  <w:r>
                    <w:rPr>
                      <w:rFonts w:hint="default" w:ascii="Times New Roman" w:hAnsi="Times New Roman" w:eastAsia="宋体" w:cs="Times New Roman"/>
                      <w:color w:val="auto"/>
                      <w:kern w:val="0"/>
                      <w:sz w:val="18"/>
                      <w:szCs w:val="18"/>
                      <w:lang w:val="en-US" w:eastAsia="zh-CN" w:bidi="ar"/>
                    </w:rPr>
                    <w:t>油</w:t>
                  </w:r>
                </w:p>
              </w:tc>
              <w:tc>
                <w:tcPr>
                  <w:tcW w:w="763" w:type="pct"/>
                  <w:shd w:val="clear" w:color="auto" w:fill="auto"/>
                  <w:noWrap w:val="0"/>
                  <w:vAlign w:val="center"/>
                </w:tcPr>
                <w:p w14:paraId="13FC99C2">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sz w:val="18"/>
                      <w:szCs w:val="18"/>
                      <w:lang w:val="en-US" w:eastAsia="zh-CN"/>
                    </w:rPr>
                    <w:t>180L/桶</w:t>
                  </w:r>
                </w:p>
              </w:tc>
              <w:tc>
                <w:tcPr>
                  <w:tcW w:w="493" w:type="pct"/>
                  <w:shd w:val="clear" w:color="auto" w:fill="auto"/>
                  <w:noWrap w:val="0"/>
                  <w:vAlign w:val="center"/>
                </w:tcPr>
                <w:p w14:paraId="43417259">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t/a</w:t>
                  </w:r>
                </w:p>
              </w:tc>
              <w:tc>
                <w:tcPr>
                  <w:tcW w:w="1013" w:type="pct"/>
                  <w:shd w:val="clear" w:color="auto" w:fill="auto"/>
                  <w:noWrap w:val="0"/>
                  <w:vAlign w:val="center"/>
                </w:tcPr>
                <w:p w14:paraId="74D10C9C">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0.36</w:t>
                  </w:r>
                </w:p>
              </w:tc>
              <w:tc>
                <w:tcPr>
                  <w:tcW w:w="1114" w:type="pct"/>
                  <w:shd w:val="clear" w:color="auto" w:fill="auto"/>
                  <w:noWrap w:val="0"/>
                  <w:vAlign w:val="center"/>
                </w:tcPr>
                <w:p w14:paraId="05B4BF3D">
                  <w:pPr>
                    <w:spacing w:line="240" w:lineRule="auto"/>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0.18</w:t>
                  </w:r>
                </w:p>
              </w:tc>
            </w:tr>
            <w:tr w14:paraId="51A34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 w:hRule="atLeast"/>
                <w:jc w:val="center"/>
              </w:trPr>
              <w:tc>
                <w:tcPr>
                  <w:tcW w:w="401" w:type="pct"/>
                  <w:noWrap w:val="0"/>
                  <w:vAlign w:val="center"/>
                </w:tcPr>
                <w:p w14:paraId="24143A97">
                  <w:pPr>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w:t>
                  </w:r>
                </w:p>
              </w:tc>
              <w:tc>
                <w:tcPr>
                  <w:tcW w:w="1214" w:type="pct"/>
                  <w:shd w:val="clear" w:color="auto" w:fill="auto"/>
                  <w:noWrap w:val="0"/>
                  <w:vAlign w:val="center"/>
                </w:tcPr>
                <w:p w14:paraId="68CCB2D1">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润滑油</w:t>
                  </w:r>
                </w:p>
              </w:tc>
              <w:tc>
                <w:tcPr>
                  <w:tcW w:w="763" w:type="pct"/>
                  <w:shd w:val="clear" w:color="auto" w:fill="auto"/>
                  <w:noWrap w:val="0"/>
                  <w:vAlign w:val="center"/>
                </w:tcPr>
                <w:p w14:paraId="06388313">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180L/桶</w:t>
                  </w:r>
                </w:p>
              </w:tc>
              <w:tc>
                <w:tcPr>
                  <w:tcW w:w="493" w:type="pct"/>
                  <w:shd w:val="clear" w:color="auto" w:fill="auto"/>
                  <w:noWrap w:val="0"/>
                  <w:vAlign w:val="center"/>
                </w:tcPr>
                <w:p w14:paraId="72F4875E">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t/a</w:t>
                  </w:r>
                </w:p>
              </w:tc>
              <w:tc>
                <w:tcPr>
                  <w:tcW w:w="1013" w:type="pct"/>
                  <w:shd w:val="clear" w:color="auto" w:fill="auto"/>
                  <w:noWrap w:val="0"/>
                  <w:vAlign w:val="center"/>
                </w:tcPr>
                <w:p w14:paraId="7638C9C2">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0.36</w:t>
                  </w:r>
                </w:p>
              </w:tc>
              <w:tc>
                <w:tcPr>
                  <w:tcW w:w="1114" w:type="pct"/>
                  <w:shd w:val="clear" w:color="auto" w:fill="auto"/>
                  <w:noWrap w:val="0"/>
                  <w:vAlign w:val="center"/>
                </w:tcPr>
                <w:p w14:paraId="16EE227C">
                  <w:pPr>
                    <w:spacing w:line="240" w:lineRule="auto"/>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lang w:val="en-US" w:eastAsia="zh-CN"/>
                    </w:rPr>
                    <w:t>0.18</w:t>
                  </w:r>
                </w:p>
              </w:tc>
            </w:tr>
            <w:tr w14:paraId="4726E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401" w:type="pct"/>
                  <w:noWrap w:val="0"/>
                  <w:vAlign w:val="center"/>
                </w:tcPr>
                <w:p w14:paraId="2BE3BDE9">
                  <w:pPr>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4</w:t>
                  </w:r>
                </w:p>
              </w:tc>
              <w:tc>
                <w:tcPr>
                  <w:tcW w:w="1214" w:type="pct"/>
                  <w:shd w:val="clear" w:color="auto" w:fill="auto"/>
                  <w:noWrap w:val="0"/>
                  <w:vAlign w:val="center"/>
                </w:tcPr>
                <w:p w14:paraId="319E8364">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空压机油</w:t>
                  </w:r>
                </w:p>
              </w:tc>
              <w:tc>
                <w:tcPr>
                  <w:tcW w:w="763" w:type="pct"/>
                  <w:shd w:val="clear" w:color="auto" w:fill="auto"/>
                  <w:noWrap w:val="0"/>
                  <w:vAlign w:val="center"/>
                </w:tcPr>
                <w:p w14:paraId="50962E94">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1</w:t>
                  </w:r>
                  <w:r>
                    <w:rPr>
                      <w:rFonts w:hint="default" w:ascii="Times New Roman" w:hAnsi="Times New Roman" w:cs="Times New Roman"/>
                      <w:color w:val="auto"/>
                      <w:sz w:val="18"/>
                      <w:szCs w:val="18"/>
                      <w:lang w:val="en-US" w:eastAsia="zh-CN"/>
                    </w:rPr>
                    <w:t>0</w:t>
                  </w:r>
                  <w:r>
                    <w:rPr>
                      <w:rFonts w:hint="default" w:ascii="Times New Roman" w:hAnsi="Times New Roman" w:cs="Times New Roman"/>
                      <w:color w:val="auto"/>
                      <w:sz w:val="18"/>
                      <w:szCs w:val="18"/>
                    </w:rPr>
                    <w:t>kg/桶</w:t>
                  </w:r>
                </w:p>
              </w:tc>
              <w:tc>
                <w:tcPr>
                  <w:tcW w:w="493" w:type="pct"/>
                  <w:shd w:val="clear" w:color="auto" w:fill="auto"/>
                  <w:noWrap w:val="0"/>
                  <w:vAlign w:val="center"/>
                </w:tcPr>
                <w:p w14:paraId="338FA629">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t/a</w:t>
                  </w:r>
                </w:p>
              </w:tc>
              <w:tc>
                <w:tcPr>
                  <w:tcW w:w="1013" w:type="pct"/>
                  <w:shd w:val="clear" w:color="auto" w:fill="auto"/>
                  <w:noWrap w:val="0"/>
                  <w:vAlign w:val="center"/>
                </w:tcPr>
                <w:p w14:paraId="1BD5C672">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0.02</w:t>
                  </w:r>
                </w:p>
              </w:tc>
              <w:tc>
                <w:tcPr>
                  <w:tcW w:w="1114" w:type="pct"/>
                  <w:shd w:val="clear" w:color="auto" w:fill="auto"/>
                  <w:noWrap w:val="0"/>
                  <w:vAlign w:val="center"/>
                </w:tcPr>
                <w:p w14:paraId="1F74023C">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不在厂区储存</w:t>
                  </w:r>
                </w:p>
              </w:tc>
            </w:tr>
            <w:tr w14:paraId="0D991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401" w:type="pct"/>
                  <w:noWrap w:val="0"/>
                  <w:vAlign w:val="center"/>
                </w:tcPr>
                <w:p w14:paraId="59539C70">
                  <w:pPr>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5</w:t>
                  </w:r>
                </w:p>
              </w:tc>
              <w:tc>
                <w:tcPr>
                  <w:tcW w:w="1214" w:type="pct"/>
                  <w:shd w:val="clear" w:color="auto" w:fill="auto"/>
                  <w:noWrap w:val="0"/>
                  <w:vAlign w:val="center"/>
                </w:tcPr>
                <w:p w14:paraId="7410A5A9">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活性炭</w:t>
                  </w:r>
                </w:p>
              </w:tc>
              <w:tc>
                <w:tcPr>
                  <w:tcW w:w="763" w:type="pct"/>
                  <w:shd w:val="clear" w:color="auto" w:fill="auto"/>
                  <w:noWrap w:val="0"/>
                  <w:vAlign w:val="center"/>
                </w:tcPr>
                <w:p w14:paraId="3FE9F192">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w:t>
                  </w:r>
                </w:p>
              </w:tc>
              <w:tc>
                <w:tcPr>
                  <w:tcW w:w="493" w:type="pct"/>
                  <w:shd w:val="clear" w:color="auto" w:fill="auto"/>
                  <w:noWrap w:val="0"/>
                  <w:vAlign w:val="center"/>
                </w:tcPr>
                <w:p w14:paraId="52B00C9C">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t/a</w:t>
                  </w:r>
                </w:p>
              </w:tc>
              <w:tc>
                <w:tcPr>
                  <w:tcW w:w="1013" w:type="pct"/>
                  <w:shd w:val="clear" w:color="auto" w:fill="auto"/>
                  <w:noWrap w:val="0"/>
                  <w:vAlign w:val="center"/>
                </w:tcPr>
                <w:p w14:paraId="3D2A467D">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8.2</w:t>
                  </w:r>
                </w:p>
              </w:tc>
              <w:tc>
                <w:tcPr>
                  <w:tcW w:w="1114" w:type="pct"/>
                  <w:shd w:val="clear" w:color="auto" w:fill="auto"/>
                  <w:noWrap w:val="0"/>
                  <w:vAlign w:val="center"/>
                </w:tcPr>
                <w:p w14:paraId="2790B8AE">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不在厂区储存</w:t>
                  </w:r>
                </w:p>
              </w:tc>
            </w:tr>
            <w:tr w14:paraId="549F9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401" w:type="pct"/>
                  <w:noWrap w:val="0"/>
                  <w:vAlign w:val="center"/>
                </w:tcPr>
                <w:p w14:paraId="51CFAC68">
                  <w:pPr>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w:t>
                  </w:r>
                </w:p>
              </w:tc>
              <w:tc>
                <w:tcPr>
                  <w:tcW w:w="1214" w:type="pct"/>
                  <w:shd w:val="clear" w:color="auto" w:fill="auto"/>
                  <w:noWrap w:val="0"/>
                  <w:vAlign w:val="center"/>
                </w:tcPr>
                <w:p w14:paraId="5497E69D">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模具</w:t>
                  </w:r>
                </w:p>
              </w:tc>
              <w:tc>
                <w:tcPr>
                  <w:tcW w:w="763" w:type="pct"/>
                  <w:shd w:val="clear" w:color="auto" w:fill="auto"/>
                  <w:noWrap w:val="0"/>
                  <w:vAlign w:val="center"/>
                </w:tcPr>
                <w:p w14:paraId="14BAF074">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副</w:t>
                  </w:r>
                </w:p>
              </w:tc>
              <w:tc>
                <w:tcPr>
                  <w:tcW w:w="493" w:type="pct"/>
                  <w:shd w:val="clear" w:color="auto" w:fill="auto"/>
                  <w:noWrap w:val="0"/>
                  <w:vAlign w:val="center"/>
                </w:tcPr>
                <w:p w14:paraId="44C19F07">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副/a</w:t>
                  </w:r>
                </w:p>
              </w:tc>
              <w:tc>
                <w:tcPr>
                  <w:tcW w:w="1013" w:type="pct"/>
                  <w:shd w:val="clear" w:color="auto" w:fill="auto"/>
                  <w:noWrap w:val="0"/>
                  <w:vAlign w:val="center"/>
                </w:tcPr>
                <w:p w14:paraId="6F33180F">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40</w:t>
                  </w:r>
                </w:p>
              </w:tc>
              <w:tc>
                <w:tcPr>
                  <w:tcW w:w="1114" w:type="pct"/>
                  <w:shd w:val="clear" w:color="auto" w:fill="auto"/>
                  <w:noWrap w:val="0"/>
                  <w:vAlign w:val="center"/>
                </w:tcPr>
                <w:p w14:paraId="06E68387">
                  <w:pPr>
                    <w:spacing w:line="240" w:lineRule="auto"/>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w:t>
                  </w:r>
                </w:p>
              </w:tc>
            </w:tr>
            <w:tr w14:paraId="55796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5000" w:type="pct"/>
                  <w:gridSpan w:val="6"/>
                  <w:noWrap w:val="0"/>
                  <w:vAlign w:val="center"/>
                </w:tcPr>
                <w:p w14:paraId="45976817">
                  <w:pPr>
                    <w:spacing w:line="240" w:lineRule="auto"/>
                    <w:jc w:val="both"/>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b w:val="0"/>
                      <w:bCs w:val="0"/>
                      <w:color w:val="auto"/>
                      <w:sz w:val="18"/>
                      <w:szCs w:val="18"/>
                    </w:rPr>
                    <w:t>注：项目所使用的模具</w:t>
                  </w:r>
                  <w:r>
                    <w:rPr>
                      <w:rFonts w:hint="eastAsia" w:ascii="Times New Roman" w:hAnsi="Times New Roman" w:cs="Times New Roman"/>
                      <w:b w:val="0"/>
                      <w:bCs w:val="0"/>
                      <w:color w:val="auto"/>
                      <w:sz w:val="18"/>
                      <w:szCs w:val="18"/>
                      <w:lang w:eastAsia="zh-CN"/>
                    </w:rPr>
                    <w:t>维修等</w:t>
                  </w:r>
                  <w:r>
                    <w:rPr>
                      <w:rFonts w:hint="default" w:ascii="Times New Roman" w:hAnsi="Times New Roman" w:cs="Times New Roman"/>
                      <w:b w:val="0"/>
                      <w:bCs w:val="0"/>
                      <w:color w:val="auto"/>
                      <w:sz w:val="18"/>
                      <w:szCs w:val="18"/>
                      <w:lang w:val="en-US" w:eastAsia="zh-CN"/>
                    </w:rPr>
                    <w:t>处理均委外进行，</w:t>
                  </w:r>
                  <w:r>
                    <w:rPr>
                      <w:rFonts w:hint="default" w:ascii="Times New Roman" w:hAnsi="Times New Roman" w:cs="Times New Roman"/>
                      <w:b w:val="0"/>
                      <w:bCs w:val="0"/>
                      <w:color w:val="auto"/>
                      <w:sz w:val="18"/>
                      <w:szCs w:val="18"/>
                    </w:rPr>
                    <w:t>产品和模具装卸时不使用清洗剂和脱模剂，项目所使用的</w:t>
                  </w:r>
                  <w:r>
                    <w:rPr>
                      <w:rFonts w:hint="eastAsia" w:ascii="Times New Roman" w:hAnsi="Times New Roman" w:cs="Times New Roman"/>
                      <w:b w:val="0"/>
                      <w:bCs w:val="0"/>
                      <w:color w:val="auto"/>
                      <w:sz w:val="18"/>
                      <w:szCs w:val="18"/>
                      <w:lang w:val="en-US" w:eastAsia="zh-CN"/>
                    </w:rPr>
                    <w:t>ABS</w:t>
                  </w:r>
                  <w:r>
                    <w:rPr>
                      <w:rFonts w:hint="default" w:ascii="Times New Roman" w:hAnsi="Times New Roman" w:cs="Times New Roman"/>
                      <w:b w:val="0"/>
                      <w:bCs w:val="0"/>
                      <w:color w:val="auto"/>
                      <w:sz w:val="18"/>
                      <w:szCs w:val="18"/>
                    </w:rPr>
                    <w:t>颗粒均为外购的新料，不涉及废旧再生塑料的使用。</w:t>
                  </w:r>
                </w:p>
              </w:tc>
            </w:tr>
          </w:tbl>
          <w:p w14:paraId="015A155D">
            <w:pPr>
              <w:jc w:val="center"/>
              <w:rPr>
                <w:rFonts w:hint="default" w:ascii="Times New Roman" w:hAnsi="Times New Roman" w:cs="Times New Roman"/>
                <w:b/>
                <w:color w:val="auto"/>
                <w:szCs w:val="21"/>
              </w:rPr>
            </w:pPr>
            <w:r>
              <w:rPr>
                <w:rFonts w:hint="default" w:ascii="Times New Roman" w:hAnsi="Times New Roman" w:cs="Times New Roman"/>
                <w:b/>
                <w:caps/>
                <w:color w:val="auto"/>
                <w:szCs w:val="21"/>
              </w:rPr>
              <w:t>表2-</w:t>
            </w:r>
            <w:r>
              <w:rPr>
                <w:rFonts w:hint="default" w:ascii="Times New Roman" w:hAnsi="Times New Roman" w:cs="Times New Roman"/>
                <w:b/>
                <w:caps/>
                <w:color w:val="auto"/>
                <w:szCs w:val="21"/>
                <w:lang w:val="en-US" w:eastAsia="zh-CN"/>
              </w:rPr>
              <w:t>6</w:t>
            </w:r>
            <w:r>
              <w:rPr>
                <w:rFonts w:hint="default" w:ascii="Times New Roman" w:hAnsi="Times New Roman" w:cs="Times New Roman"/>
                <w:b/>
                <w:caps/>
                <w:color w:val="auto"/>
                <w:szCs w:val="21"/>
              </w:rPr>
              <w:t xml:space="preserve"> </w:t>
            </w:r>
            <w:r>
              <w:rPr>
                <w:rFonts w:hint="default" w:ascii="Times New Roman" w:hAnsi="Times New Roman" w:cs="Times New Roman"/>
                <w:bCs/>
                <w:caps/>
                <w:color w:val="auto"/>
                <w:szCs w:val="21"/>
              </w:rPr>
              <w:t xml:space="preserve"> </w:t>
            </w:r>
            <w:r>
              <w:rPr>
                <w:rFonts w:hint="default" w:ascii="Times New Roman" w:hAnsi="Times New Roman" w:cs="Times New Roman"/>
                <w:b/>
                <w:color w:val="auto"/>
                <w:szCs w:val="21"/>
              </w:rPr>
              <w:t>主要原辅材料物理性质一览表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6914"/>
            </w:tblGrid>
            <w:tr w14:paraId="6AC6BB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31" w:type="pct"/>
                  <w:noWrap w:val="0"/>
                  <w:vAlign w:val="center"/>
                </w:tcPr>
                <w:p w14:paraId="336F5BD3">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名称</w:t>
                  </w:r>
                </w:p>
              </w:tc>
              <w:tc>
                <w:tcPr>
                  <w:tcW w:w="4268" w:type="pct"/>
                  <w:noWrap w:val="0"/>
                  <w:vAlign w:val="center"/>
                </w:tcPr>
                <w:p w14:paraId="03524523">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理化性质</w:t>
                  </w:r>
                </w:p>
              </w:tc>
            </w:tr>
            <w:tr w14:paraId="24B46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31" w:type="pct"/>
                  <w:noWrap w:val="0"/>
                  <w:vAlign w:val="center"/>
                </w:tcPr>
                <w:p w14:paraId="255DDA90">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ABS</w:t>
                  </w:r>
                </w:p>
              </w:tc>
              <w:tc>
                <w:tcPr>
                  <w:tcW w:w="4268" w:type="pct"/>
                  <w:noWrap w:val="0"/>
                  <w:vAlign w:val="center"/>
                </w:tcPr>
                <w:p w14:paraId="68076246">
                  <w:pPr>
                    <w:adjustRightInd w:val="0"/>
                    <w:snapToGrid w:val="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25kg/袋，ABS塑料是丙烯腈，丁二烯和苯乙烯组成的三元共聚物，白色固体，无味，闪火点404℃，密度1.03～1.10g/cm</w:t>
                  </w:r>
                  <w:r>
                    <w:rPr>
                      <w:rFonts w:hint="default" w:ascii="Times New Roman" w:hAnsi="Times New Roman" w:eastAsia="宋体" w:cs="Times New Roman"/>
                      <w:color w:val="auto"/>
                      <w:sz w:val="18"/>
                      <w:szCs w:val="18"/>
                      <w:vertAlign w:val="superscript"/>
                      <w:lang w:val="en-US" w:eastAsia="zh-CN"/>
                    </w:rPr>
                    <w:t>3</w:t>
                  </w:r>
                  <w:r>
                    <w:rPr>
                      <w:rFonts w:hint="default" w:ascii="Times New Roman" w:hAnsi="Times New Roman" w:eastAsia="宋体" w:cs="Times New Roman"/>
                      <w:color w:val="auto"/>
                      <w:sz w:val="18"/>
                      <w:szCs w:val="18"/>
                      <w:lang w:val="en-US" w:eastAsia="zh-CN"/>
                    </w:rPr>
                    <w:t>，不溶于水，注塑温度200℃到230℃，分解温度＞250℃</w:t>
                  </w:r>
                </w:p>
              </w:tc>
            </w:tr>
            <w:bookmarkEnd w:id="44"/>
            <w:bookmarkEnd w:id="45"/>
            <w:bookmarkEnd w:id="46"/>
            <w:bookmarkEnd w:id="47"/>
          </w:tbl>
          <w:p w14:paraId="677A6EC5">
            <w:pPr>
              <w:pStyle w:val="26"/>
              <w:adjustRightInd w:val="0"/>
              <w:snapToGrid w:val="0"/>
              <w:spacing w:before="0" w:beforeAutospacing="0" w:after="0" w:afterAutospacing="0" w:line="360" w:lineRule="auto"/>
              <w:ind w:firstLine="480" w:firstLineChars="200"/>
              <w:jc w:val="both"/>
              <w:rPr>
                <w:rFonts w:hint="default" w:ascii="Times New Roman" w:hAnsi="Times New Roman" w:cs="Times New Roman"/>
                <w:color w:val="auto"/>
                <w:szCs w:val="21"/>
              </w:rPr>
            </w:pPr>
          </w:p>
        </w:tc>
      </w:tr>
      <w:tr w14:paraId="112BF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2381099E">
            <w:pPr>
              <w:pStyle w:val="26"/>
              <w:adjustRightInd w:val="0"/>
              <w:snapToGrid w:val="0"/>
              <w:spacing w:before="0" w:beforeAutospacing="0" w:after="0" w:afterAutospacing="0"/>
              <w:jc w:val="center"/>
              <w:rPr>
                <w:rFonts w:hint="default" w:ascii="Times New Roman" w:hAnsi="Times New Roman" w:cs="Times New Roman"/>
                <w:color w:val="auto"/>
                <w:sz w:val="21"/>
                <w:szCs w:val="21"/>
              </w:rPr>
            </w:pPr>
          </w:p>
        </w:tc>
        <w:tc>
          <w:tcPr>
            <w:tcW w:w="8347" w:type="dxa"/>
            <w:noWrap w:val="0"/>
            <w:vAlign w:val="center"/>
          </w:tcPr>
          <w:p w14:paraId="6472878E">
            <w:pPr>
              <w:spacing w:line="360" w:lineRule="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CN"/>
              </w:rPr>
              <w:t>2.3.7</w:t>
            </w:r>
            <w:r>
              <w:rPr>
                <w:rFonts w:hint="eastAsia" w:ascii="Times New Roman" w:hAnsi="Times New Roman" w:cs="Times New Roman"/>
                <w:b/>
                <w:color w:val="auto"/>
                <w:sz w:val="21"/>
                <w:szCs w:val="21"/>
                <w:lang w:eastAsia="zh-CN"/>
              </w:rPr>
              <w:t>重庆三花门业有限公司</w:t>
            </w:r>
            <w:r>
              <w:rPr>
                <w:rFonts w:hint="default" w:ascii="Times New Roman" w:hAnsi="Times New Roman" w:eastAsia="宋体" w:cs="Times New Roman"/>
                <w:b/>
                <w:color w:val="auto"/>
                <w:sz w:val="21"/>
                <w:szCs w:val="21"/>
                <w:lang w:eastAsia="zh-CN"/>
              </w:rPr>
              <w:t>概况</w:t>
            </w:r>
          </w:p>
          <w:p w14:paraId="7F23F10C">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sz w:val="21"/>
                <w:szCs w:val="21"/>
                <w:lang w:eastAsia="zh-CN"/>
              </w:rPr>
            </w:pPr>
            <w:r>
              <w:rPr>
                <w:rFonts w:hint="eastAsia" w:ascii="Times New Roman" w:hAnsi="Times New Roman" w:cs="Times New Roman"/>
                <w:bCs/>
                <w:color w:val="auto"/>
                <w:sz w:val="21"/>
                <w:szCs w:val="21"/>
                <w:lang w:eastAsia="zh-CN"/>
              </w:rPr>
              <w:t>重庆三花门业有限公司位于</w:t>
            </w:r>
            <w:r>
              <w:rPr>
                <w:rFonts w:hint="eastAsia" w:ascii="Times New Roman" w:hAnsi="Times New Roman" w:cs="Times New Roman"/>
                <w:color w:val="auto"/>
                <w:szCs w:val="21"/>
                <w:lang w:eastAsia="zh-CN"/>
              </w:rPr>
              <w:t>重庆市合川区南溪组团A区，该公司</w:t>
            </w:r>
            <w:r>
              <w:rPr>
                <w:rFonts w:hint="eastAsia" w:ascii="Times New Roman" w:hAnsi="Times New Roman" w:cs="Times New Roman"/>
                <w:bCs/>
                <w:color w:val="auto"/>
                <w:sz w:val="21"/>
                <w:szCs w:val="21"/>
                <w:lang w:eastAsia="zh-CN"/>
              </w:rPr>
              <w:t>于</w:t>
            </w:r>
            <w:r>
              <w:rPr>
                <w:rFonts w:hint="eastAsia" w:ascii="Times New Roman" w:hAnsi="Times New Roman" w:cs="Times New Roman"/>
                <w:bCs/>
                <w:color w:val="auto"/>
                <w:sz w:val="21"/>
                <w:szCs w:val="21"/>
                <w:lang w:val="en-US" w:eastAsia="zh-CN"/>
              </w:rPr>
              <w:t>2019年租赁重庆市合川区教育建筑工程有限公司2#厂房1F闲置区域、1#附属综合楼部分办公区建设“防火门、防盗门、消防器材、五金配件生产项目”，建筑面积53884.4m</w:t>
            </w:r>
            <w:r>
              <w:rPr>
                <w:rFonts w:hint="eastAsia" w:ascii="Times New Roman" w:hAnsi="Times New Roman" w:cs="Times New Roman"/>
                <w:bCs/>
                <w:color w:val="auto"/>
                <w:sz w:val="21"/>
                <w:szCs w:val="21"/>
                <w:vertAlign w:val="superscript"/>
                <w:lang w:val="en-US" w:eastAsia="zh-CN"/>
              </w:rPr>
              <w:t>2</w:t>
            </w:r>
            <w:r>
              <w:rPr>
                <w:rFonts w:hint="eastAsia" w:ascii="Times New Roman" w:hAnsi="Times New Roman" w:cs="Times New Roman"/>
                <w:bCs/>
                <w:color w:val="auto"/>
                <w:sz w:val="21"/>
                <w:szCs w:val="21"/>
                <w:vertAlign w:val="baseline"/>
                <w:lang w:val="en-US" w:eastAsia="zh-CN"/>
              </w:rPr>
              <w:t>，</w:t>
            </w:r>
            <w:r>
              <w:rPr>
                <w:rFonts w:hint="eastAsia" w:ascii="Times New Roman" w:hAnsi="Times New Roman" w:cs="Times New Roman"/>
                <w:bCs/>
                <w:color w:val="auto"/>
                <w:sz w:val="21"/>
                <w:szCs w:val="21"/>
                <w:lang w:val="en-US" w:eastAsia="zh-CN"/>
              </w:rPr>
              <w:t>该项目于2019年11月取得了环评批复手续：渝（合）环准〔2019〕99号，并</w:t>
            </w:r>
            <w:r>
              <w:rPr>
                <w:rFonts w:hint="eastAsia" w:ascii="Times New Roman" w:hAnsi="Times New Roman" w:cs="Times New Roman"/>
                <w:bCs/>
                <w:color w:val="auto"/>
                <w:sz w:val="21"/>
                <w:szCs w:val="21"/>
                <w:lang w:eastAsia="zh-CN"/>
              </w:rPr>
              <w:t>于</w:t>
            </w:r>
            <w:r>
              <w:rPr>
                <w:rFonts w:hint="eastAsia" w:ascii="Times New Roman" w:hAnsi="Times New Roman" w:cs="Times New Roman"/>
                <w:bCs/>
                <w:color w:val="auto"/>
                <w:sz w:val="21"/>
                <w:szCs w:val="21"/>
                <w:lang w:val="en-US" w:eastAsia="zh-CN"/>
              </w:rPr>
              <w:t>2020年8月通过了竣工环境保护验收（渝(合)环验〔2020〕40号），主要</w:t>
            </w:r>
            <w:r>
              <w:rPr>
                <w:rFonts w:hint="default" w:ascii="Times New Roman" w:hAnsi="Times New Roman" w:eastAsia="宋体" w:cs="Times New Roman"/>
                <w:bCs/>
                <w:color w:val="auto"/>
                <w:sz w:val="21"/>
                <w:szCs w:val="21"/>
                <w:lang w:eastAsia="zh-CN"/>
              </w:rPr>
              <w:t>设置钢板加工区、木板加工区、填芯区等生产区域，</w:t>
            </w:r>
            <w:r>
              <w:rPr>
                <w:rFonts w:hint="default" w:ascii="Times New Roman" w:hAnsi="Times New Roman" w:eastAsia="宋体" w:cs="Times New Roman"/>
                <w:color w:val="auto"/>
                <w:sz w:val="21"/>
                <w:szCs w:val="21"/>
              </w:rPr>
              <w:t>其</w:t>
            </w:r>
            <w:r>
              <w:rPr>
                <w:rFonts w:hint="default" w:ascii="Times New Roman" w:hAnsi="Times New Roman" w:eastAsia="宋体" w:cs="Times New Roman"/>
                <w:color w:val="auto"/>
                <w:sz w:val="21"/>
                <w:szCs w:val="21"/>
                <w:lang w:eastAsia="zh-CN"/>
              </w:rPr>
              <w:t>配套建设了</w:t>
            </w:r>
            <w:r>
              <w:rPr>
                <w:rFonts w:hint="default" w:ascii="Times New Roman" w:hAnsi="Times New Roman" w:eastAsia="宋体" w:cs="Times New Roman"/>
                <w:color w:val="auto"/>
                <w:sz w:val="21"/>
                <w:szCs w:val="21"/>
              </w:rPr>
              <w:t>供水、供电</w:t>
            </w:r>
            <w:r>
              <w:rPr>
                <w:rFonts w:hint="default" w:ascii="Times New Roman" w:hAnsi="Times New Roman" w:eastAsia="宋体" w:cs="Times New Roman"/>
                <w:color w:val="auto"/>
                <w:sz w:val="21"/>
                <w:szCs w:val="21"/>
                <w:lang w:eastAsia="zh-CN"/>
              </w:rPr>
              <w:t>、生化池</w:t>
            </w:r>
            <w:r>
              <w:rPr>
                <w:rFonts w:hint="default" w:ascii="Times New Roman" w:hAnsi="Times New Roman" w:eastAsia="宋体" w:cs="Times New Roman"/>
                <w:color w:val="auto"/>
                <w:sz w:val="21"/>
                <w:szCs w:val="21"/>
              </w:rPr>
              <w:t>等设施</w:t>
            </w:r>
            <w:r>
              <w:rPr>
                <w:rFonts w:hint="default" w:ascii="Times New Roman" w:hAnsi="Times New Roman" w:eastAsia="宋体" w:cs="Times New Roman"/>
                <w:color w:val="auto"/>
                <w:sz w:val="21"/>
                <w:szCs w:val="21"/>
                <w:lang w:eastAsia="zh-CN"/>
              </w:rPr>
              <w:t>，因此本项目依托其</w:t>
            </w:r>
            <w:r>
              <w:rPr>
                <w:rFonts w:hint="default" w:ascii="Times New Roman" w:hAnsi="Times New Roman" w:eastAsia="宋体" w:cs="Times New Roman"/>
                <w:color w:val="auto"/>
                <w:sz w:val="21"/>
                <w:szCs w:val="21"/>
              </w:rPr>
              <w:t>供水、供电</w:t>
            </w:r>
            <w:r>
              <w:rPr>
                <w:rFonts w:hint="default" w:ascii="Times New Roman" w:hAnsi="Times New Roman" w:eastAsia="宋体" w:cs="Times New Roman"/>
                <w:color w:val="auto"/>
                <w:sz w:val="21"/>
                <w:szCs w:val="21"/>
                <w:lang w:eastAsia="zh-CN"/>
              </w:rPr>
              <w:t>、生化池</w:t>
            </w:r>
            <w:r>
              <w:rPr>
                <w:rFonts w:hint="default" w:ascii="Times New Roman" w:hAnsi="Times New Roman" w:eastAsia="宋体" w:cs="Times New Roman"/>
                <w:color w:val="auto"/>
                <w:sz w:val="21"/>
                <w:szCs w:val="21"/>
              </w:rPr>
              <w:t>等设施</w:t>
            </w:r>
            <w:r>
              <w:rPr>
                <w:rFonts w:hint="default" w:ascii="Times New Roman" w:hAnsi="Times New Roman" w:eastAsia="宋体" w:cs="Times New Roman"/>
                <w:color w:val="auto"/>
                <w:sz w:val="21"/>
                <w:szCs w:val="21"/>
                <w:lang w:eastAsia="zh-CN"/>
              </w:rPr>
              <w:t>可行。</w:t>
            </w:r>
            <w:r>
              <w:rPr>
                <w:rFonts w:hint="eastAsia" w:ascii="Times New Roman" w:hAnsi="Times New Roman" w:eastAsia="宋体" w:cs="Times New Roman"/>
                <w:color w:val="auto"/>
                <w:sz w:val="21"/>
                <w:szCs w:val="21"/>
                <w:lang w:eastAsia="zh-CN"/>
              </w:rPr>
              <w:t>项目主要</w:t>
            </w:r>
            <w:r>
              <w:rPr>
                <w:rFonts w:hint="default" w:ascii="Times New Roman" w:hAnsi="Times New Roman" w:eastAsia="宋体" w:cs="Times New Roman"/>
                <w:bCs/>
                <w:color w:val="auto"/>
                <w:sz w:val="21"/>
                <w:szCs w:val="21"/>
                <w:lang w:eastAsia="zh-CN"/>
              </w:rPr>
              <w:t>从事防火门、防盗门的生产，年产钢质防火门5.1万套、钢木质防火门3万套、钢制防盗门3.5万套。</w:t>
            </w:r>
            <w:r>
              <w:rPr>
                <w:rFonts w:hint="eastAsia" w:ascii="Times New Roman" w:hAnsi="Times New Roman" w:cs="Times New Roman"/>
                <w:bCs/>
                <w:color w:val="auto"/>
                <w:sz w:val="21"/>
                <w:szCs w:val="21"/>
                <w:lang w:val="en-US" w:eastAsia="zh-CN"/>
              </w:rPr>
              <w:t>2023年受市场影响，</w:t>
            </w:r>
            <w:r>
              <w:rPr>
                <w:rFonts w:hint="eastAsia" w:ascii="Times New Roman" w:hAnsi="Times New Roman" w:cs="Times New Roman"/>
                <w:bCs/>
                <w:color w:val="auto"/>
                <w:sz w:val="21"/>
                <w:szCs w:val="21"/>
                <w:lang w:eastAsia="zh-CN"/>
              </w:rPr>
              <w:t>重庆三花门业有限公司决定停止项目的运营，并将厂区内的设备腾空，将厂房对外进行出租，本项目租赁其</w:t>
            </w:r>
            <w:r>
              <w:rPr>
                <w:rFonts w:hint="eastAsia" w:ascii="Times New Roman" w:hAnsi="Times New Roman" w:cs="Times New Roman"/>
                <w:color w:val="auto"/>
                <w:szCs w:val="21"/>
                <w:lang w:eastAsia="zh-CN"/>
              </w:rPr>
              <w:t>1楼B区、C区厂房进行生产。</w:t>
            </w:r>
          </w:p>
          <w:p w14:paraId="4B23B568">
            <w:pPr>
              <w:keepNext w:val="0"/>
              <w:keepLines w:val="0"/>
              <w:suppressLineNumbers w:val="0"/>
              <w:spacing w:before="0" w:beforeAutospacing="0" w:after="0" w:afterAutospacing="0" w:line="360" w:lineRule="auto"/>
              <w:ind w:left="0" w:right="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项目依托</w:t>
            </w:r>
            <w:r>
              <w:rPr>
                <w:rFonts w:hint="eastAsia" w:ascii="Times New Roman" w:hAnsi="Times New Roman" w:cs="Times New Roman"/>
                <w:bCs/>
                <w:color w:val="auto"/>
                <w:sz w:val="21"/>
                <w:szCs w:val="21"/>
                <w:lang w:eastAsia="zh-CN"/>
              </w:rPr>
              <w:t>重庆三花门业有限公司</w:t>
            </w:r>
            <w:r>
              <w:rPr>
                <w:rFonts w:hint="default" w:ascii="Times New Roman" w:hAnsi="Times New Roman" w:eastAsia="宋体" w:cs="Times New Roman"/>
                <w:bCs/>
                <w:color w:val="auto"/>
                <w:sz w:val="21"/>
                <w:szCs w:val="21"/>
                <w:lang w:eastAsia="zh-CN"/>
              </w:rPr>
              <w:t>项目</w:t>
            </w:r>
            <w:r>
              <w:rPr>
                <w:rFonts w:hint="default" w:ascii="Times New Roman" w:hAnsi="Times New Roman" w:eastAsia="宋体" w:cs="Times New Roman"/>
                <w:color w:val="auto"/>
                <w:sz w:val="21"/>
                <w:szCs w:val="21"/>
              </w:rPr>
              <w:t>内已有设施，经过现场</w:t>
            </w:r>
            <w:r>
              <w:rPr>
                <w:rFonts w:hint="eastAsia" w:cs="Times New Roman"/>
                <w:color w:val="auto"/>
                <w:sz w:val="21"/>
                <w:szCs w:val="21"/>
                <w:lang w:eastAsia="zh-CN"/>
              </w:rPr>
              <w:t>勘察</w:t>
            </w:r>
            <w:r>
              <w:rPr>
                <w:rFonts w:hint="default" w:ascii="Times New Roman" w:hAnsi="Times New Roman" w:eastAsia="宋体" w:cs="Times New Roman"/>
                <w:color w:val="auto"/>
                <w:sz w:val="21"/>
                <w:szCs w:val="21"/>
              </w:rPr>
              <w:t>和企业介绍，其依托情况见表</w:t>
            </w:r>
            <w:r>
              <w:rPr>
                <w:rFonts w:hint="default" w:ascii="Times New Roman" w:hAnsi="Times New Roman" w:eastAsia="宋体" w:cs="Times New Roman"/>
                <w:color w:val="auto"/>
                <w:sz w:val="21"/>
                <w:szCs w:val="21"/>
                <w:lang w:val="en-US" w:eastAsia="zh-CN"/>
              </w:rPr>
              <w:t>2-</w:t>
            </w:r>
            <w:r>
              <w:rPr>
                <w:rFonts w:hint="eastAsia" w:ascii="Times New Roman" w:hAnsi="Times New Roman" w:cs="Times New Roman"/>
                <w:color w:val="auto"/>
                <w:sz w:val="21"/>
                <w:szCs w:val="21"/>
                <w:lang w:val="en-US" w:eastAsia="zh-CN"/>
              </w:rPr>
              <w:t>7</w:t>
            </w:r>
            <w:r>
              <w:rPr>
                <w:rFonts w:hint="default" w:ascii="Times New Roman" w:hAnsi="Times New Roman" w:eastAsia="宋体" w:cs="Times New Roman"/>
                <w:color w:val="auto"/>
                <w:sz w:val="21"/>
                <w:szCs w:val="21"/>
              </w:rPr>
              <w:t>。</w:t>
            </w:r>
          </w:p>
          <w:p w14:paraId="299BEDD9">
            <w:pPr>
              <w:autoSpaceDE w:val="0"/>
              <w:autoSpaceDN w:val="0"/>
              <w:spacing w:line="360" w:lineRule="auto"/>
              <w:ind w:firstLine="422" w:firstLineChars="20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表</w:t>
            </w:r>
            <w:r>
              <w:rPr>
                <w:rFonts w:hint="default" w:ascii="Times New Roman" w:hAnsi="Times New Roman" w:eastAsia="宋体" w:cs="Times New Roman"/>
                <w:b/>
                <w:color w:val="auto"/>
                <w:kern w:val="0"/>
                <w:sz w:val="21"/>
                <w:szCs w:val="21"/>
                <w:lang w:val="en-US" w:eastAsia="zh-CN"/>
              </w:rPr>
              <w:t>2-</w:t>
            </w:r>
            <w:r>
              <w:rPr>
                <w:rFonts w:hint="eastAsia" w:ascii="Times New Roman" w:hAnsi="Times New Roman" w:cs="Times New Roman"/>
                <w:b/>
                <w:color w:val="auto"/>
                <w:kern w:val="0"/>
                <w:sz w:val="21"/>
                <w:szCs w:val="21"/>
                <w:lang w:val="en-US" w:eastAsia="zh-CN"/>
              </w:rPr>
              <w:t>7</w:t>
            </w:r>
            <w:r>
              <w:rPr>
                <w:rFonts w:hint="default" w:ascii="Times New Roman" w:hAnsi="Times New Roman" w:eastAsia="宋体" w:cs="Times New Roman"/>
                <w:b/>
                <w:color w:val="auto"/>
                <w:kern w:val="0"/>
                <w:sz w:val="21"/>
                <w:szCs w:val="21"/>
              </w:rPr>
              <w:t xml:space="preserve">  本项目与</w:t>
            </w:r>
            <w:r>
              <w:rPr>
                <w:rFonts w:hint="eastAsia" w:ascii="Times New Roman" w:hAnsi="Times New Roman" w:cs="Times New Roman"/>
                <w:b/>
                <w:bCs/>
                <w:color w:val="auto"/>
                <w:sz w:val="21"/>
                <w:szCs w:val="21"/>
                <w:lang w:eastAsia="zh-CN"/>
              </w:rPr>
              <w:t>重庆三花门业有限公司</w:t>
            </w:r>
            <w:r>
              <w:rPr>
                <w:rFonts w:hint="default" w:ascii="Times New Roman" w:hAnsi="Times New Roman" w:eastAsia="宋体" w:cs="Times New Roman"/>
                <w:b/>
                <w:bCs/>
                <w:color w:val="auto"/>
                <w:sz w:val="21"/>
                <w:szCs w:val="21"/>
                <w:lang w:eastAsia="zh-CN"/>
              </w:rPr>
              <w:t>项目</w:t>
            </w:r>
            <w:r>
              <w:rPr>
                <w:rFonts w:hint="default" w:ascii="Times New Roman" w:hAnsi="Times New Roman" w:eastAsia="宋体" w:cs="Times New Roman"/>
                <w:b/>
                <w:color w:val="auto"/>
                <w:kern w:val="0"/>
                <w:sz w:val="21"/>
                <w:szCs w:val="21"/>
              </w:rPr>
              <w:t>的依托关系</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01"/>
              <w:gridCol w:w="761"/>
              <w:gridCol w:w="5815"/>
              <w:gridCol w:w="1021"/>
            </w:tblGrid>
            <w:tr w14:paraId="5574CC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5" w:hRule="atLeast"/>
                <w:jc w:val="center"/>
              </w:trPr>
              <w:tc>
                <w:tcPr>
                  <w:tcW w:w="779" w:type="pct"/>
                  <w:gridSpan w:val="2"/>
                  <w:noWrap w:val="0"/>
                  <w:vAlign w:val="center"/>
                </w:tcPr>
                <w:p w14:paraId="15B5AD8B">
                  <w:pPr>
                    <w:tabs>
                      <w:tab w:val="left" w:pos="2835"/>
                    </w:tabs>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工程类别</w:t>
                  </w:r>
                </w:p>
              </w:tc>
              <w:tc>
                <w:tcPr>
                  <w:tcW w:w="3590" w:type="pct"/>
                  <w:noWrap w:val="0"/>
                  <w:vAlign w:val="center"/>
                </w:tcPr>
                <w:p w14:paraId="0F9BA4EF">
                  <w:pPr>
                    <w:tabs>
                      <w:tab w:val="left" w:pos="2835"/>
                    </w:tabs>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依托内容</w:t>
                  </w:r>
                </w:p>
              </w:tc>
              <w:tc>
                <w:tcPr>
                  <w:tcW w:w="630" w:type="pct"/>
                  <w:noWrap w:val="0"/>
                  <w:vAlign w:val="center"/>
                </w:tcPr>
                <w:p w14:paraId="45D965F4">
                  <w:pPr>
                    <w:tabs>
                      <w:tab w:val="left" w:pos="2835"/>
                    </w:tabs>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可行性</w:t>
                  </w:r>
                </w:p>
              </w:tc>
            </w:tr>
            <w:tr w14:paraId="0205D1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6" w:hRule="atLeast"/>
                <w:jc w:val="center"/>
              </w:trPr>
              <w:tc>
                <w:tcPr>
                  <w:tcW w:w="309" w:type="pct"/>
                  <w:vMerge w:val="restart"/>
                  <w:noWrap w:val="0"/>
                  <w:vAlign w:val="center"/>
                </w:tcPr>
                <w:p w14:paraId="79CA6DBA">
                  <w:pPr>
                    <w:tabs>
                      <w:tab w:val="left" w:pos="2835"/>
                    </w:tabs>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公用</w:t>
                  </w:r>
                </w:p>
                <w:p w14:paraId="46C8C7D3">
                  <w:pPr>
                    <w:tabs>
                      <w:tab w:val="left" w:pos="2835"/>
                    </w:tabs>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工程</w:t>
                  </w:r>
                </w:p>
              </w:tc>
              <w:tc>
                <w:tcPr>
                  <w:tcW w:w="470" w:type="pct"/>
                  <w:noWrap w:val="0"/>
                  <w:vAlign w:val="center"/>
                </w:tcPr>
                <w:p w14:paraId="7A8798D6">
                  <w:pPr>
                    <w:tabs>
                      <w:tab w:val="left" w:pos="2835"/>
                    </w:tabs>
                    <w:spacing w:line="240" w:lineRule="exact"/>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给水</w:t>
                  </w:r>
                </w:p>
              </w:tc>
              <w:tc>
                <w:tcPr>
                  <w:tcW w:w="3590" w:type="pct"/>
                  <w:noWrap w:val="0"/>
                  <w:vAlign w:val="center"/>
                </w:tcPr>
                <w:p w14:paraId="60EFB64E">
                  <w:pPr>
                    <w:spacing w:line="240" w:lineRule="exact"/>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由</w:t>
                  </w:r>
                  <w:r>
                    <w:rPr>
                      <w:rFonts w:hint="eastAsia" w:ascii="Times New Roman" w:hAnsi="Times New Roman" w:cs="Times New Roman"/>
                      <w:bCs/>
                      <w:color w:val="auto"/>
                      <w:sz w:val="18"/>
                      <w:szCs w:val="18"/>
                      <w:lang w:eastAsia="zh-CN"/>
                    </w:rPr>
                    <w:t>重庆三花门业有限公司</w:t>
                  </w:r>
                  <w:r>
                    <w:rPr>
                      <w:rFonts w:hint="default" w:ascii="Times New Roman" w:hAnsi="Times New Roman" w:eastAsia="宋体" w:cs="Times New Roman"/>
                      <w:color w:val="auto"/>
                      <w:sz w:val="18"/>
                      <w:szCs w:val="18"/>
                    </w:rPr>
                    <w:t>供水管网接入室内。</w:t>
                  </w:r>
                </w:p>
              </w:tc>
              <w:tc>
                <w:tcPr>
                  <w:tcW w:w="630" w:type="pct"/>
                  <w:noWrap w:val="0"/>
                  <w:vAlign w:val="center"/>
                </w:tcPr>
                <w:p w14:paraId="1F182382">
                  <w:pPr>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依托可行</w:t>
                  </w:r>
                </w:p>
              </w:tc>
            </w:tr>
            <w:tr w14:paraId="0F9949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6" w:hRule="atLeast"/>
                <w:jc w:val="center"/>
              </w:trPr>
              <w:tc>
                <w:tcPr>
                  <w:tcW w:w="309" w:type="pct"/>
                  <w:vMerge w:val="continue"/>
                  <w:noWrap w:val="0"/>
                  <w:vAlign w:val="center"/>
                </w:tcPr>
                <w:p w14:paraId="46623365">
                  <w:pPr>
                    <w:tabs>
                      <w:tab w:val="left" w:pos="2835"/>
                    </w:tabs>
                    <w:spacing w:line="240" w:lineRule="exact"/>
                    <w:jc w:val="center"/>
                    <w:rPr>
                      <w:rFonts w:hint="default" w:ascii="Times New Roman" w:hAnsi="Times New Roman" w:eastAsia="宋体" w:cs="Times New Roman"/>
                      <w:color w:val="auto"/>
                      <w:sz w:val="18"/>
                      <w:szCs w:val="18"/>
                    </w:rPr>
                  </w:pPr>
                </w:p>
              </w:tc>
              <w:tc>
                <w:tcPr>
                  <w:tcW w:w="470" w:type="pct"/>
                  <w:noWrap w:val="0"/>
                  <w:vAlign w:val="center"/>
                </w:tcPr>
                <w:p w14:paraId="4A1D686A">
                  <w:pPr>
                    <w:tabs>
                      <w:tab w:val="left" w:pos="2835"/>
                    </w:tabs>
                    <w:spacing w:line="240" w:lineRule="exact"/>
                    <w:jc w:val="center"/>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供电</w:t>
                  </w:r>
                </w:p>
              </w:tc>
              <w:tc>
                <w:tcPr>
                  <w:tcW w:w="3590" w:type="pct"/>
                  <w:noWrap w:val="0"/>
                  <w:vAlign w:val="center"/>
                </w:tcPr>
                <w:p w14:paraId="5689F30D">
                  <w:pPr>
                    <w:spacing w:line="240" w:lineRule="exact"/>
                    <w:jc w:val="left"/>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sz w:val="18"/>
                      <w:szCs w:val="18"/>
                    </w:rPr>
                    <w:t>由</w:t>
                  </w:r>
                  <w:r>
                    <w:rPr>
                      <w:rFonts w:hint="eastAsia" w:ascii="Times New Roman" w:hAnsi="Times New Roman" w:cs="Times New Roman"/>
                      <w:bCs/>
                      <w:color w:val="auto"/>
                      <w:sz w:val="18"/>
                      <w:szCs w:val="18"/>
                      <w:lang w:eastAsia="zh-CN"/>
                    </w:rPr>
                    <w:t>重庆三花门业有限公司</w:t>
                  </w:r>
                  <w:r>
                    <w:rPr>
                      <w:rFonts w:hint="default" w:ascii="Times New Roman" w:hAnsi="Times New Roman" w:eastAsia="宋体" w:cs="Times New Roman"/>
                      <w:color w:val="auto"/>
                      <w:sz w:val="18"/>
                      <w:szCs w:val="18"/>
                    </w:rPr>
                    <w:t>电网接入室内。</w:t>
                  </w:r>
                </w:p>
              </w:tc>
              <w:tc>
                <w:tcPr>
                  <w:tcW w:w="630" w:type="pct"/>
                  <w:noWrap w:val="0"/>
                  <w:vAlign w:val="center"/>
                </w:tcPr>
                <w:p w14:paraId="4C072C85">
                  <w:pPr>
                    <w:pStyle w:val="90"/>
                    <w:adjustRightInd/>
                    <w:spacing w:line="240" w:lineRule="exact"/>
                    <w:ind w:firstLine="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依托可行</w:t>
                  </w:r>
                </w:p>
              </w:tc>
            </w:tr>
            <w:tr w14:paraId="51F77B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09" w:type="pct"/>
                  <w:vMerge w:val="continue"/>
                  <w:noWrap w:val="0"/>
                  <w:vAlign w:val="center"/>
                </w:tcPr>
                <w:p w14:paraId="1B258583">
                  <w:pPr>
                    <w:tabs>
                      <w:tab w:val="left" w:pos="2835"/>
                    </w:tabs>
                    <w:spacing w:line="240" w:lineRule="exact"/>
                    <w:jc w:val="center"/>
                    <w:rPr>
                      <w:rFonts w:hint="default" w:ascii="Times New Roman" w:hAnsi="Times New Roman" w:eastAsia="宋体" w:cs="Times New Roman"/>
                      <w:color w:val="auto"/>
                      <w:sz w:val="18"/>
                      <w:szCs w:val="18"/>
                    </w:rPr>
                  </w:pPr>
                </w:p>
              </w:tc>
              <w:tc>
                <w:tcPr>
                  <w:tcW w:w="470" w:type="pct"/>
                  <w:noWrap w:val="0"/>
                  <w:vAlign w:val="center"/>
                </w:tcPr>
                <w:p w14:paraId="7B6541F8">
                  <w:pPr>
                    <w:spacing w:line="240" w:lineRule="exact"/>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color w:val="auto"/>
                      <w:sz w:val="18"/>
                      <w:szCs w:val="18"/>
                    </w:rPr>
                    <w:t>排水</w:t>
                  </w:r>
                </w:p>
              </w:tc>
              <w:tc>
                <w:tcPr>
                  <w:tcW w:w="3590" w:type="pct"/>
                  <w:noWrap w:val="0"/>
                  <w:vAlign w:val="center"/>
                </w:tcPr>
                <w:p w14:paraId="433650D1">
                  <w:pPr>
                    <w:pStyle w:val="93"/>
                    <w:spacing w:line="240" w:lineRule="exact"/>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bCs/>
                      <w:color w:val="auto"/>
                      <w:sz w:val="18"/>
                      <w:szCs w:val="18"/>
                    </w:rPr>
                    <w:t>雨水依</w:t>
                  </w:r>
                  <w:r>
                    <w:rPr>
                      <w:rFonts w:hint="default" w:ascii="Times New Roman" w:hAnsi="Times New Roman" w:eastAsia="宋体" w:cs="Times New Roman"/>
                      <w:color w:val="auto"/>
                      <w:sz w:val="18"/>
                      <w:szCs w:val="18"/>
                    </w:rPr>
                    <w:t>托</w:t>
                  </w:r>
                  <w:r>
                    <w:rPr>
                      <w:rFonts w:hint="eastAsia" w:ascii="Times New Roman" w:hAnsi="Times New Roman" w:cs="Times New Roman"/>
                      <w:bCs/>
                      <w:color w:val="auto"/>
                      <w:sz w:val="18"/>
                      <w:szCs w:val="18"/>
                      <w:lang w:eastAsia="zh-CN"/>
                    </w:rPr>
                    <w:t>重庆三花门业有限公司</w:t>
                  </w:r>
                  <w:r>
                    <w:rPr>
                      <w:rFonts w:hint="default" w:ascii="Times New Roman" w:hAnsi="Times New Roman" w:eastAsia="宋体" w:cs="Times New Roman"/>
                      <w:color w:val="auto"/>
                      <w:sz w:val="18"/>
                      <w:szCs w:val="18"/>
                    </w:rPr>
                    <w:t>已建室外雨水管网排入</w:t>
                  </w:r>
                  <w:r>
                    <w:rPr>
                      <w:rFonts w:hint="default" w:ascii="Times New Roman" w:hAnsi="Times New Roman" w:eastAsia="宋体" w:cs="Times New Roman"/>
                      <w:color w:val="auto"/>
                      <w:sz w:val="18"/>
                      <w:szCs w:val="18"/>
                      <w:lang w:eastAsia="zh-CN"/>
                    </w:rPr>
                    <w:t>园区</w:t>
                  </w:r>
                  <w:r>
                    <w:rPr>
                      <w:rFonts w:hint="default" w:ascii="Times New Roman" w:hAnsi="Times New Roman" w:eastAsia="宋体" w:cs="Times New Roman"/>
                      <w:color w:val="auto"/>
                      <w:sz w:val="18"/>
                      <w:szCs w:val="18"/>
                    </w:rPr>
                    <w:t>雨水管网；</w:t>
                  </w:r>
                </w:p>
                <w:p w14:paraId="39E70895">
                  <w:pPr>
                    <w:pStyle w:val="93"/>
                    <w:spacing w:line="240" w:lineRule="exact"/>
                    <w:ind w:firstLine="0" w:firstLineChars="0"/>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生活污水</w:t>
                  </w:r>
                  <w:r>
                    <w:rPr>
                      <w:rFonts w:hint="default" w:ascii="Times New Roman" w:hAnsi="Times New Roman" w:eastAsia="宋体" w:cs="Times New Roman"/>
                      <w:color w:val="auto"/>
                      <w:sz w:val="18"/>
                      <w:szCs w:val="18"/>
                      <w:lang w:eastAsia="zh-CN"/>
                    </w:rPr>
                    <w:t>依托</w:t>
                  </w:r>
                  <w:r>
                    <w:rPr>
                      <w:rFonts w:hint="eastAsia" w:ascii="Times New Roman" w:hAnsi="Times New Roman" w:cs="Times New Roman"/>
                      <w:color w:val="auto"/>
                      <w:sz w:val="18"/>
                      <w:szCs w:val="18"/>
                      <w:lang w:eastAsia="zh-CN"/>
                    </w:rPr>
                    <w:t>重庆三花门业有限公司</w:t>
                  </w:r>
                  <w:r>
                    <w:rPr>
                      <w:rFonts w:hint="default" w:ascii="Times New Roman" w:hAnsi="Times New Roman" w:eastAsia="宋体" w:cs="Times New Roman"/>
                      <w:color w:val="auto"/>
                      <w:sz w:val="18"/>
                      <w:szCs w:val="18"/>
                      <w:lang w:eastAsia="zh-CN"/>
                    </w:rPr>
                    <w:t>生化池处理达标后排入园区污水管网，再进入</w:t>
                  </w:r>
                  <w:r>
                    <w:rPr>
                      <w:rFonts w:hint="eastAsia" w:ascii="Times New Roman" w:hAnsi="Times New Roman" w:cs="Times New Roman"/>
                      <w:color w:val="auto"/>
                      <w:sz w:val="18"/>
                      <w:szCs w:val="18"/>
                      <w:lang w:eastAsia="zh-CN"/>
                    </w:rPr>
                    <w:t>南溪组团A区污水处理厂</w:t>
                  </w:r>
                  <w:r>
                    <w:rPr>
                      <w:rFonts w:hint="default" w:ascii="Times New Roman" w:hAnsi="Times New Roman" w:eastAsia="宋体" w:cs="Times New Roman"/>
                      <w:color w:val="auto"/>
                      <w:sz w:val="18"/>
                      <w:szCs w:val="18"/>
                      <w:lang w:eastAsia="zh-CN"/>
                    </w:rPr>
                    <w:t>进一步处理</w:t>
                  </w:r>
                </w:p>
              </w:tc>
              <w:tc>
                <w:tcPr>
                  <w:tcW w:w="630" w:type="pct"/>
                  <w:noWrap w:val="0"/>
                  <w:vAlign w:val="center"/>
                </w:tcPr>
                <w:p w14:paraId="2771896B">
                  <w:pPr>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依托可行</w:t>
                  </w:r>
                </w:p>
              </w:tc>
            </w:tr>
            <w:tr w14:paraId="1E117F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60" w:hRule="atLeast"/>
                <w:jc w:val="center"/>
              </w:trPr>
              <w:tc>
                <w:tcPr>
                  <w:tcW w:w="309" w:type="pct"/>
                  <w:noWrap w:val="0"/>
                  <w:vAlign w:val="center"/>
                </w:tcPr>
                <w:p w14:paraId="0161CEEF">
                  <w:pPr>
                    <w:tabs>
                      <w:tab w:val="left" w:pos="2835"/>
                    </w:tabs>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环保</w:t>
                  </w:r>
                </w:p>
                <w:p w14:paraId="6F603CC3">
                  <w:pPr>
                    <w:tabs>
                      <w:tab w:val="left" w:pos="2835"/>
                    </w:tabs>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工程</w:t>
                  </w:r>
                </w:p>
              </w:tc>
              <w:tc>
                <w:tcPr>
                  <w:tcW w:w="470" w:type="pct"/>
                  <w:noWrap w:val="0"/>
                  <w:vAlign w:val="center"/>
                </w:tcPr>
                <w:p w14:paraId="1AC12AC8">
                  <w:pPr>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生化池</w:t>
                  </w:r>
                </w:p>
              </w:tc>
              <w:tc>
                <w:tcPr>
                  <w:tcW w:w="3590" w:type="pct"/>
                  <w:noWrap w:val="0"/>
                  <w:vAlign w:val="center"/>
                </w:tcPr>
                <w:p w14:paraId="78AF5D72">
                  <w:pPr>
                    <w:spacing w:line="240" w:lineRule="exact"/>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营运期产生的</w:t>
                  </w:r>
                  <w:r>
                    <w:rPr>
                      <w:rFonts w:hint="eastAsia" w:ascii="Times New Roman" w:hAnsi="Times New Roman" w:cs="Times New Roman"/>
                      <w:color w:val="auto"/>
                      <w:sz w:val="18"/>
                      <w:szCs w:val="18"/>
                      <w:lang w:val="en-US" w:eastAsia="zh-CN"/>
                    </w:rPr>
                    <w:t>地面清洁废水与生活污水</w:t>
                  </w:r>
                  <w:r>
                    <w:rPr>
                      <w:rFonts w:hint="default" w:ascii="Times New Roman" w:hAnsi="Times New Roman" w:eastAsia="宋体" w:cs="Times New Roman"/>
                      <w:color w:val="auto"/>
                      <w:sz w:val="18"/>
                      <w:szCs w:val="18"/>
                      <w:lang w:val="en-US" w:eastAsia="zh-CN"/>
                    </w:rPr>
                    <w:t>一起</w:t>
                  </w:r>
                  <w:r>
                    <w:rPr>
                      <w:rFonts w:hint="eastAsia" w:ascii="Times New Roman" w:hAnsi="Times New Roman" w:cs="Times New Roman"/>
                      <w:color w:val="auto"/>
                      <w:sz w:val="18"/>
                      <w:szCs w:val="18"/>
                      <w:lang w:val="en-US" w:eastAsia="zh-CN"/>
                    </w:rPr>
                    <w:t>排入重庆三花门业现有生化池处理达</w:t>
                  </w:r>
                  <w:r>
                    <w:rPr>
                      <w:rFonts w:hint="default" w:ascii="Times New Roman" w:hAnsi="Times New Roman" w:eastAsia="宋体" w:cs="Times New Roman"/>
                      <w:color w:val="auto"/>
                      <w:sz w:val="18"/>
                      <w:szCs w:val="18"/>
                    </w:rPr>
                    <w:t>《污水综合排放标准》（GB8978-1996）三级标准后</w:t>
                  </w:r>
                  <w:r>
                    <w:rPr>
                      <w:rFonts w:hint="default" w:ascii="Times New Roman" w:hAnsi="Times New Roman" w:eastAsia="宋体" w:cs="Times New Roman"/>
                      <w:color w:val="auto"/>
                      <w:sz w:val="18"/>
                      <w:szCs w:val="18"/>
                      <w:lang w:eastAsia="zh-CN"/>
                    </w:rPr>
                    <w:t>排</w:t>
                  </w:r>
                  <w:r>
                    <w:rPr>
                      <w:rFonts w:hint="default" w:ascii="Times New Roman" w:hAnsi="Times New Roman" w:eastAsia="宋体" w:cs="Times New Roman"/>
                      <w:color w:val="auto"/>
                      <w:sz w:val="18"/>
                      <w:szCs w:val="18"/>
                    </w:rPr>
                    <w:t>入</w:t>
                  </w:r>
                  <w:r>
                    <w:rPr>
                      <w:rFonts w:hint="default" w:ascii="Times New Roman" w:hAnsi="Times New Roman" w:eastAsia="宋体" w:cs="Times New Roman"/>
                      <w:color w:val="auto"/>
                      <w:sz w:val="18"/>
                      <w:szCs w:val="18"/>
                      <w:lang w:eastAsia="zh-CN"/>
                    </w:rPr>
                    <w:t>园区</w:t>
                  </w:r>
                  <w:r>
                    <w:rPr>
                      <w:rFonts w:hint="default" w:ascii="Times New Roman" w:hAnsi="Times New Roman" w:eastAsia="宋体" w:cs="Times New Roman"/>
                      <w:color w:val="auto"/>
                      <w:sz w:val="18"/>
                      <w:szCs w:val="18"/>
                    </w:rPr>
                    <w:t>污水管网进入</w:t>
                  </w:r>
                  <w:r>
                    <w:rPr>
                      <w:rFonts w:hint="eastAsia" w:ascii="Times New Roman" w:hAnsi="Times New Roman" w:cs="Times New Roman"/>
                      <w:color w:val="auto"/>
                      <w:sz w:val="18"/>
                      <w:szCs w:val="18"/>
                      <w:lang w:eastAsia="zh-CN"/>
                    </w:rPr>
                    <w:t>南溪组团A区污水处理厂</w:t>
                  </w:r>
                  <w:r>
                    <w:rPr>
                      <w:rFonts w:hint="default" w:ascii="Times New Roman" w:hAnsi="Times New Roman" w:eastAsia="宋体" w:cs="Times New Roman"/>
                      <w:color w:val="auto"/>
                      <w:sz w:val="18"/>
                      <w:szCs w:val="18"/>
                    </w:rPr>
                    <w:t>进一步处理</w:t>
                  </w:r>
                  <w:r>
                    <w:rPr>
                      <w:rFonts w:hint="eastAsia" w:ascii="Times New Roman" w:hAnsi="Times New Roman" w:cs="Times New Roman"/>
                      <w:color w:val="auto"/>
                      <w:sz w:val="18"/>
                      <w:szCs w:val="18"/>
                      <w:lang w:eastAsia="zh-CN"/>
                    </w:rPr>
                    <w:t>达《城镇污水处理厂污染物排放标准》（GB18918-2002）一级B标后排入建梁河，最后汇入嘉陵江</w:t>
                  </w:r>
                  <w:r>
                    <w:rPr>
                      <w:rFonts w:hint="default" w:ascii="Times New Roman" w:hAnsi="Times New Roman" w:eastAsia="宋体" w:cs="Times New Roman"/>
                      <w:color w:val="auto"/>
                      <w:sz w:val="18"/>
                      <w:szCs w:val="18"/>
                    </w:rPr>
                    <w:t>。</w:t>
                  </w:r>
                </w:p>
                <w:p w14:paraId="7C821167">
                  <w:pPr>
                    <w:spacing w:line="240" w:lineRule="exact"/>
                    <w:jc w:val="left"/>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rPr>
                    <w:t>该生化池位于</w:t>
                  </w:r>
                  <w:r>
                    <w:rPr>
                      <w:rFonts w:hint="eastAsia" w:ascii="Times New Roman" w:hAnsi="Times New Roman" w:cs="Times New Roman"/>
                      <w:color w:val="auto"/>
                      <w:sz w:val="18"/>
                      <w:szCs w:val="18"/>
                      <w:lang w:eastAsia="zh-CN"/>
                    </w:rPr>
                    <w:t>重庆三花门业有限公司</w:t>
                  </w:r>
                  <w:r>
                    <w:rPr>
                      <w:rFonts w:hint="default" w:ascii="Times New Roman" w:hAnsi="Times New Roman" w:eastAsia="宋体" w:cs="Times New Roman"/>
                      <w:color w:val="auto"/>
                      <w:sz w:val="18"/>
                      <w:szCs w:val="18"/>
                      <w:lang w:eastAsia="zh-CN"/>
                    </w:rPr>
                    <w:t>东</w:t>
                  </w:r>
                  <w:r>
                    <w:rPr>
                      <w:rFonts w:hint="default" w:ascii="Times New Roman" w:hAnsi="Times New Roman" w:eastAsia="宋体" w:cs="Times New Roman"/>
                      <w:color w:val="auto"/>
                      <w:sz w:val="18"/>
                      <w:szCs w:val="18"/>
                    </w:rPr>
                    <w:t>南</w:t>
                  </w:r>
                  <w:r>
                    <w:rPr>
                      <w:rFonts w:hint="default" w:ascii="Times New Roman" w:hAnsi="Times New Roman" w:eastAsia="宋体" w:cs="Times New Roman"/>
                      <w:color w:val="auto"/>
                      <w:sz w:val="18"/>
                      <w:szCs w:val="18"/>
                      <w:lang w:eastAsia="zh-CN"/>
                    </w:rPr>
                    <w:t>角</w:t>
                  </w:r>
                  <w:r>
                    <w:rPr>
                      <w:rFonts w:hint="default" w:ascii="Times New Roman" w:hAnsi="Times New Roman" w:eastAsia="宋体" w:cs="Times New Roman"/>
                      <w:color w:val="auto"/>
                      <w:kern w:val="0"/>
                      <w:sz w:val="18"/>
                      <w:szCs w:val="18"/>
                    </w:rPr>
                    <w:t>，处理能力</w:t>
                  </w:r>
                  <w:r>
                    <w:rPr>
                      <w:rFonts w:hint="eastAsia" w:ascii="Times New Roman" w:hAnsi="Times New Roman" w:cs="Times New Roman"/>
                      <w:color w:val="auto"/>
                      <w:kern w:val="0"/>
                      <w:sz w:val="18"/>
                      <w:szCs w:val="18"/>
                      <w:lang w:val="en-US" w:eastAsia="zh-CN"/>
                    </w:rPr>
                    <w:t>70</w:t>
                  </w:r>
                  <w:r>
                    <w:rPr>
                      <w:rFonts w:hint="default" w:ascii="Times New Roman" w:hAnsi="Times New Roman" w:eastAsia="宋体" w:cs="Times New Roman"/>
                      <w:color w:val="auto"/>
                      <w:kern w:val="0"/>
                      <w:sz w:val="18"/>
                      <w:szCs w:val="18"/>
                      <w:highlight w:val="none"/>
                    </w:rPr>
                    <w:t>m</w:t>
                  </w:r>
                  <w:r>
                    <w:rPr>
                      <w:rFonts w:hint="default" w:ascii="Times New Roman" w:hAnsi="Times New Roman" w:eastAsia="宋体" w:cs="Times New Roman"/>
                      <w:color w:val="auto"/>
                      <w:kern w:val="0"/>
                      <w:sz w:val="18"/>
                      <w:szCs w:val="18"/>
                      <w:highlight w:val="none"/>
                      <w:vertAlign w:val="superscript"/>
                    </w:rPr>
                    <w:t>3</w:t>
                  </w:r>
                  <w:r>
                    <w:rPr>
                      <w:rFonts w:hint="default" w:ascii="Times New Roman" w:hAnsi="Times New Roman" w:eastAsia="宋体" w:cs="Times New Roman"/>
                      <w:color w:val="auto"/>
                      <w:kern w:val="0"/>
                      <w:sz w:val="18"/>
                      <w:szCs w:val="18"/>
                    </w:rPr>
                    <w:t>/d</w:t>
                  </w:r>
                  <w:r>
                    <w:rPr>
                      <w:rFonts w:hint="default" w:ascii="Times New Roman" w:hAnsi="Times New Roman" w:eastAsia="宋体" w:cs="Times New Roman"/>
                      <w:color w:val="auto"/>
                      <w:sz w:val="18"/>
                      <w:szCs w:val="18"/>
                    </w:rPr>
                    <w:t>，该生化池</w:t>
                  </w:r>
                  <w:r>
                    <w:rPr>
                      <w:rFonts w:hint="default" w:ascii="Times New Roman" w:hAnsi="Times New Roman" w:eastAsia="宋体" w:cs="Times New Roman"/>
                      <w:color w:val="auto"/>
                      <w:sz w:val="18"/>
                      <w:szCs w:val="18"/>
                      <w:lang w:val="en-US" w:eastAsia="zh-CN"/>
                    </w:rPr>
                    <w:t>目前</w:t>
                  </w:r>
                  <w:r>
                    <w:rPr>
                      <w:rFonts w:hint="default" w:ascii="Times New Roman" w:hAnsi="Times New Roman" w:eastAsia="宋体" w:cs="Times New Roman"/>
                      <w:color w:val="auto"/>
                      <w:sz w:val="18"/>
                      <w:szCs w:val="18"/>
                    </w:rPr>
                    <w:t>剩余接纳能力</w:t>
                  </w:r>
                  <w:r>
                    <w:rPr>
                      <w:rFonts w:hint="eastAsia" w:ascii="Times New Roman" w:hAnsi="Times New Roman" w:cs="Times New Roman"/>
                      <w:color w:val="auto"/>
                      <w:sz w:val="18"/>
                      <w:szCs w:val="18"/>
                      <w:lang w:val="en-US" w:eastAsia="zh-CN"/>
                    </w:rPr>
                    <w:t>50</w:t>
                  </w:r>
                  <w:r>
                    <w:rPr>
                      <w:rFonts w:hint="default" w:ascii="Times New Roman" w:hAnsi="Times New Roman" w:eastAsia="宋体" w:cs="Times New Roman"/>
                      <w:color w:val="auto"/>
                      <w:sz w:val="18"/>
                      <w:szCs w:val="18"/>
                    </w:rPr>
                    <w:t>m</w:t>
                  </w:r>
                  <w:r>
                    <w:rPr>
                      <w:rFonts w:hint="default" w:ascii="Times New Roman" w:hAnsi="Times New Roman" w:eastAsia="宋体" w:cs="Times New Roman"/>
                      <w:color w:val="auto"/>
                      <w:sz w:val="18"/>
                      <w:szCs w:val="18"/>
                      <w:vertAlign w:val="superscript"/>
                    </w:rPr>
                    <w:t>3</w:t>
                  </w:r>
                  <w:r>
                    <w:rPr>
                      <w:rFonts w:hint="default" w:ascii="Times New Roman" w:hAnsi="Times New Roman" w:eastAsia="宋体" w:cs="Times New Roman"/>
                      <w:color w:val="auto"/>
                      <w:sz w:val="18"/>
                      <w:szCs w:val="18"/>
                    </w:rPr>
                    <w:t>/d</w:t>
                  </w:r>
                  <w:r>
                    <w:rPr>
                      <w:rFonts w:hint="default" w:ascii="Times New Roman" w:hAnsi="Times New Roman" w:eastAsia="宋体" w:cs="Times New Roman"/>
                      <w:color w:val="auto"/>
                      <w:sz w:val="18"/>
                      <w:szCs w:val="18"/>
                      <w:lang w:eastAsia="zh-CN"/>
                    </w:rPr>
                    <w:t>，剩余处理能力充足</w:t>
                  </w:r>
                  <w:r>
                    <w:rPr>
                      <w:rFonts w:hint="default" w:ascii="Times New Roman" w:hAnsi="Times New Roman" w:eastAsia="宋体" w:cs="Times New Roman"/>
                      <w:color w:val="auto"/>
                      <w:sz w:val="18"/>
                      <w:szCs w:val="18"/>
                    </w:rPr>
                    <w:t>，本项目新增生活污水量为</w:t>
                  </w:r>
                  <w:r>
                    <w:rPr>
                      <w:rFonts w:hint="eastAsia" w:ascii="Times New Roman" w:hAnsi="Times New Roman" w:cs="Times New Roman"/>
                      <w:color w:val="auto"/>
                      <w:sz w:val="18"/>
                      <w:szCs w:val="18"/>
                      <w:lang w:val="en-US" w:eastAsia="zh-CN"/>
                    </w:rPr>
                    <w:t>0.4932</w:t>
                  </w:r>
                  <w:r>
                    <w:rPr>
                      <w:rFonts w:hint="default" w:ascii="Times New Roman" w:hAnsi="Times New Roman" w:eastAsia="宋体" w:cs="Times New Roman"/>
                      <w:color w:val="auto"/>
                      <w:sz w:val="18"/>
                      <w:szCs w:val="18"/>
                    </w:rPr>
                    <w:t>m</w:t>
                  </w:r>
                  <w:r>
                    <w:rPr>
                      <w:rFonts w:hint="default" w:ascii="Times New Roman" w:hAnsi="Times New Roman" w:eastAsia="宋体" w:cs="Times New Roman"/>
                      <w:color w:val="auto"/>
                      <w:sz w:val="18"/>
                      <w:szCs w:val="18"/>
                      <w:vertAlign w:val="superscript"/>
                    </w:rPr>
                    <w:t>3</w:t>
                  </w:r>
                  <w:r>
                    <w:rPr>
                      <w:rFonts w:hint="default" w:ascii="Times New Roman" w:hAnsi="Times New Roman" w:eastAsia="宋体" w:cs="Times New Roman"/>
                      <w:color w:val="auto"/>
                      <w:sz w:val="18"/>
                      <w:szCs w:val="18"/>
                    </w:rPr>
                    <w:t>/d，</w:t>
                  </w:r>
                  <w:r>
                    <w:rPr>
                      <w:rFonts w:hint="default" w:ascii="Times New Roman" w:hAnsi="Times New Roman" w:eastAsia="宋体" w:cs="Times New Roman"/>
                      <w:bCs/>
                      <w:color w:val="auto"/>
                      <w:sz w:val="18"/>
                      <w:szCs w:val="18"/>
                    </w:rPr>
                    <w:t>污水成分简单，满足生化池的进水水质要求。因此，</w:t>
                  </w:r>
                  <w:r>
                    <w:rPr>
                      <w:rFonts w:hint="eastAsia" w:ascii="Times New Roman" w:hAnsi="Times New Roman" w:cs="Times New Roman"/>
                      <w:bCs/>
                      <w:color w:val="auto"/>
                      <w:sz w:val="18"/>
                      <w:szCs w:val="18"/>
                      <w:lang w:eastAsia="zh-CN"/>
                    </w:rPr>
                    <w:t>重庆三花门业有限公司</w:t>
                  </w:r>
                  <w:r>
                    <w:rPr>
                      <w:rFonts w:hint="default" w:ascii="Times New Roman" w:hAnsi="Times New Roman" w:eastAsia="宋体" w:cs="Times New Roman"/>
                      <w:bCs/>
                      <w:color w:val="auto"/>
                      <w:sz w:val="18"/>
                      <w:szCs w:val="18"/>
                    </w:rPr>
                    <w:t>已建生化池能够接纳和处理项目的污废水。</w:t>
                  </w:r>
                </w:p>
              </w:tc>
              <w:tc>
                <w:tcPr>
                  <w:tcW w:w="630" w:type="pct"/>
                  <w:noWrap w:val="0"/>
                  <w:vAlign w:val="center"/>
                </w:tcPr>
                <w:p w14:paraId="7205570E">
                  <w:pPr>
                    <w:spacing w:line="240" w:lineRule="exact"/>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依托可行</w:t>
                  </w:r>
                </w:p>
              </w:tc>
            </w:tr>
          </w:tbl>
          <w:p w14:paraId="71AF62A3">
            <w:pPr>
              <w:pStyle w:val="26"/>
              <w:adjustRightInd w:val="0"/>
              <w:snapToGrid w:val="0"/>
              <w:spacing w:before="0" w:beforeAutospacing="0" w:after="0" w:afterAutospacing="0" w:line="360" w:lineRule="auto"/>
              <w:jc w:val="both"/>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2.3.9厂区平面布置</w:t>
            </w:r>
          </w:p>
          <w:p w14:paraId="0FB3066D">
            <w:pPr>
              <w:spacing w:line="360" w:lineRule="auto"/>
              <w:ind w:firstLine="422" w:firstLineChars="200"/>
              <w:rPr>
                <w:rFonts w:hint="default" w:ascii="Times New Roman" w:hAnsi="Times New Roman" w:cs="Times New Roman"/>
                <w:b/>
                <w:bCs/>
                <w:color w:val="auto"/>
                <w:szCs w:val="21"/>
                <w:highlight w:val="yellow"/>
              </w:rPr>
            </w:pPr>
            <w:r>
              <w:rPr>
                <w:rFonts w:hint="default" w:ascii="Times New Roman" w:hAnsi="Times New Roman" w:cs="Times New Roman"/>
                <w:b/>
                <w:bCs/>
                <w:color w:val="auto"/>
                <w:szCs w:val="21"/>
              </w:rPr>
              <w:t>（1）</w:t>
            </w:r>
            <w:r>
              <w:rPr>
                <w:rFonts w:hint="eastAsia" w:ascii="Times New Roman" w:hAnsi="Times New Roman" w:cs="Times New Roman"/>
                <w:b/>
                <w:bCs/>
                <w:color w:val="auto"/>
                <w:szCs w:val="21"/>
                <w:lang w:eastAsia="zh-CN"/>
              </w:rPr>
              <w:t>重庆三花门业有限公司</w:t>
            </w:r>
            <w:r>
              <w:rPr>
                <w:rFonts w:hint="default" w:ascii="Times New Roman" w:hAnsi="Times New Roman" w:cs="Times New Roman"/>
                <w:b/>
                <w:bCs/>
                <w:color w:val="auto"/>
                <w:szCs w:val="21"/>
              </w:rPr>
              <w:t>总平面布置</w:t>
            </w:r>
          </w:p>
          <w:p w14:paraId="5E49198C">
            <w:pPr>
              <w:spacing w:line="360" w:lineRule="auto"/>
              <w:ind w:firstLine="420" w:firstLineChars="200"/>
              <w:rPr>
                <w:rFonts w:hint="default" w:ascii="Times New Roman" w:hAnsi="Times New Roman" w:eastAsia="宋体" w:cs="Times New Roman"/>
                <w:color w:val="auto"/>
                <w:kern w:val="2"/>
                <w:sz w:val="21"/>
                <w:szCs w:val="21"/>
                <w:lang w:val="en-US" w:eastAsia="zh-CN"/>
              </w:rPr>
            </w:pPr>
            <w:r>
              <w:rPr>
                <w:rFonts w:hint="eastAsia" w:ascii="Times New Roman" w:hAnsi="Times New Roman" w:cs="Times New Roman"/>
                <w:color w:val="auto"/>
                <w:sz w:val="21"/>
                <w:szCs w:val="21"/>
                <w:lang w:eastAsia="zh-CN"/>
              </w:rPr>
              <w:t>重庆三花门业有限公司</w:t>
            </w:r>
            <w:r>
              <w:rPr>
                <w:rFonts w:hint="default" w:ascii="Times New Roman" w:hAnsi="Times New Roman" w:eastAsia="宋体" w:cs="Times New Roman"/>
                <w:color w:val="auto"/>
                <w:sz w:val="21"/>
                <w:szCs w:val="21"/>
                <w:lang w:eastAsia="zh-CN"/>
              </w:rPr>
              <w:t>整个</w:t>
            </w:r>
            <w:r>
              <w:rPr>
                <w:rFonts w:hint="eastAsia" w:ascii="Times New Roman" w:hAnsi="Times New Roman" w:cs="Times New Roman"/>
                <w:color w:val="auto"/>
                <w:sz w:val="21"/>
                <w:szCs w:val="21"/>
                <w:lang w:eastAsia="zh-CN"/>
              </w:rPr>
              <w:t>厂区共设置有</w:t>
            </w:r>
            <w:r>
              <w:rPr>
                <w:rFonts w:hint="eastAsia" w:ascii="Times New Roman" w:hAnsi="Times New Roman" w:cs="Times New Roman"/>
                <w:color w:val="auto"/>
                <w:sz w:val="21"/>
                <w:szCs w:val="21"/>
                <w:lang w:val="en-US" w:eastAsia="zh-CN"/>
              </w:rPr>
              <w:t>1栋标准厂房，共3F，H=21m，共分为ABCD四个区，建筑面积15099.86m</w:t>
            </w:r>
            <w:r>
              <w:rPr>
                <w:rFonts w:hint="eastAsia" w:ascii="Times New Roman" w:hAnsi="Times New Roman" w:cs="Times New Roman"/>
                <w:color w:val="auto"/>
                <w:sz w:val="21"/>
                <w:szCs w:val="21"/>
                <w:vertAlign w:val="superscript"/>
                <w:lang w:val="en-US" w:eastAsia="zh-CN"/>
              </w:rPr>
              <w:t>2</w:t>
            </w:r>
            <w:r>
              <w:rPr>
                <w:rFonts w:hint="eastAsia" w:ascii="Times New Roman" w:hAnsi="Times New Roman" w:cs="Times New Roman"/>
                <w:color w:val="auto"/>
                <w:sz w:val="21"/>
                <w:szCs w:val="21"/>
                <w:lang w:val="en-US" w:eastAsia="zh-CN"/>
              </w:rPr>
              <w:t>，并配套建设有办公楼，宿舍楼等，其中办公楼位于厂区西北侧，宿舍楼位于厂区东北侧</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color w:val="auto"/>
                <w:sz w:val="21"/>
                <w:szCs w:val="21"/>
                <w:lang w:eastAsia="zh-CN"/>
              </w:rPr>
              <w:t>园区</w:t>
            </w:r>
            <w:r>
              <w:rPr>
                <w:rFonts w:hint="default" w:ascii="Times New Roman" w:hAnsi="Times New Roman" w:eastAsia="宋体" w:cs="Times New Roman"/>
                <w:color w:val="auto"/>
                <w:sz w:val="21"/>
                <w:szCs w:val="21"/>
              </w:rPr>
              <w:t>整体呈</w:t>
            </w:r>
            <w:r>
              <w:rPr>
                <w:rFonts w:hint="default" w:ascii="Times New Roman" w:hAnsi="Times New Roman" w:eastAsia="宋体" w:cs="Times New Roman"/>
                <w:color w:val="auto"/>
                <w:sz w:val="21"/>
                <w:szCs w:val="21"/>
                <w:lang w:eastAsia="zh-CN"/>
              </w:rPr>
              <w:t>一</w:t>
            </w:r>
            <w:r>
              <w:rPr>
                <w:rFonts w:hint="eastAsia" w:ascii="Times New Roman" w:hAnsi="Times New Roman" w:cs="Times New Roman"/>
                <w:color w:val="auto"/>
                <w:sz w:val="21"/>
                <w:szCs w:val="21"/>
                <w:lang w:eastAsia="zh-CN"/>
              </w:rPr>
              <w:t>不</w:t>
            </w:r>
            <w:r>
              <w:rPr>
                <w:rFonts w:hint="default" w:ascii="Times New Roman" w:hAnsi="Times New Roman" w:eastAsia="宋体" w:cs="Times New Roman"/>
                <w:color w:val="auto"/>
                <w:sz w:val="21"/>
                <w:szCs w:val="21"/>
                <w:lang w:eastAsia="zh-CN"/>
              </w:rPr>
              <w:t>规则</w:t>
            </w:r>
            <w:r>
              <w:rPr>
                <w:rFonts w:hint="default" w:ascii="Times New Roman" w:hAnsi="Times New Roman" w:eastAsia="宋体" w:cs="Times New Roman"/>
                <w:color w:val="auto"/>
                <w:sz w:val="21"/>
                <w:szCs w:val="21"/>
                <w:highlight w:val="none"/>
                <w:lang w:eastAsia="zh-CN"/>
              </w:rPr>
              <w:t>矩形</w:t>
            </w:r>
            <w:r>
              <w:rPr>
                <w:rFonts w:hint="default" w:ascii="Times New Roman" w:hAnsi="Times New Roman" w:eastAsia="宋体" w:cs="Times New Roman"/>
                <w:color w:val="auto"/>
                <w:sz w:val="21"/>
                <w:szCs w:val="21"/>
              </w:rPr>
              <w:t>，入口</w:t>
            </w:r>
            <w:r>
              <w:rPr>
                <w:rFonts w:hint="default" w:ascii="Times New Roman" w:hAnsi="Times New Roman" w:eastAsia="宋体" w:cs="Times New Roman"/>
                <w:color w:val="auto"/>
                <w:sz w:val="21"/>
                <w:szCs w:val="21"/>
                <w:highlight w:val="none"/>
                <w:lang w:eastAsia="zh-CN"/>
              </w:rPr>
              <w:t>位于</w:t>
            </w:r>
            <w:r>
              <w:rPr>
                <w:rFonts w:hint="eastAsia" w:ascii="Times New Roman" w:hAnsi="Times New Roman" w:cs="Times New Roman"/>
                <w:color w:val="auto"/>
                <w:sz w:val="21"/>
                <w:szCs w:val="21"/>
                <w:highlight w:val="none"/>
                <w:lang w:eastAsia="zh-CN"/>
              </w:rPr>
              <w:t>厂区</w:t>
            </w:r>
            <w:r>
              <w:rPr>
                <w:rFonts w:hint="default" w:ascii="Times New Roman" w:hAnsi="Times New Roman" w:eastAsia="宋体" w:cs="Times New Roman"/>
                <w:color w:val="auto"/>
                <w:sz w:val="21"/>
                <w:szCs w:val="21"/>
                <w:highlight w:val="none"/>
                <w:lang w:val="en-US" w:eastAsia="zh-CN"/>
              </w:rPr>
              <w:t>东</w:t>
            </w:r>
            <w:r>
              <w:rPr>
                <w:rFonts w:hint="default" w:ascii="Times New Roman" w:hAnsi="Times New Roman" w:eastAsia="宋体" w:cs="Times New Roman"/>
                <w:color w:val="auto"/>
                <w:sz w:val="21"/>
                <w:szCs w:val="21"/>
              </w:rPr>
              <w:t>侧</w:t>
            </w:r>
            <w:r>
              <w:rPr>
                <w:rFonts w:hint="eastAsia"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lang w:eastAsia="zh-CN"/>
              </w:rPr>
              <w:t>本项目所在</w:t>
            </w:r>
            <w:r>
              <w:rPr>
                <w:rFonts w:hint="eastAsia" w:ascii="Times New Roman" w:hAnsi="Times New Roman" w:cs="Times New Roman"/>
                <w:color w:val="auto"/>
                <w:sz w:val="21"/>
                <w:szCs w:val="21"/>
                <w:lang w:eastAsia="zh-CN"/>
              </w:rPr>
              <w:t>区域为标准厂房的</w:t>
            </w:r>
            <w:r>
              <w:rPr>
                <w:rFonts w:hint="eastAsia" w:ascii="Times New Roman" w:hAnsi="Times New Roman" w:cs="Times New Roman"/>
                <w:color w:val="auto"/>
                <w:sz w:val="21"/>
                <w:szCs w:val="21"/>
                <w:lang w:val="en-US" w:eastAsia="zh-CN"/>
              </w:rPr>
              <w:t>B、C区，位于厂区南侧部分，</w:t>
            </w:r>
            <w:r>
              <w:rPr>
                <w:rFonts w:hint="default" w:ascii="Times New Roman" w:hAnsi="Times New Roman" w:eastAsia="宋体" w:cs="Times New Roman"/>
                <w:color w:val="auto"/>
                <w:sz w:val="21"/>
                <w:szCs w:val="21"/>
              </w:rPr>
              <w:t>整个</w:t>
            </w:r>
            <w:r>
              <w:rPr>
                <w:rFonts w:hint="default" w:ascii="Times New Roman" w:hAnsi="Times New Roman" w:eastAsia="宋体" w:cs="Times New Roman"/>
                <w:color w:val="auto"/>
                <w:sz w:val="21"/>
                <w:szCs w:val="21"/>
                <w:lang w:eastAsia="zh-CN"/>
              </w:rPr>
              <w:t>园区</w:t>
            </w:r>
            <w:r>
              <w:rPr>
                <w:rFonts w:hint="default" w:ascii="Times New Roman" w:hAnsi="Times New Roman" w:eastAsia="宋体" w:cs="Times New Roman"/>
                <w:color w:val="auto"/>
                <w:sz w:val="21"/>
                <w:szCs w:val="21"/>
              </w:rPr>
              <w:t>内布置有环形道路，</w:t>
            </w:r>
            <w:r>
              <w:rPr>
                <w:rFonts w:hint="default" w:ascii="Times New Roman" w:hAnsi="Times New Roman" w:eastAsia="宋体" w:cs="Times New Roman"/>
                <w:color w:val="auto"/>
                <w:sz w:val="21"/>
                <w:szCs w:val="21"/>
                <w:lang w:eastAsia="zh-CN"/>
              </w:rPr>
              <w:t>便于运输</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生化池位于</w:t>
            </w:r>
            <w:r>
              <w:rPr>
                <w:rFonts w:hint="eastAsia" w:ascii="Times New Roman" w:hAnsi="Times New Roman" w:cs="Times New Roman"/>
                <w:color w:val="auto"/>
                <w:sz w:val="21"/>
                <w:szCs w:val="21"/>
                <w:lang w:eastAsia="zh-CN"/>
              </w:rPr>
              <w:t>厂区东侧</w:t>
            </w:r>
            <w:r>
              <w:rPr>
                <w:rFonts w:hint="default" w:ascii="Times New Roman" w:hAnsi="Times New Roman" w:eastAsia="宋体" w:cs="Times New Roman"/>
                <w:color w:val="auto"/>
                <w:sz w:val="21"/>
                <w:szCs w:val="21"/>
                <w:lang w:eastAsia="zh-CN"/>
              </w:rPr>
              <w:t>。</w:t>
            </w:r>
          </w:p>
          <w:p w14:paraId="0F4785AB">
            <w:pPr>
              <w:pStyle w:val="26"/>
              <w:numPr>
                <w:ilvl w:val="0"/>
                <w:numId w:val="1"/>
              </w:numPr>
              <w:adjustRightInd w:val="0"/>
              <w:snapToGrid w:val="0"/>
              <w:spacing w:before="0" w:beforeAutospacing="0" w:after="0" w:afterAutospacing="0" w:line="360" w:lineRule="auto"/>
              <w:ind w:firstLine="422" w:firstLineChars="200"/>
              <w:jc w:val="both"/>
              <w:rPr>
                <w:rFonts w:hint="default" w:ascii="Times New Roman" w:hAnsi="Times New Roman" w:eastAsia="宋体" w:cs="Times New Roman"/>
                <w:b/>
                <w:bCs/>
                <w:color w:val="auto"/>
                <w:kern w:val="2"/>
                <w:sz w:val="21"/>
                <w:szCs w:val="21"/>
              </w:rPr>
            </w:pPr>
            <w:r>
              <w:rPr>
                <w:rFonts w:hint="default" w:ascii="Times New Roman" w:hAnsi="Times New Roman" w:eastAsia="宋体" w:cs="Times New Roman"/>
                <w:b/>
                <w:bCs/>
                <w:color w:val="auto"/>
                <w:kern w:val="2"/>
                <w:sz w:val="21"/>
                <w:szCs w:val="21"/>
              </w:rPr>
              <w:t>本项目平面布置</w:t>
            </w:r>
          </w:p>
          <w:p w14:paraId="1FE02B2C">
            <w:pPr>
              <w:pStyle w:val="54"/>
              <w:spacing w:line="360" w:lineRule="auto"/>
              <w:ind w:firstLine="422" w:firstLineChars="200"/>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bCs/>
                <w:color w:val="auto"/>
                <w:sz w:val="21"/>
                <w:szCs w:val="21"/>
                <w:lang w:val="en-US" w:eastAsia="zh-CN"/>
              </w:rPr>
              <w:t>厂区内：</w:t>
            </w:r>
            <w:r>
              <w:rPr>
                <w:rFonts w:hint="default" w:ascii="Times New Roman" w:hAnsi="Times New Roman" w:eastAsia="宋体" w:cs="Times New Roman"/>
                <w:b w:val="0"/>
                <w:bCs w:val="0"/>
                <w:color w:val="auto"/>
                <w:sz w:val="21"/>
                <w:szCs w:val="21"/>
                <w:lang w:val="en-US" w:eastAsia="zh-CN"/>
              </w:rPr>
              <w:t>本项目位于重庆三花门业有限公司厂区内</w:t>
            </w:r>
            <w:r>
              <w:rPr>
                <w:rFonts w:hint="eastAsia" w:ascii="Times New Roman" w:eastAsia="宋体" w:cs="Times New Roman"/>
                <w:b w:val="0"/>
                <w:bCs w:val="0"/>
                <w:color w:val="auto"/>
                <w:sz w:val="21"/>
                <w:szCs w:val="21"/>
                <w:lang w:val="en-US" w:eastAsia="zh-CN"/>
              </w:rPr>
              <w:t>的B、C区，</w:t>
            </w:r>
            <w:r>
              <w:rPr>
                <w:rFonts w:hint="eastAsia" w:ascii="Times New Roman" w:hAnsi="Times New Roman" w:eastAsia="宋体" w:cs="Times New Roman"/>
                <w:b w:val="0"/>
                <w:bCs w:val="0"/>
                <w:color w:val="auto"/>
                <w:sz w:val="21"/>
                <w:szCs w:val="21"/>
                <w:lang w:val="en-US" w:eastAsia="zh-CN"/>
              </w:rPr>
              <w:t>东</w:t>
            </w:r>
            <w:r>
              <w:rPr>
                <w:rFonts w:hint="default" w:ascii="Times New Roman" w:hAnsi="Times New Roman" w:eastAsia="宋体" w:cs="Times New Roman"/>
                <w:color w:val="auto"/>
                <w:sz w:val="21"/>
                <w:szCs w:val="21"/>
              </w:rPr>
              <w:t>北侧为</w:t>
            </w:r>
            <w:r>
              <w:rPr>
                <w:rFonts w:hint="default" w:ascii="Times New Roman" w:hAnsi="Times New Roman" w:eastAsia="宋体" w:cs="Times New Roman"/>
                <w:color w:val="auto"/>
                <w:sz w:val="21"/>
                <w:szCs w:val="21"/>
                <w:lang w:val="en-US" w:eastAsia="zh-CN"/>
              </w:rPr>
              <w:t>办公区</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主要布置有办公室、会议室</w:t>
            </w:r>
            <w:r>
              <w:rPr>
                <w:rFonts w:hint="eastAsia" w:ascii="Times New Roman" w:hAnsi="Times New Roman" w:eastAsia="宋体" w:cs="Times New Roman"/>
                <w:color w:val="auto"/>
                <w:sz w:val="21"/>
                <w:szCs w:val="21"/>
                <w:lang w:eastAsia="zh-CN"/>
              </w:rPr>
              <w:t>等</w:t>
            </w:r>
            <w:r>
              <w:rPr>
                <w:rFonts w:hint="default" w:ascii="Times New Roman" w:hAnsi="Times New Roman" w:eastAsia="宋体" w:cs="Times New Roman"/>
                <w:color w:val="auto"/>
                <w:sz w:val="21"/>
                <w:szCs w:val="21"/>
                <w:lang w:eastAsia="zh-CN"/>
              </w:rPr>
              <w:t>，南侧为生产区，主要布置有</w:t>
            </w:r>
            <w:r>
              <w:rPr>
                <w:rFonts w:hint="eastAsia" w:ascii="Times New Roman" w:hAnsi="Times New Roman" w:eastAsia="宋体" w:cs="Times New Roman"/>
                <w:color w:val="auto"/>
                <w:sz w:val="21"/>
                <w:szCs w:val="21"/>
                <w:lang w:eastAsia="zh-CN"/>
              </w:rPr>
              <w:t>16台</w:t>
            </w:r>
            <w:r>
              <w:rPr>
                <w:rFonts w:hint="default" w:ascii="Times New Roman" w:hAnsi="Times New Roman" w:eastAsia="宋体" w:cs="Times New Roman"/>
                <w:color w:val="auto"/>
                <w:sz w:val="21"/>
                <w:szCs w:val="21"/>
              </w:rPr>
              <w:t>注塑机</w:t>
            </w:r>
            <w:r>
              <w:rPr>
                <w:rFonts w:hint="default"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台破碎机，北侧为原材料仓库和成品仓库</w:t>
            </w:r>
            <w:r>
              <w:rPr>
                <w:rFonts w:hint="eastAsia" w:ascii="Times New Roman" w:hAnsi="Times New Roman" w:eastAsia="宋体" w:cs="Times New Roman"/>
                <w:color w:val="auto"/>
                <w:sz w:val="21"/>
                <w:szCs w:val="21"/>
                <w:lang w:val="en-US" w:eastAsia="zh-CN"/>
              </w:rPr>
              <w:t>、模具区</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破碎区位于厂区西北侧，</w:t>
            </w:r>
            <w:r>
              <w:rPr>
                <w:rFonts w:hint="default" w:ascii="Times New Roman" w:hAnsi="Times New Roman" w:eastAsia="宋体" w:cs="Times New Roman"/>
                <w:color w:val="auto"/>
                <w:kern w:val="0"/>
                <w:sz w:val="21"/>
                <w:szCs w:val="21"/>
                <w:lang w:val="en-US" w:eastAsia="zh-CN" w:bidi="ar-SA"/>
              </w:rPr>
              <w:t>一般固废暂存点</w:t>
            </w:r>
            <w:r>
              <w:rPr>
                <w:rFonts w:hint="eastAsia" w:ascii="Times New Roman" w:hAnsi="Times New Roman" w:eastAsia="宋体" w:cs="Times New Roman"/>
                <w:color w:val="auto"/>
                <w:kern w:val="0"/>
                <w:sz w:val="21"/>
                <w:szCs w:val="21"/>
                <w:lang w:val="en-US" w:eastAsia="zh-CN" w:bidi="ar-SA"/>
              </w:rPr>
              <w:t>、</w:t>
            </w:r>
            <w:r>
              <w:rPr>
                <w:rFonts w:hint="default" w:ascii="Times New Roman" w:hAnsi="Times New Roman" w:eastAsia="宋体" w:cs="Times New Roman"/>
                <w:color w:val="auto"/>
                <w:kern w:val="0"/>
                <w:sz w:val="21"/>
                <w:szCs w:val="21"/>
                <w:lang w:val="en-US" w:eastAsia="zh-CN" w:bidi="ar-SA"/>
              </w:rPr>
              <w:t>危险废物贮存库</w:t>
            </w:r>
            <w:r>
              <w:rPr>
                <w:rFonts w:hint="eastAsia" w:ascii="Times New Roman" w:hAnsi="Times New Roman" w:eastAsia="宋体" w:cs="Times New Roman"/>
                <w:color w:val="auto"/>
                <w:kern w:val="0"/>
                <w:sz w:val="21"/>
                <w:szCs w:val="21"/>
                <w:lang w:val="en-US" w:eastAsia="zh-CN" w:bidi="ar-SA"/>
              </w:rPr>
              <w:t>均位于厂区外南侧</w:t>
            </w:r>
            <w:r>
              <w:rPr>
                <w:rFonts w:hint="default" w:ascii="Times New Roman" w:hAnsi="Times New Roman" w:eastAsia="宋体" w:cs="Times New Roman"/>
                <w:color w:val="auto"/>
                <w:kern w:val="0"/>
                <w:sz w:val="21"/>
                <w:szCs w:val="21"/>
                <w:lang w:val="en-US" w:eastAsia="zh-CN" w:bidi="ar-SA"/>
              </w:rPr>
              <w:t>，各个功能区分区明确，布置合理。</w:t>
            </w:r>
          </w:p>
        </w:tc>
      </w:tr>
      <w:tr w14:paraId="1DC4D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14:paraId="07C616F9">
            <w:pPr>
              <w:pStyle w:val="26"/>
              <w:adjustRightInd w:val="0"/>
              <w:snapToGri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工艺流程和产排污环节</w:t>
            </w:r>
          </w:p>
        </w:tc>
        <w:tc>
          <w:tcPr>
            <w:tcW w:w="8347" w:type="dxa"/>
            <w:noWrap w:val="0"/>
            <w:vAlign w:val="center"/>
          </w:tcPr>
          <w:p w14:paraId="4317FCD3">
            <w:pPr>
              <w:tabs>
                <w:tab w:val="left" w:pos="612"/>
              </w:tabs>
              <w:spacing w:line="360" w:lineRule="auto"/>
              <w:contextualSpacing/>
              <w:outlineLvl w:val="1"/>
              <w:rPr>
                <w:rFonts w:hint="default" w:ascii="Times New Roman" w:hAnsi="Times New Roman" w:cs="Times New Roman"/>
                <w:b/>
                <w:bCs/>
                <w:color w:val="auto"/>
                <w:szCs w:val="21"/>
              </w:rPr>
            </w:pPr>
            <w:r>
              <w:rPr>
                <w:rFonts w:hint="default" w:ascii="Times New Roman" w:hAnsi="Times New Roman" w:cs="Times New Roman"/>
                <w:b/>
                <w:bCs/>
                <w:color w:val="auto"/>
                <w:szCs w:val="21"/>
              </w:rPr>
              <w:t>2.4</w:t>
            </w:r>
            <w:r>
              <w:rPr>
                <w:rFonts w:hint="default" w:ascii="Times New Roman" w:hAnsi="Times New Roman" w:cs="Times New Roman"/>
                <w:b/>
                <w:color w:val="auto"/>
                <w:szCs w:val="21"/>
              </w:rPr>
              <w:t>工艺流程和产排污环节</w:t>
            </w:r>
          </w:p>
          <w:p w14:paraId="3D0704A3">
            <w:pPr>
              <w:pStyle w:val="16"/>
              <w:adjustRightInd w:val="0"/>
              <w:snapToGrid w:val="0"/>
              <w:spacing w:after="0" w:line="360" w:lineRule="auto"/>
              <w:ind w:left="0" w:leftChars="0"/>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drawing>
                <wp:inline distT="0" distB="0" distL="114300" distR="114300">
                  <wp:extent cx="4982210" cy="1858010"/>
                  <wp:effectExtent l="0" t="0" r="8890" b="8890"/>
                  <wp:docPr id="3" name="F360BE8B-6686-4F3D-AEAF-501FE73E4058-1" descr="C:/Users/Administrator/AppData/Local/Temp/绘图1(2).png绘图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360BE8B-6686-4F3D-AEAF-501FE73E4058-1" descr="C:/Users/Administrator/AppData/Local/Temp/绘图1(2).png绘图1(2)"/>
                          <pic:cNvPicPr>
                            <a:picLocks noChangeAspect="1"/>
                          </pic:cNvPicPr>
                        </pic:nvPicPr>
                        <pic:blipFill>
                          <a:blip r:embed="rId12"/>
                          <a:stretch>
                            <a:fillRect/>
                          </a:stretch>
                        </pic:blipFill>
                        <pic:spPr>
                          <a:xfrm>
                            <a:off x="0" y="0"/>
                            <a:ext cx="4982210" cy="1858010"/>
                          </a:xfrm>
                          <a:prstGeom prst="rect">
                            <a:avLst/>
                          </a:prstGeom>
                          <a:noFill/>
                          <a:ln>
                            <a:noFill/>
                          </a:ln>
                        </pic:spPr>
                      </pic:pic>
                    </a:graphicData>
                  </a:graphic>
                </wp:inline>
              </w:drawing>
            </w:r>
          </w:p>
          <w:p w14:paraId="3F3D0C22">
            <w:pPr>
              <w:tabs>
                <w:tab w:val="left" w:pos="612"/>
              </w:tabs>
              <w:spacing w:line="360" w:lineRule="auto"/>
              <w:contextualSpacing/>
              <w:jc w:val="center"/>
              <w:outlineLvl w:val="1"/>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lang w:val="en-US" w:eastAsia="zh-CN"/>
              </w:rPr>
              <w:t>图2.</w:t>
            </w:r>
            <w:r>
              <w:rPr>
                <w:rFonts w:hint="eastAsia" w:ascii="Times New Roman" w:hAnsi="Times New Roman" w:cs="Times New Roman"/>
                <w:b/>
                <w:color w:val="auto"/>
                <w:szCs w:val="21"/>
                <w:lang w:val="en-US" w:eastAsia="zh-CN"/>
              </w:rPr>
              <w:t>1</w:t>
            </w:r>
            <w:r>
              <w:rPr>
                <w:rFonts w:hint="default" w:ascii="Times New Roman" w:hAnsi="Times New Roman" w:eastAsia="宋体" w:cs="Times New Roman"/>
                <w:b/>
                <w:color w:val="auto"/>
                <w:szCs w:val="21"/>
                <w:lang w:val="en-US" w:eastAsia="zh-CN"/>
              </w:rPr>
              <w:t xml:space="preserve">  生产工艺流程及产排污节点图</w:t>
            </w:r>
          </w:p>
          <w:p w14:paraId="5DF3AAEF">
            <w:pPr>
              <w:tabs>
                <w:tab w:val="left" w:pos="612"/>
              </w:tabs>
              <w:spacing w:line="360" w:lineRule="auto"/>
              <w:contextualSpacing/>
              <w:jc w:val="both"/>
              <w:outlineLvl w:val="1"/>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工艺流程简述：</w:t>
            </w:r>
          </w:p>
          <w:p w14:paraId="5DDE707F">
            <w:pPr>
              <w:spacing w:line="360" w:lineRule="auto"/>
              <w:ind w:firstLine="422" w:firstLineChars="200"/>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bCs/>
                <w:color w:val="auto"/>
                <w:sz w:val="21"/>
                <w:szCs w:val="21"/>
                <w:lang w:eastAsia="zh-CN"/>
              </w:rPr>
              <w:t>进料</w:t>
            </w:r>
            <w:r>
              <w:rPr>
                <w:rFonts w:hint="default" w:ascii="Times New Roman" w:hAnsi="Times New Roman" w:eastAsia="宋体" w:cs="Times New Roman"/>
                <w:b/>
                <w:bCs/>
                <w:color w:val="auto"/>
                <w:sz w:val="21"/>
                <w:szCs w:val="21"/>
              </w:rPr>
              <w:t>：</w:t>
            </w:r>
            <w:r>
              <w:rPr>
                <w:rFonts w:hint="eastAsia" w:ascii="Times New Roman" w:hAnsi="Times New Roman" w:cs="Times New Roman"/>
                <w:color w:val="auto"/>
                <w:sz w:val="21"/>
                <w:szCs w:val="21"/>
                <w:lang w:val="en-US" w:eastAsia="zh-CN"/>
              </w:rPr>
              <w:t>ABS</w:t>
            </w:r>
            <w:r>
              <w:rPr>
                <w:rFonts w:hint="default" w:ascii="Times New Roman" w:hAnsi="Times New Roman" w:eastAsia="宋体" w:cs="Times New Roman"/>
                <w:color w:val="auto"/>
                <w:sz w:val="21"/>
                <w:szCs w:val="21"/>
              </w:rPr>
              <w:t>塑料颗粒</w:t>
            </w:r>
            <w:r>
              <w:rPr>
                <w:rFonts w:hint="default" w:ascii="Times New Roman" w:hAnsi="Times New Roman" w:eastAsia="宋体" w:cs="Times New Roman"/>
                <w:color w:val="auto"/>
                <w:sz w:val="21"/>
                <w:szCs w:val="21"/>
                <w:lang w:eastAsia="zh-CN"/>
              </w:rPr>
              <w:t>拆袋后倒入注塑机料斗</w:t>
            </w:r>
            <w:r>
              <w:rPr>
                <w:rFonts w:hint="default" w:ascii="Times New Roman" w:hAnsi="Times New Roman" w:eastAsia="宋体" w:cs="Times New Roman"/>
                <w:color w:val="auto"/>
                <w:sz w:val="21"/>
                <w:szCs w:val="21"/>
              </w:rPr>
              <w:t>内</w:t>
            </w:r>
            <w:r>
              <w:rPr>
                <w:rFonts w:hint="default" w:ascii="Times New Roman" w:hAnsi="Times New Roman" w:eastAsia="宋体" w:cs="Times New Roman"/>
                <w:color w:val="auto"/>
                <w:sz w:val="21"/>
                <w:szCs w:val="21"/>
                <w:lang w:eastAsia="zh-CN"/>
              </w:rPr>
              <w:t>，由于</w:t>
            </w:r>
            <w:r>
              <w:rPr>
                <w:rFonts w:hint="eastAsia" w:ascii="Times New Roman" w:hAnsi="Times New Roman" w:eastAsia="宋体" w:cs="Times New Roman"/>
                <w:color w:val="auto"/>
                <w:sz w:val="21"/>
                <w:szCs w:val="21"/>
                <w:lang w:val="en-US" w:eastAsia="zh-CN"/>
              </w:rPr>
              <w:t>ABS</w:t>
            </w:r>
            <w:r>
              <w:rPr>
                <w:rFonts w:hint="default" w:ascii="Times New Roman" w:hAnsi="Times New Roman" w:eastAsia="宋体" w:cs="Times New Roman"/>
                <w:color w:val="auto"/>
                <w:sz w:val="21"/>
                <w:szCs w:val="21"/>
                <w:lang w:eastAsia="zh-CN"/>
              </w:rPr>
              <w:t>均为粒径</w:t>
            </w:r>
            <w:r>
              <w:rPr>
                <w:rFonts w:hint="default" w:ascii="Times New Roman" w:hAnsi="Times New Roman" w:eastAsia="宋体" w:cs="Times New Roman"/>
                <w:color w:val="auto"/>
                <w:sz w:val="21"/>
                <w:szCs w:val="21"/>
                <w:highlight w:val="none"/>
                <w:lang w:eastAsia="zh-CN"/>
              </w:rPr>
              <w:t>较大的</w:t>
            </w:r>
            <w:r>
              <w:rPr>
                <w:rFonts w:hint="eastAsia" w:ascii="Times New Roman" w:hAnsi="Times New Roman" w:cs="Times New Roman"/>
                <w:color w:val="auto"/>
                <w:sz w:val="21"/>
                <w:szCs w:val="21"/>
                <w:lang w:val="en-US" w:eastAsia="zh-CN"/>
              </w:rPr>
              <w:t>塑料</w:t>
            </w:r>
            <w:r>
              <w:rPr>
                <w:rFonts w:hint="default" w:ascii="Times New Roman" w:hAnsi="Times New Roman" w:eastAsia="宋体" w:cs="Times New Roman"/>
                <w:color w:val="auto"/>
                <w:sz w:val="21"/>
                <w:szCs w:val="21"/>
                <w:lang w:eastAsia="zh-CN"/>
              </w:rPr>
              <w:t>颗粒</w:t>
            </w:r>
            <w:r>
              <w:rPr>
                <w:rFonts w:hint="default" w:ascii="Times New Roman" w:hAnsi="Times New Roman" w:eastAsia="宋体" w:cs="Times New Roman"/>
                <w:color w:val="auto"/>
                <w:sz w:val="21"/>
                <w:szCs w:val="21"/>
                <w:lang w:val="en-US" w:eastAsia="zh-CN"/>
              </w:rPr>
              <w:t>，无粉料</w:t>
            </w:r>
            <w:r>
              <w:rPr>
                <w:rFonts w:hint="default" w:ascii="Times New Roman" w:hAnsi="Times New Roman" w:eastAsia="宋体" w:cs="Times New Roman"/>
                <w:color w:val="auto"/>
                <w:sz w:val="21"/>
                <w:szCs w:val="21"/>
                <w:lang w:eastAsia="zh-CN"/>
              </w:rPr>
              <w:t>，</w:t>
            </w:r>
            <w:r>
              <w:rPr>
                <w:rFonts w:hint="default" w:ascii="Times New Roman" w:hAnsi="Times New Roman" w:cs="Times New Roman"/>
                <w:color w:val="auto"/>
                <w:sz w:val="21"/>
                <w:szCs w:val="21"/>
                <w:lang w:val="en-US" w:eastAsia="zh-CN"/>
              </w:rPr>
              <w:t>因此</w:t>
            </w:r>
            <w:r>
              <w:rPr>
                <w:rFonts w:hint="default" w:ascii="Times New Roman" w:hAnsi="Times New Roman" w:eastAsia="宋体" w:cs="Times New Roman"/>
                <w:color w:val="auto"/>
                <w:sz w:val="21"/>
                <w:szCs w:val="21"/>
                <w:lang w:val="en-US" w:eastAsia="zh-CN"/>
              </w:rPr>
              <w:t>投料过程中基本无粉尘产生</w:t>
            </w:r>
            <w:r>
              <w:rPr>
                <w:rFonts w:hint="default" w:ascii="Times New Roman" w:hAnsi="Times New Roman" w:eastAsia="宋体" w:cs="Times New Roman"/>
                <w:bCs/>
                <w:color w:val="auto"/>
                <w:sz w:val="21"/>
                <w:szCs w:val="21"/>
              </w:rPr>
              <w:t>，</w:t>
            </w:r>
            <w:r>
              <w:rPr>
                <w:rFonts w:hint="default" w:ascii="Times New Roman" w:hAnsi="Times New Roman" w:eastAsia="宋体" w:cs="Times New Roman"/>
                <w:bCs/>
                <w:color w:val="auto"/>
                <w:sz w:val="21"/>
                <w:szCs w:val="21"/>
                <w:lang w:eastAsia="zh-CN"/>
              </w:rPr>
              <w:t>本项目模具主要为金属</w:t>
            </w:r>
            <w:r>
              <w:rPr>
                <w:rFonts w:hint="default" w:ascii="Times New Roman" w:hAnsi="Times New Roman" w:eastAsia="宋体" w:cs="Times New Roman"/>
                <w:bCs/>
                <w:color w:val="auto"/>
                <w:sz w:val="21"/>
                <w:szCs w:val="21"/>
              </w:rPr>
              <w:t>模具</w:t>
            </w:r>
            <w:r>
              <w:rPr>
                <w:rFonts w:hint="default" w:ascii="Times New Roman" w:hAnsi="Times New Roman" w:eastAsia="宋体" w:cs="Times New Roman"/>
                <w:bCs/>
                <w:color w:val="auto"/>
                <w:sz w:val="21"/>
                <w:szCs w:val="21"/>
                <w:lang w:eastAsia="zh-CN"/>
              </w:rPr>
              <w:t>，</w:t>
            </w:r>
            <w:r>
              <w:rPr>
                <w:rFonts w:hint="default" w:ascii="Times New Roman" w:hAnsi="Times New Roman" w:cs="Times New Roman"/>
                <w:color w:val="auto"/>
                <w:szCs w:val="21"/>
                <w:lang w:val="en-US" w:eastAsia="zh-CN"/>
              </w:rPr>
              <w:t>本项目模具维修均委外进行，</w:t>
            </w:r>
            <w:r>
              <w:rPr>
                <w:rFonts w:hint="default" w:ascii="Times New Roman" w:hAnsi="Times New Roman" w:eastAsia="宋体" w:cs="Times New Roman"/>
                <w:color w:val="auto"/>
                <w:sz w:val="21"/>
                <w:szCs w:val="21"/>
                <w:lang w:eastAsia="zh-CN"/>
              </w:rPr>
              <w:t>因此进料过程会产生噪声</w:t>
            </w:r>
            <w:r>
              <w:rPr>
                <w:rFonts w:hint="default" w:ascii="Times New Roman" w:hAnsi="Times New Roman" w:eastAsia="宋体" w:cs="Times New Roman"/>
                <w:color w:val="auto"/>
                <w:sz w:val="21"/>
                <w:szCs w:val="21"/>
                <w:lang w:val="en-US" w:eastAsia="zh-CN"/>
              </w:rPr>
              <w:t>N和废包装材料S</w:t>
            </w:r>
            <w:r>
              <w:rPr>
                <w:rFonts w:hint="default"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lang w:eastAsia="zh-CN"/>
              </w:rPr>
              <w:t>。</w:t>
            </w:r>
          </w:p>
          <w:p w14:paraId="73959970">
            <w:pPr>
              <w:spacing w:line="360" w:lineRule="auto"/>
              <w:ind w:firstLine="422" w:firstLineChars="20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color w:val="auto"/>
                <w:sz w:val="21"/>
                <w:szCs w:val="21"/>
              </w:rPr>
              <w:t>加热、注塑</w:t>
            </w:r>
            <w:r>
              <w:rPr>
                <w:rFonts w:hint="eastAsia" w:cs="Times New Roman"/>
                <w:b/>
                <w:color w:val="auto"/>
                <w:sz w:val="21"/>
                <w:szCs w:val="21"/>
                <w:lang w:eastAsia="zh-CN"/>
              </w:rPr>
              <w:t>成形</w:t>
            </w:r>
            <w:r>
              <w:rPr>
                <w:rFonts w:hint="default" w:ascii="Times New Roman" w:hAnsi="Times New Roman" w:eastAsia="宋体" w:cs="Times New Roman"/>
                <w:b/>
                <w:color w:val="auto"/>
                <w:sz w:val="21"/>
                <w:szCs w:val="21"/>
              </w:rPr>
              <w:t>、冷却、脱模：</w:t>
            </w:r>
            <w:r>
              <w:rPr>
                <w:rFonts w:hint="default" w:ascii="Times New Roman" w:hAnsi="Times New Roman" w:eastAsia="宋体" w:cs="Times New Roman"/>
                <w:color w:val="auto"/>
                <w:sz w:val="21"/>
                <w:szCs w:val="21"/>
              </w:rPr>
              <w:t>塑料颗粒通过管道气力输送至</w:t>
            </w:r>
            <w:r>
              <w:rPr>
                <w:rFonts w:hint="default" w:ascii="Times New Roman" w:hAnsi="Times New Roman" w:eastAsia="宋体" w:cs="Times New Roman"/>
                <w:color w:val="auto"/>
                <w:sz w:val="21"/>
                <w:szCs w:val="21"/>
                <w:lang w:eastAsia="zh-CN"/>
              </w:rPr>
              <w:t>注塑机</w:t>
            </w:r>
            <w:r>
              <w:rPr>
                <w:rFonts w:hint="default" w:ascii="Times New Roman" w:hAnsi="Times New Roman" w:eastAsia="宋体" w:cs="Times New Roman"/>
                <w:color w:val="auto"/>
                <w:sz w:val="21"/>
                <w:szCs w:val="21"/>
              </w:rPr>
              <w:t>内加热</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ABS加热温度约200℃到230℃</w:t>
            </w:r>
            <w:r>
              <w:rPr>
                <w:rFonts w:hint="default" w:ascii="Times New Roman" w:hAnsi="Times New Roman" w:cs="Times New Roman"/>
                <w:color w:val="auto"/>
                <w:sz w:val="21"/>
                <w:szCs w:val="21"/>
                <w:lang w:eastAsia="zh-CN"/>
              </w:rPr>
              <w:t>）</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加热过程中可以使塑料颗粒中的水分挥发，同时</w:t>
            </w:r>
            <w:r>
              <w:rPr>
                <w:rFonts w:hint="default" w:ascii="Times New Roman" w:hAnsi="Times New Roman" w:eastAsia="宋体" w:cs="Times New Roman"/>
                <w:color w:val="auto"/>
                <w:sz w:val="21"/>
                <w:szCs w:val="21"/>
              </w:rPr>
              <w:t>塑料颗粒</w:t>
            </w:r>
            <w:r>
              <w:rPr>
                <w:rFonts w:hint="default" w:ascii="Times New Roman" w:hAnsi="Times New Roman" w:eastAsia="宋体" w:cs="Times New Roman"/>
                <w:color w:val="auto"/>
                <w:sz w:val="21"/>
                <w:szCs w:val="21"/>
                <w:lang w:eastAsia="zh-CN"/>
              </w:rPr>
              <w:t>加热</w:t>
            </w:r>
            <w:r>
              <w:rPr>
                <w:rFonts w:hint="default" w:ascii="Times New Roman" w:hAnsi="Times New Roman" w:eastAsia="宋体" w:cs="Times New Roman"/>
                <w:color w:val="auto"/>
                <w:sz w:val="21"/>
                <w:szCs w:val="21"/>
              </w:rPr>
              <w:t>熔融成粘流状态，随后在一定的压力和速度下将熔融状态的原料注入闭合模具腔内，最后经冷却水进行间接冷却，</w:t>
            </w:r>
            <w:r>
              <w:rPr>
                <w:rFonts w:hint="default" w:ascii="Times New Roman" w:hAnsi="Times New Roman" w:eastAsia="宋体" w:cs="Times New Roman"/>
                <w:color w:val="auto"/>
                <w:sz w:val="21"/>
                <w:szCs w:val="21"/>
                <w:lang w:eastAsia="zh-CN"/>
              </w:rPr>
              <w:t>工件</w:t>
            </w:r>
            <w:r>
              <w:rPr>
                <w:rFonts w:hint="default" w:ascii="Times New Roman" w:hAnsi="Times New Roman" w:eastAsia="宋体" w:cs="Times New Roman"/>
                <w:color w:val="auto"/>
                <w:sz w:val="21"/>
                <w:szCs w:val="21"/>
              </w:rPr>
              <w:t>经冷却后硬化</w:t>
            </w:r>
            <w:r>
              <w:rPr>
                <w:rFonts w:hint="default" w:ascii="Times New Roman" w:hAnsi="Times New Roman" w:eastAsia="宋体" w:cs="Times New Roman"/>
                <w:color w:val="auto"/>
                <w:sz w:val="21"/>
                <w:szCs w:val="21"/>
                <w:lang w:eastAsia="zh-CN"/>
              </w:rPr>
              <w:t>定型，</w:t>
            </w:r>
            <w:r>
              <w:rPr>
                <w:rFonts w:hint="default" w:ascii="Times New Roman" w:hAnsi="Times New Roman" w:eastAsia="宋体" w:cs="Times New Roman"/>
                <w:color w:val="auto"/>
                <w:sz w:val="21"/>
                <w:szCs w:val="21"/>
              </w:rPr>
              <w:t>再开模取件，</w:t>
            </w:r>
            <w:r>
              <w:rPr>
                <w:rFonts w:hint="default" w:ascii="Times New Roman" w:hAnsi="Times New Roman" w:eastAsia="宋体" w:cs="Times New Roman"/>
                <w:bCs/>
                <w:color w:val="auto"/>
                <w:sz w:val="21"/>
                <w:szCs w:val="21"/>
                <w:lang w:eastAsia="zh-CN"/>
              </w:rPr>
              <w:t>产品和模具</w:t>
            </w:r>
            <w:r>
              <w:rPr>
                <w:rFonts w:hint="default" w:ascii="Times New Roman" w:hAnsi="Times New Roman" w:eastAsia="宋体" w:cs="Times New Roman"/>
                <w:bCs/>
                <w:color w:val="auto"/>
                <w:sz w:val="21"/>
                <w:szCs w:val="21"/>
              </w:rPr>
              <w:t>装卸时不使用清洗剂和脱模剂</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eastAsia="zh-CN"/>
              </w:rPr>
              <w:t>注塑机</w:t>
            </w:r>
            <w:r>
              <w:rPr>
                <w:rFonts w:hint="default" w:ascii="Times New Roman" w:hAnsi="Times New Roman" w:eastAsia="宋体" w:cs="Times New Roman"/>
                <w:color w:val="auto"/>
                <w:sz w:val="21"/>
                <w:szCs w:val="21"/>
              </w:rPr>
              <w:t>采用电加热，另采用管道循环水冷却</w:t>
            </w:r>
            <w:r>
              <w:rPr>
                <w:rFonts w:hint="default" w:ascii="Times New Roman" w:hAnsi="Times New Roman" w:eastAsia="宋体" w:cs="Times New Roman"/>
                <w:color w:val="auto"/>
                <w:sz w:val="21"/>
                <w:szCs w:val="21"/>
                <w:lang w:eastAsia="zh-CN"/>
              </w:rPr>
              <w:t>注塑机设</w:t>
            </w:r>
            <w:r>
              <w:rPr>
                <w:rFonts w:hint="default" w:ascii="Times New Roman" w:hAnsi="Times New Roman" w:eastAsia="宋体" w:cs="Times New Roman"/>
                <w:color w:val="auto"/>
                <w:sz w:val="21"/>
                <w:szCs w:val="21"/>
              </w:rPr>
              <w:t>备，冷却水</w:t>
            </w:r>
            <w:r>
              <w:rPr>
                <w:rFonts w:hint="default" w:ascii="Times New Roman" w:hAnsi="Times New Roman" w:eastAsia="宋体" w:cs="Times New Roman"/>
                <w:color w:val="auto"/>
                <w:sz w:val="21"/>
                <w:szCs w:val="21"/>
                <w:lang w:eastAsia="zh-CN"/>
              </w:rPr>
              <w:t>不与材料直接接触，为间接冷却，冷却水经过冷却塔冷却后</w:t>
            </w:r>
            <w:r>
              <w:rPr>
                <w:rFonts w:hint="default" w:ascii="Times New Roman" w:hAnsi="Times New Roman" w:eastAsia="宋体" w:cs="Times New Roman"/>
                <w:color w:val="auto"/>
                <w:sz w:val="21"/>
                <w:szCs w:val="21"/>
              </w:rPr>
              <w:t>循环使用，定期补充损耗，不外排。</w:t>
            </w:r>
            <w:r>
              <w:rPr>
                <w:rFonts w:hint="default" w:ascii="Times New Roman" w:hAnsi="Times New Roman" w:eastAsia="宋体" w:cs="Times New Roman"/>
                <w:color w:val="auto"/>
                <w:sz w:val="21"/>
                <w:szCs w:val="21"/>
                <w:lang w:eastAsia="zh-CN"/>
              </w:rPr>
              <w:t>此过程将产生有机废气</w:t>
            </w:r>
            <w:r>
              <w:rPr>
                <w:rFonts w:hint="default" w:ascii="Times New Roman" w:hAnsi="Times New Roman" w:eastAsia="宋体" w:cs="Times New Roman"/>
                <w:color w:val="auto"/>
                <w:sz w:val="21"/>
                <w:szCs w:val="21"/>
                <w:lang w:val="en-US" w:eastAsia="zh-CN"/>
              </w:rPr>
              <w:t>G</w:t>
            </w:r>
            <w:r>
              <w:rPr>
                <w:rFonts w:hint="eastAsia" w:ascii="Times New Roman" w:hAnsi="Times New Roman"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、设备噪声N。</w:t>
            </w:r>
          </w:p>
          <w:p w14:paraId="0CD6C29D">
            <w:pPr>
              <w:tabs>
                <w:tab w:val="left" w:pos="612"/>
              </w:tabs>
              <w:spacing w:line="360" w:lineRule="auto"/>
              <w:ind w:firstLine="422" w:firstLineChars="200"/>
              <w:contextualSpacing/>
              <w:jc w:val="both"/>
              <w:outlineLvl w:val="1"/>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bCs w:val="0"/>
                <w:color w:val="auto"/>
                <w:sz w:val="21"/>
                <w:szCs w:val="21"/>
                <w:lang w:val="en-US" w:eastAsia="zh-CN"/>
              </w:rPr>
              <w:t>修边：</w:t>
            </w:r>
            <w:r>
              <w:rPr>
                <w:rFonts w:hint="default" w:ascii="Times New Roman" w:hAnsi="Times New Roman" w:eastAsia="宋体" w:cs="Times New Roman"/>
                <w:b w:val="0"/>
                <w:bCs/>
                <w:color w:val="auto"/>
                <w:sz w:val="21"/>
                <w:szCs w:val="21"/>
                <w:lang w:val="en-US" w:eastAsia="zh-CN"/>
              </w:rPr>
              <w:t>人工采用美工刀对注塑成型后的工件进行修边，以去除工件上面的边角料，产生的边角料S</w:t>
            </w:r>
            <w:r>
              <w:rPr>
                <w:rFonts w:hint="default" w:ascii="Times New Roman" w:hAnsi="Times New Roman" w:cs="Times New Roman"/>
                <w:b w:val="0"/>
                <w:bCs/>
                <w:color w:val="auto"/>
                <w:sz w:val="21"/>
                <w:szCs w:val="21"/>
                <w:lang w:val="en-US" w:eastAsia="zh-CN"/>
              </w:rPr>
              <w:t>2</w:t>
            </w:r>
            <w:r>
              <w:rPr>
                <w:rFonts w:hint="default" w:ascii="Times New Roman" w:hAnsi="Times New Roman" w:eastAsia="宋体" w:cs="Times New Roman"/>
                <w:b w:val="0"/>
                <w:bCs/>
                <w:color w:val="auto"/>
                <w:sz w:val="21"/>
                <w:szCs w:val="21"/>
                <w:lang w:val="en-US" w:eastAsia="zh-CN"/>
              </w:rPr>
              <w:t>利用</w:t>
            </w:r>
            <w:r>
              <w:rPr>
                <w:rFonts w:hint="eastAsia" w:ascii="Times New Roman" w:hAnsi="Times New Roman" w:cs="Times New Roman"/>
                <w:b w:val="0"/>
                <w:bCs/>
                <w:color w:val="auto"/>
                <w:sz w:val="21"/>
                <w:szCs w:val="21"/>
                <w:lang w:val="en-US" w:eastAsia="zh-CN"/>
              </w:rPr>
              <w:t>破碎机</w:t>
            </w:r>
            <w:r>
              <w:rPr>
                <w:rFonts w:hint="default" w:ascii="Times New Roman" w:hAnsi="Times New Roman" w:eastAsia="宋体" w:cs="Times New Roman"/>
                <w:b w:val="0"/>
                <w:bCs/>
                <w:color w:val="auto"/>
                <w:sz w:val="21"/>
                <w:szCs w:val="21"/>
                <w:lang w:val="en-US" w:eastAsia="zh-CN"/>
              </w:rPr>
              <w:t>进行破碎后回交给原材料供应商回收。</w:t>
            </w:r>
          </w:p>
          <w:p w14:paraId="78ADC50F">
            <w:pPr>
              <w:tabs>
                <w:tab w:val="left" w:pos="612"/>
              </w:tabs>
              <w:spacing w:line="360" w:lineRule="auto"/>
              <w:ind w:firstLine="422" w:firstLineChars="200"/>
              <w:contextualSpacing/>
              <w:jc w:val="both"/>
              <w:outlineLvl w:val="1"/>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bCs w:val="0"/>
                <w:color w:val="auto"/>
                <w:sz w:val="21"/>
                <w:szCs w:val="21"/>
                <w:lang w:val="en-US" w:eastAsia="zh-CN"/>
              </w:rPr>
              <w:t>成品</w:t>
            </w:r>
            <w:r>
              <w:rPr>
                <w:rFonts w:hint="default" w:ascii="Times New Roman" w:hAnsi="Times New Roman" w:eastAsia="宋体" w:cs="Times New Roman"/>
                <w:b/>
                <w:bCs w:val="0"/>
                <w:color w:val="auto"/>
                <w:sz w:val="21"/>
                <w:szCs w:val="21"/>
              </w:rPr>
              <w:t>检验</w:t>
            </w:r>
            <w:r>
              <w:rPr>
                <w:rFonts w:hint="default" w:ascii="Times New Roman" w:hAnsi="Times New Roman" w:eastAsia="宋体" w:cs="Times New Roman"/>
                <w:b/>
                <w:bCs w:val="0"/>
                <w:color w:val="auto"/>
                <w:sz w:val="21"/>
                <w:szCs w:val="21"/>
                <w:lang w:eastAsia="zh-CN"/>
              </w:rPr>
              <w:t>：</w:t>
            </w:r>
            <w:r>
              <w:rPr>
                <w:rFonts w:hint="default" w:ascii="Times New Roman" w:hAnsi="Times New Roman" w:eastAsia="宋体" w:cs="Times New Roman"/>
                <w:b w:val="0"/>
                <w:bCs/>
                <w:color w:val="auto"/>
                <w:sz w:val="21"/>
                <w:szCs w:val="21"/>
                <w:lang w:eastAsia="zh-CN"/>
              </w:rPr>
              <w:t>人工对产品的外形、尺寸、重量</w:t>
            </w:r>
            <w:r>
              <w:rPr>
                <w:rFonts w:hint="eastAsia" w:ascii="Times New Roman" w:hAnsi="Times New Roman" w:cs="Times New Roman"/>
                <w:b w:val="0"/>
                <w:bCs/>
                <w:color w:val="auto"/>
                <w:sz w:val="21"/>
                <w:szCs w:val="21"/>
                <w:lang w:eastAsia="zh-CN"/>
              </w:rPr>
              <w:t>等进行检验</w:t>
            </w:r>
            <w:r>
              <w:rPr>
                <w:rFonts w:hint="default" w:ascii="Times New Roman" w:hAnsi="Times New Roman" w:eastAsia="宋体" w:cs="Times New Roman"/>
                <w:b w:val="0"/>
                <w:bCs/>
                <w:color w:val="auto"/>
                <w:sz w:val="21"/>
                <w:szCs w:val="21"/>
                <w:lang w:eastAsia="zh-CN"/>
              </w:rPr>
              <w:t>，检测合格的即为成品。此工程将产生不合格产品</w:t>
            </w:r>
            <w:r>
              <w:rPr>
                <w:rFonts w:hint="default" w:ascii="Times New Roman" w:hAnsi="Times New Roman" w:eastAsia="宋体" w:cs="Times New Roman"/>
                <w:b w:val="0"/>
                <w:bCs/>
                <w:color w:val="auto"/>
                <w:sz w:val="21"/>
                <w:szCs w:val="21"/>
                <w:lang w:val="en-US" w:eastAsia="zh-CN"/>
              </w:rPr>
              <w:t>S</w:t>
            </w:r>
            <w:r>
              <w:rPr>
                <w:rFonts w:hint="eastAsia" w:ascii="Times New Roman" w:hAnsi="Times New Roman" w:cs="Times New Roman"/>
                <w:b w:val="0"/>
                <w:bCs/>
                <w:color w:val="auto"/>
                <w:sz w:val="21"/>
                <w:szCs w:val="21"/>
                <w:lang w:val="en-US" w:eastAsia="zh-CN"/>
              </w:rPr>
              <w:t>3</w:t>
            </w:r>
            <w:r>
              <w:rPr>
                <w:rFonts w:hint="default" w:ascii="Times New Roman" w:hAnsi="Times New Roman" w:eastAsia="宋体" w:cs="Times New Roman"/>
                <w:b w:val="0"/>
                <w:bCs/>
                <w:color w:val="auto"/>
                <w:sz w:val="21"/>
                <w:szCs w:val="21"/>
                <w:lang w:val="en-US" w:eastAsia="zh-CN"/>
              </w:rPr>
              <w:t>。</w:t>
            </w:r>
          </w:p>
          <w:p w14:paraId="10EDA52B">
            <w:pPr>
              <w:tabs>
                <w:tab w:val="left" w:pos="612"/>
              </w:tabs>
              <w:spacing w:line="360" w:lineRule="auto"/>
              <w:ind w:firstLine="422" w:firstLineChars="200"/>
              <w:contextualSpacing/>
              <w:jc w:val="both"/>
              <w:outlineLvl w:val="1"/>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包装：</w:t>
            </w:r>
            <w:r>
              <w:rPr>
                <w:rFonts w:hint="default" w:ascii="Times New Roman" w:hAnsi="Times New Roman" w:eastAsia="宋体" w:cs="Times New Roman"/>
                <w:bCs/>
                <w:color w:val="auto"/>
                <w:sz w:val="21"/>
                <w:szCs w:val="21"/>
              </w:rPr>
              <w:t>对工件进行包装，最后入库</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该过程将产生废包装材料S</w:t>
            </w:r>
            <w:r>
              <w:rPr>
                <w:rFonts w:hint="default" w:ascii="Times New Roman" w:hAnsi="Times New Roman" w:cs="Times New Roman"/>
                <w:bCs/>
                <w:color w:val="auto"/>
                <w:sz w:val="21"/>
                <w:szCs w:val="21"/>
                <w:lang w:val="en-US" w:eastAsia="zh-CN"/>
              </w:rPr>
              <w:t>1</w:t>
            </w:r>
            <w:r>
              <w:rPr>
                <w:rFonts w:hint="default" w:ascii="Times New Roman" w:hAnsi="Times New Roman" w:eastAsia="宋体" w:cs="Times New Roman"/>
                <w:bCs/>
                <w:color w:val="auto"/>
                <w:sz w:val="21"/>
                <w:szCs w:val="21"/>
              </w:rPr>
              <w:t>。</w:t>
            </w:r>
          </w:p>
          <w:p w14:paraId="7BDE4B12">
            <w:pPr>
              <w:pStyle w:val="54"/>
              <w:spacing w:line="360" w:lineRule="auto"/>
              <w:ind w:firstLine="422" w:firstLineChars="200"/>
              <w:rPr>
                <w:rFonts w:hint="default" w:ascii="Times New Roman" w:hAnsi="Times New Roman" w:cs="Times New Roman"/>
                <w:color w:val="auto"/>
                <w:lang w:val="en-US" w:eastAsia="zh-CN"/>
              </w:rPr>
            </w:pPr>
            <w:r>
              <w:rPr>
                <w:rFonts w:hint="default" w:ascii="Times New Roman" w:hAnsi="Times New Roman" w:eastAsia="宋体" w:cs="Times New Roman"/>
                <w:b/>
                <w:color w:val="auto"/>
                <w:sz w:val="21"/>
                <w:szCs w:val="21"/>
                <w:lang w:eastAsia="zh-CN"/>
              </w:rPr>
              <w:t>破碎：</w:t>
            </w:r>
            <w:r>
              <w:rPr>
                <w:rFonts w:hint="default" w:ascii="Times New Roman" w:hAnsi="Times New Roman" w:eastAsia="宋体" w:cs="Times New Roman"/>
                <w:color w:val="auto"/>
                <w:kern w:val="2"/>
                <w:sz w:val="21"/>
                <w:szCs w:val="21"/>
                <w:lang w:val="en-US" w:eastAsia="zh-CN" w:bidi="ar-SA"/>
              </w:rPr>
              <w:t>人工修边时产生的废边角料S2和检验过程中产生的不合格成品S</w:t>
            </w:r>
            <w:r>
              <w:rPr>
                <w:rFonts w:hint="eastAsia" w:ascii="Times New Roman" w:hAnsi="Times New Roman" w:eastAsia="宋体" w:cs="Times New Roman"/>
                <w:color w:val="auto"/>
                <w:kern w:val="2"/>
                <w:sz w:val="21"/>
                <w:szCs w:val="21"/>
                <w:lang w:val="en-US" w:eastAsia="zh-CN" w:bidi="ar-SA"/>
              </w:rPr>
              <w:t>3</w:t>
            </w:r>
            <w:r>
              <w:rPr>
                <w:rFonts w:hint="default" w:ascii="Times New Roman" w:hAnsi="Times New Roman" w:eastAsia="宋体" w:cs="Times New Roman"/>
                <w:color w:val="auto"/>
                <w:kern w:val="2"/>
                <w:sz w:val="21"/>
                <w:szCs w:val="21"/>
                <w:lang w:val="en-US" w:eastAsia="zh-CN" w:bidi="ar-SA"/>
              </w:rPr>
              <w:t>进行破碎，破碎后粒径在0.5cm左右，然后</w:t>
            </w:r>
            <w:r>
              <w:rPr>
                <w:rFonts w:hint="eastAsia" w:ascii="Times New Roman" w:hAnsi="Times New Roman" w:eastAsia="宋体" w:cs="Times New Roman"/>
                <w:color w:val="auto"/>
                <w:kern w:val="2"/>
                <w:sz w:val="21"/>
                <w:szCs w:val="21"/>
                <w:lang w:val="en-US" w:eastAsia="zh-CN" w:bidi="ar-SA"/>
              </w:rPr>
              <w:t>回用于生产线</w:t>
            </w:r>
            <w:r>
              <w:rPr>
                <w:rFonts w:hint="default" w:ascii="Times New Roman" w:hAnsi="Times New Roman" w:eastAsia="宋体" w:cs="Times New Roman"/>
                <w:color w:val="auto"/>
                <w:kern w:val="2"/>
                <w:sz w:val="21"/>
                <w:szCs w:val="21"/>
                <w:lang w:val="en-US" w:eastAsia="zh-CN" w:bidi="ar-SA"/>
              </w:rPr>
              <w:t>，此过程将产生破碎粉尘G</w:t>
            </w:r>
            <w:r>
              <w:rPr>
                <w:rFonts w:hint="eastAsia" w:ascii="Times New Roman" w:hAnsi="Times New Roman" w:eastAsia="宋体"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t>，噪声N。</w:t>
            </w:r>
          </w:p>
        </w:tc>
      </w:tr>
      <w:tr w14:paraId="6CAD6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713" w:type="dxa"/>
            <w:noWrap w:val="0"/>
            <w:vAlign w:val="center"/>
          </w:tcPr>
          <w:p w14:paraId="55645AA9">
            <w:pPr>
              <w:pStyle w:val="26"/>
              <w:adjustRightInd w:val="0"/>
              <w:snapToGrid w:val="0"/>
              <w:spacing w:before="0" w:beforeAutospacing="0" w:after="0" w:afterAutospacing="0"/>
              <w:jc w:val="center"/>
              <w:rPr>
                <w:rFonts w:hint="default" w:ascii="Times New Roman" w:hAnsi="Times New Roman" w:cs="Times New Roman"/>
                <w:color w:val="auto"/>
                <w:sz w:val="21"/>
                <w:szCs w:val="21"/>
              </w:rPr>
            </w:pPr>
            <w:r>
              <w:rPr>
                <w:rFonts w:hint="default" w:ascii="Times New Roman" w:hAnsi="Times New Roman" w:cs="Times New Roman"/>
                <w:bCs/>
                <w:color w:val="auto"/>
                <w:kern w:val="2"/>
                <w:sz w:val="21"/>
                <w:szCs w:val="21"/>
              </w:rPr>
              <w:t>与项目有关的原有环境污染问题</w:t>
            </w:r>
          </w:p>
        </w:tc>
        <w:tc>
          <w:tcPr>
            <w:tcW w:w="8347" w:type="dxa"/>
            <w:noWrap w:val="0"/>
            <w:vAlign w:val="top"/>
          </w:tcPr>
          <w:p w14:paraId="42A25E09">
            <w:pPr>
              <w:keepNext w:val="0"/>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eastAsia="宋体" w:cs="Times New Roman"/>
                <w:color w:val="auto"/>
                <w:sz w:val="21"/>
                <w:szCs w:val="21"/>
              </w:rPr>
            </w:pPr>
            <w:r>
              <w:rPr>
                <w:rFonts w:hint="eastAsia" w:ascii="Times New Roman" w:hAnsi="Times New Roman" w:cs="Times New Roman"/>
                <w:bCs/>
                <w:color w:val="auto"/>
                <w:sz w:val="21"/>
                <w:szCs w:val="21"/>
                <w:lang w:eastAsia="zh-CN"/>
              </w:rPr>
              <w:t>重庆三花门业有限公司位于</w:t>
            </w:r>
            <w:r>
              <w:rPr>
                <w:rFonts w:hint="eastAsia" w:ascii="Times New Roman" w:hAnsi="Times New Roman" w:cs="Times New Roman"/>
                <w:color w:val="auto"/>
                <w:szCs w:val="21"/>
                <w:lang w:eastAsia="zh-CN"/>
              </w:rPr>
              <w:t>重庆市合川区南溪组团A区，该公司</w:t>
            </w:r>
            <w:r>
              <w:rPr>
                <w:rFonts w:hint="eastAsia" w:ascii="Times New Roman" w:hAnsi="Times New Roman" w:cs="Times New Roman"/>
                <w:bCs/>
                <w:color w:val="auto"/>
                <w:sz w:val="21"/>
                <w:szCs w:val="21"/>
                <w:lang w:eastAsia="zh-CN"/>
              </w:rPr>
              <w:t>于</w:t>
            </w:r>
            <w:r>
              <w:rPr>
                <w:rFonts w:hint="eastAsia" w:ascii="Times New Roman" w:hAnsi="Times New Roman" w:cs="Times New Roman"/>
                <w:bCs/>
                <w:color w:val="auto"/>
                <w:sz w:val="21"/>
                <w:szCs w:val="21"/>
                <w:lang w:val="en-US" w:eastAsia="zh-CN"/>
              </w:rPr>
              <w:t>2019年租赁重庆市合川区教育建筑工程有限公司2#厂房1F闲置区域、1#附属综合楼部分办公区建设“防火门、防盗门、消防器材、五金配件生产项目”，建筑面积53884.4m</w:t>
            </w:r>
            <w:r>
              <w:rPr>
                <w:rFonts w:hint="eastAsia" w:ascii="Times New Roman" w:hAnsi="Times New Roman" w:cs="Times New Roman"/>
                <w:bCs/>
                <w:color w:val="auto"/>
                <w:sz w:val="21"/>
                <w:szCs w:val="21"/>
                <w:vertAlign w:val="superscript"/>
                <w:lang w:val="en-US" w:eastAsia="zh-CN"/>
              </w:rPr>
              <w:t>2</w:t>
            </w:r>
            <w:r>
              <w:rPr>
                <w:rFonts w:hint="eastAsia" w:ascii="Times New Roman" w:hAnsi="Times New Roman" w:cs="Times New Roman"/>
                <w:bCs/>
                <w:color w:val="auto"/>
                <w:sz w:val="21"/>
                <w:szCs w:val="21"/>
                <w:vertAlign w:val="baseline"/>
                <w:lang w:val="en-US" w:eastAsia="zh-CN"/>
              </w:rPr>
              <w:t>，</w:t>
            </w:r>
            <w:r>
              <w:rPr>
                <w:rFonts w:hint="eastAsia" w:ascii="Times New Roman" w:hAnsi="Times New Roman" w:cs="Times New Roman"/>
                <w:bCs/>
                <w:color w:val="auto"/>
                <w:sz w:val="21"/>
                <w:szCs w:val="21"/>
                <w:lang w:val="en-US" w:eastAsia="zh-CN"/>
              </w:rPr>
              <w:t>该项目于2019年11月取得了环评批复手续：渝（合）环准〔2019〕99号，并</w:t>
            </w:r>
            <w:r>
              <w:rPr>
                <w:rFonts w:hint="eastAsia" w:ascii="Times New Roman" w:hAnsi="Times New Roman" w:cs="Times New Roman"/>
                <w:bCs/>
                <w:color w:val="auto"/>
                <w:sz w:val="21"/>
                <w:szCs w:val="21"/>
                <w:lang w:eastAsia="zh-CN"/>
              </w:rPr>
              <w:t>于</w:t>
            </w:r>
            <w:r>
              <w:rPr>
                <w:rFonts w:hint="eastAsia" w:ascii="Times New Roman" w:hAnsi="Times New Roman" w:cs="Times New Roman"/>
                <w:bCs/>
                <w:color w:val="auto"/>
                <w:sz w:val="21"/>
                <w:szCs w:val="21"/>
                <w:lang w:val="en-US" w:eastAsia="zh-CN"/>
              </w:rPr>
              <w:t>2020年8月通过了竣工环境保护验收（渝(合)环验〔2020〕40号），主要</w:t>
            </w:r>
            <w:r>
              <w:rPr>
                <w:rFonts w:hint="default" w:ascii="Times New Roman" w:hAnsi="Times New Roman" w:eastAsia="宋体" w:cs="Times New Roman"/>
                <w:bCs/>
                <w:color w:val="auto"/>
                <w:sz w:val="21"/>
                <w:szCs w:val="21"/>
                <w:lang w:eastAsia="zh-CN"/>
              </w:rPr>
              <w:t>设置钢板加工区、木板加工区、填芯区等生产区域，</w:t>
            </w:r>
            <w:r>
              <w:rPr>
                <w:rFonts w:hint="default" w:ascii="Times New Roman" w:hAnsi="Times New Roman" w:eastAsia="宋体" w:cs="Times New Roman"/>
                <w:color w:val="auto"/>
                <w:sz w:val="21"/>
                <w:szCs w:val="21"/>
              </w:rPr>
              <w:t>其</w:t>
            </w:r>
            <w:r>
              <w:rPr>
                <w:rFonts w:hint="default" w:ascii="Times New Roman" w:hAnsi="Times New Roman" w:eastAsia="宋体" w:cs="Times New Roman"/>
                <w:color w:val="auto"/>
                <w:sz w:val="21"/>
                <w:szCs w:val="21"/>
                <w:lang w:eastAsia="zh-CN"/>
              </w:rPr>
              <w:t>配套建设了</w:t>
            </w:r>
            <w:r>
              <w:rPr>
                <w:rFonts w:hint="default" w:ascii="Times New Roman" w:hAnsi="Times New Roman" w:eastAsia="宋体" w:cs="Times New Roman"/>
                <w:color w:val="auto"/>
                <w:sz w:val="21"/>
                <w:szCs w:val="21"/>
              </w:rPr>
              <w:t>供水、供电</w:t>
            </w:r>
            <w:r>
              <w:rPr>
                <w:rFonts w:hint="default" w:ascii="Times New Roman" w:hAnsi="Times New Roman" w:eastAsia="宋体" w:cs="Times New Roman"/>
                <w:color w:val="auto"/>
                <w:sz w:val="21"/>
                <w:szCs w:val="21"/>
                <w:lang w:eastAsia="zh-CN"/>
              </w:rPr>
              <w:t>、生化池</w:t>
            </w:r>
            <w:r>
              <w:rPr>
                <w:rFonts w:hint="default" w:ascii="Times New Roman" w:hAnsi="Times New Roman" w:eastAsia="宋体" w:cs="Times New Roman"/>
                <w:color w:val="auto"/>
                <w:sz w:val="21"/>
                <w:szCs w:val="21"/>
              </w:rPr>
              <w:t>等设施</w:t>
            </w:r>
            <w:r>
              <w:rPr>
                <w:rFonts w:hint="default" w:ascii="Times New Roman" w:hAnsi="Times New Roman" w:eastAsia="宋体" w:cs="Times New Roman"/>
                <w:color w:val="auto"/>
                <w:sz w:val="21"/>
                <w:szCs w:val="21"/>
                <w:lang w:eastAsia="zh-CN"/>
              </w:rPr>
              <w:t>，因此本项目依托其</w:t>
            </w:r>
            <w:r>
              <w:rPr>
                <w:rFonts w:hint="default" w:ascii="Times New Roman" w:hAnsi="Times New Roman" w:eastAsia="宋体" w:cs="Times New Roman"/>
                <w:color w:val="auto"/>
                <w:sz w:val="21"/>
                <w:szCs w:val="21"/>
              </w:rPr>
              <w:t>供水、供电</w:t>
            </w:r>
            <w:r>
              <w:rPr>
                <w:rFonts w:hint="default" w:ascii="Times New Roman" w:hAnsi="Times New Roman" w:eastAsia="宋体" w:cs="Times New Roman"/>
                <w:color w:val="auto"/>
                <w:sz w:val="21"/>
                <w:szCs w:val="21"/>
                <w:lang w:eastAsia="zh-CN"/>
              </w:rPr>
              <w:t>、生化池</w:t>
            </w:r>
            <w:r>
              <w:rPr>
                <w:rFonts w:hint="default" w:ascii="Times New Roman" w:hAnsi="Times New Roman" w:eastAsia="宋体" w:cs="Times New Roman"/>
                <w:color w:val="auto"/>
                <w:sz w:val="21"/>
                <w:szCs w:val="21"/>
              </w:rPr>
              <w:t>等设施</w:t>
            </w:r>
            <w:r>
              <w:rPr>
                <w:rFonts w:hint="default" w:ascii="Times New Roman" w:hAnsi="Times New Roman" w:eastAsia="宋体" w:cs="Times New Roman"/>
                <w:color w:val="auto"/>
                <w:sz w:val="21"/>
                <w:szCs w:val="21"/>
                <w:lang w:eastAsia="zh-CN"/>
              </w:rPr>
              <w:t>可行。</w:t>
            </w:r>
            <w:r>
              <w:rPr>
                <w:rFonts w:hint="eastAsia" w:ascii="Times New Roman" w:hAnsi="Times New Roman" w:eastAsia="宋体" w:cs="Times New Roman"/>
                <w:color w:val="auto"/>
                <w:sz w:val="21"/>
                <w:szCs w:val="21"/>
                <w:lang w:eastAsia="zh-CN"/>
              </w:rPr>
              <w:t>项目主要</w:t>
            </w:r>
            <w:r>
              <w:rPr>
                <w:rFonts w:hint="default" w:ascii="Times New Roman" w:hAnsi="Times New Roman" w:eastAsia="宋体" w:cs="Times New Roman"/>
                <w:bCs/>
                <w:color w:val="auto"/>
                <w:sz w:val="21"/>
                <w:szCs w:val="21"/>
                <w:lang w:eastAsia="zh-CN"/>
              </w:rPr>
              <w:t>从事防火门、防盗门的生产，年产钢质防火门5.1万套、钢木质防火门3万套、钢制防盗门3.5万套。</w:t>
            </w:r>
            <w:r>
              <w:rPr>
                <w:rFonts w:hint="eastAsia" w:ascii="Times New Roman" w:hAnsi="Times New Roman" w:cs="Times New Roman"/>
                <w:bCs/>
                <w:color w:val="auto"/>
                <w:sz w:val="21"/>
                <w:szCs w:val="21"/>
                <w:lang w:val="en-US" w:eastAsia="zh-CN"/>
              </w:rPr>
              <w:t>2023年受市场影响，</w:t>
            </w:r>
            <w:r>
              <w:rPr>
                <w:rFonts w:hint="eastAsia" w:ascii="Times New Roman" w:hAnsi="Times New Roman" w:cs="Times New Roman"/>
                <w:bCs/>
                <w:color w:val="auto"/>
                <w:sz w:val="21"/>
                <w:szCs w:val="21"/>
                <w:lang w:eastAsia="zh-CN"/>
              </w:rPr>
              <w:t>重庆三花门业有限公司决定停止项目的运营，并将厂区内的设备腾空，将厂房对外进行出租，本项目租赁其</w:t>
            </w:r>
            <w:r>
              <w:rPr>
                <w:rFonts w:hint="eastAsia" w:ascii="Times New Roman" w:hAnsi="Times New Roman" w:cs="Times New Roman"/>
                <w:color w:val="auto"/>
                <w:szCs w:val="21"/>
                <w:lang w:eastAsia="zh-CN"/>
              </w:rPr>
              <w:t>1楼B区、C区厂房进行生产。</w:t>
            </w:r>
            <w:r>
              <w:rPr>
                <w:rFonts w:hint="eastAsia" w:ascii="Times New Roman" w:hAnsi="Times New Roman" w:cs="Times New Roman"/>
                <w:bCs/>
                <w:color w:val="auto"/>
                <w:sz w:val="21"/>
                <w:szCs w:val="21"/>
                <w:lang w:eastAsia="zh-CN"/>
              </w:rPr>
              <w:t>重庆三花门业有限公司</w:t>
            </w:r>
            <w:r>
              <w:rPr>
                <w:rFonts w:hint="eastAsia" w:cs="Times New Roman"/>
                <w:bCs/>
                <w:color w:val="auto"/>
                <w:sz w:val="21"/>
                <w:szCs w:val="21"/>
                <w:lang w:eastAsia="zh-CN"/>
              </w:rPr>
              <w:t>在</w:t>
            </w:r>
            <w:r>
              <w:rPr>
                <w:rFonts w:hint="eastAsia" w:cs="Times New Roman"/>
                <w:bCs/>
                <w:color w:val="auto"/>
                <w:sz w:val="21"/>
                <w:szCs w:val="21"/>
                <w:lang w:val="en-US" w:eastAsia="zh-CN"/>
              </w:rPr>
              <w:t>生产期间未发生过污染事件</w:t>
            </w:r>
            <w:r>
              <w:rPr>
                <w:rFonts w:hint="default" w:ascii="Times New Roman" w:hAnsi="Times New Roman" w:cs="Times New Roman"/>
                <w:color w:val="auto"/>
                <w:sz w:val="21"/>
                <w:szCs w:val="21"/>
                <w:lang w:eastAsia="zh-CN"/>
              </w:rPr>
              <w:t>，根据现场调查，该厂房目前</w:t>
            </w:r>
            <w:r>
              <w:rPr>
                <w:rFonts w:hint="eastAsia" w:ascii="Times New Roman" w:hAnsi="Times New Roman" w:cs="Times New Roman"/>
                <w:color w:val="auto"/>
                <w:sz w:val="21"/>
                <w:szCs w:val="21"/>
                <w:lang w:eastAsia="zh-CN"/>
              </w:rPr>
              <w:t>主体</w:t>
            </w:r>
            <w:r>
              <w:rPr>
                <w:rFonts w:hint="default" w:ascii="Times New Roman" w:hAnsi="Times New Roman" w:cs="Times New Roman"/>
                <w:color w:val="auto"/>
                <w:sz w:val="21"/>
                <w:szCs w:val="21"/>
                <w:lang w:eastAsia="zh-CN"/>
              </w:rPr>
              <w:t>已建成</w:t>
            </w:r>
            <w:r>
              <w:rPr>
                <w:rFonts w:hint="eastAsia" w:ascii="Times New Roman" w:hAnsi="Times New Roman" w:cs="Times New Roman"/>
                <w:color w:val="auto"/>
                <w:sz w:val="21"/>
                <w:szCs w:val="21"/>
                <w:lang w:val="en-US" w:eastAsia="zh-CN"/>
              </w:rPr>
              <w:t>，厂区内供水、排水、供电、系统均已建成并可投入使用</w:t>
            </w:r>
            <w:r>
              <w:rPr>
                <w:rFonts w:hint="eastAsia" w:cs="Times New Roman"/>
                <w:bCs/>
                <w:color w:val="auto"/>
                <w:sz w:val="21"/>
                <w:szCs w:val="21"/>
                <w:lang w:val="en-US" w:eastAsia="zh-CN"/>
              </w:rPr>
              <w:t>，</w:t>
            </w:r>
            <w:r>
              <w:rPr>
                <w:rFonts w:hint="eastAsia" w:ascii="Times New Roman" w:hAnsi="Times New Roman" w:cs="Times New Roman"/>
                <w:color w:val="auto"/>
                <w:sz w:val="21"/>
                <w:szCs w:val="21"/>
                <w:lang w:val="en-US" w:eastAsia="zh-CN"/>
              </w:rPr>
              <w:t>目前场地已清扫干净，</w:t>
            </w:r>
            <w:r>
              <w:rPr>
                <w:rFonts w:hint="default" w:ascii="Times New Roman" w:hAnsi="Times New Roman" w:eastAsia="宋体" w:cs="Times New Roman"/>
                <w:color w:val="auto"/>
                <w:sz w:val="21"/>
                <w:szCs w:val="21"/>
              </w:rPr>
              <w:t>为闲置状态</w:t>
            </w:r>
            <w:r>
              <w:rPr>
                <w:rFonts w:hint="eastAsia" w:ascii="Times New Roman" w:hAnsi="Times New Roman" w:eastAsia="宋体" w:cs="Times New Roman"/>
                <w:color w:val="auto"/>
                <w:sz w:val="21"/>
                <w:szCs w:val="21"/>
                <w:lang w:eastAsia="zh-CN"/>
              </w:rPr>
              <w:t>，</w:t>
            </w:r>
            <w:r>
              <w:rPr>
                <w:rFonts w:hint="eastAsia" w:cs="Times New Roman"/>
                <w:bCs/>
                <w:color w:val="auto"/>
                <w:sz w:val="21"/>
                <w:szCs w:val="21"/>
                <w:lang w:val="en-US" w:eastAsia="zh-CN"/>
              </w:rPr>
              <w:t>厂区地面无裂纹，不存在土壤污染的隐患，也</w:t>
            </w:r>
            <w:r>
              <w:rPr>
                <w:rFonts w:ascii="Times New Roman" w:hAnsi="Times New Roman" w:cs="Times New Roman"/>
                <w:color w:val="auto"/>
                <w:sz w:val="21"/>
                <w:szCs w:val="21"/>
              </w:rPr>
              <w:t>无原有污染和遗留环境问题。</w:t>
            </w:r>
          </w:p>
          <w:p w14:paraId="6038C14F">
            <w:pPr>
              <w:rPr>
                <w:rFonts w:hint="default" w:ascii="Times New Roman" w:hAnsi="Times New Roman" w:eastAsia="宋体" w:cs="Times New Roman"/>
                <w:color w:val="auto"/>
                <w:sz w:val="21"/>
                <w:szCs w:val="21"/>
              </w:rPr>
            </w:pPr>
          </w:p>
          <w:p w14:paraId="70DB5445">
            <w:pPr>
              <w:rPr>
                <w:rFonts w:hint="default" w:ascii="Times New Roman" w:hAnsi="Times New Roman" w:eastAsia="宋体" w:cs="Times New Roman"/>
                <w:color w:val="auto"/>
                <w:sz w:val="21"/>
                <w:szCs w:val="21"/>
              </w:rPr>
            </w:pPr>
          </w:p>
          <w:p w14:paraId="743ABE68">
            <w:pPr>
              <w:rPr>
                <w:rFonts w:hint="default" w:ascii="Times New Roman" w:hAnsi="Times New Roman" w:eastAsia="宋体" w:cs="Times New Roman"/>
                <w:color w:val="auto"/>
                <w:sz w:val="21"/>
                <w:szCs w:val="21"/>
              </w:rPr>
            </w:pPr>
          </w:p>
        </w:tc>
      </w:tr>
    </w:tbl>
    <w:p w14:paraId="152B7686">
      <w:pPr>
        <w:pStyle w:val="26"/>
        <w:rPr>
          <w:rFonts w:hint="default" w:ascii="Times New Roman" w:hAnsi="Times New Roman" w:cs="Times New Roman"/>
          <w:snapToGrid w:val="0"/>
          <w:color w:val="auto"/>
          <w:sz w:val="36"/>
          <w:szCs w:val="36"/>
        </w:rPr>
        <w:sectPr>
          <w:footerReference r:id="rId5" w:type="default"/>
          <w:pgSz w:w="11906" w:h="16838"/>
          <w:pgMar w:top="1701" w:right="1531" w:bottom="1701" w:left="1531" w:header="851" w:footer="851" w:gutter="0"/>
          <w:pgBorders>
            <w:top w:val="none" w:sz="0" w:space="0"/>
            <w:left w:val="none" w:sz="0" w:space="0"/>
            <w:bottom w:val="none" w:sz="0" w:space="0"/>
            <w:right w:val="none" w:sz="0" w:space="0"/>
          </w:pgBorders>
          <w:pgNumType w:fmt="decimal" w:start="1"/>
          <w:cols w:space="720" w:num="1"/>
          <w:docGrid w:linePitch="312" w:charSpace="0"/>
        </w:sectPr>
      </w:pPr>
    </w:p>
    <w:p w14:paraId="04327D76">
      <w:pPr>
        <w:pStyle w:val="26"/>
        <w:jc w:val="center"/>
        <w:outlineLvl w:val="0"/>
        <w:rPr>
          <w:rFonts w:hint="default" w:ascii="Times New Roman" w:hAnsi="Times New Roman" w:cs="Times New Roman"/>
          <w:snapToGrid w:val="0"/>
          <w:color w:val="auto"/>
          <w:sz w:val="30"/>
          <w:szCs w:val="30"/>
        </w:rPr>
      </w:pPr>
      <w:r>
        <w:rPr>
          <w:rFonts w:hint="default" w:ascii="Times New Roman" w:hAnsi="Times New Roman" w:cs="Times New Roman"/>
          <w:snapToGrid w:val="0"/>
          <w:color w:val="auto"/>
          <w:sz w:val="30"/>
          <w:szCs w:val="30"/>
        </w:rPr>
        <w:t>三、区域环境质量现状、环境保护目标及评价标准</w:t>
      </w:r>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382"/>
      </w:tblGrid>
      <w:tr w14:paraId="4DAEA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74" w:type="pct"/>
            <w:noWrap w:val="0"/>
            <w:vAlign w:val="center"/>
          </w:tcPr>
          <w:p w14:paraId="5F939EE2">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区域</w:t>
            </w:r>
          </w:p>
          <w:p w14:paraId="7CC188DE">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w:t>
            </w:r>
          </w:p>
          <w:p w14:paraId="6CF891AB">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质量</w:t>
            </w:r>
          </w:p>
          <w:p w14:paraId="110EA6F3">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现状</w:t>
            </w:r>
          </w:p>
        </w:tc>
        <w:tc>
          <w:tcPr>
            <w:tcW w:w="4625" w:type="pct"/>
            <w:noWrap w:val="0"/>
            <w:vAlign w:val="center"/>
          </w:tcPr>
          <w:p w14:paraId="29494B81">
            <w:pPr>
              <w:adjustRightInd w:val="0"/>
              <w:snapToGrid w:val="0"/>
              <w:spacing w:line="360" w:lineRule="auto"/>
              <w:rPr>
                <w:rFonts w:hint="default" w:ascii="Times New Roman" w:hAnsi="Times New Roman" w:cs="Times New Roman"/>
                <w:b/>
                <w:bCs/>
                <w:color w:val="auto"/>
                <w:sz w:val="24"/>
              </w:rPr>
            </w:pPr>
            <w:r>
              <w:rPr>
                <w:rFonts w:hint="default" w:ascii="Times New Roman" w:hAnsi="Times New Roman" w:cs="Times New Roman"/>
                <w:b/>
                <w:color w:val="auto"/>
              </w:rPr>
              <w:t>3.1环境空气质量现状</w:t>
            </w:r>
          </w:p>
          <w:p w14:paraId="7531EA84">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bCs/>
                <w:color w:val="auto"/>
                <w:szCs w:val="21"/>
              </w:rPr>
              <w:t>根据</w:t>
            </w:r>
            <w:r>
              <w:rPr>
                <w:rFonts w:hint="default" w:ascii="Times New Roman" w:hAnsi="Times New Roman" w:cs="Times New Roman"/>
                <w:color w:val="auto"/>
                <w:szCs w:val="21"/>
              </w:rPr>
              <w:t>《重庆市环境空气质量功能区划分规定》（渝府发〔2016〕19号规定）</w:t>
            </w:r>
            <w:r>
              <w:rPr>
                <w:rFonts w:hint="default" w:ascii="Times New Roman" w:hAnsi="Times New Roman" w:cs="Times New Roman"/>
                <w:bCs/>
                <w:color w:val="auto"/>
                <w:szCs w:val="21"/>
              </w:rPr>
              <w:t>，</w:t>
            </w:r>
            <w:r>
              <w:rPr>
                <w:rFonts w:hint="default" w:ascii="Times New Roman" w:hAnsi="Times New Roman" w:cs="Times New Roman"/>
                <w:color w:val="auto"/>
                <w:szCs w:val="21"/>
              </w:rPr>
              <w:t>本项目所在地环境空气功能区划为二类区，环境空气质量执行《环境空气质量标准》（GB3095-2012）中二级标准。</w:t>
            </w:r>
          </w:p>
          <w:p w14:paraId="553C018A">
            <w:pPr>
              <w:adjustRightInd w:val="0"/>
              <w:snapToGrid w:val="0"/>
              <w:spacing w:line="360" w:lineRule="auto"/>
              <w:ind w:firstLine="480"/>
              <w:rPr>
                <w:rFonts w:hint="default" w:ascii="Times New Roman" w:hAnsi="Times New Roman" w:cs="Times New Roman"/>
                <w:b/>
                <w:color w:val="auto"/>
                <w:szCs w:val="21"/>
              </w:rPr>
            </w:pPr>
            <w:r>
              <w:rPr>
                <w:rFonts w:hint="default" w:ascii="Times New Roman" w:hAnsi="Times New Roman" w:cs="Times New Roman"/>
                <w:b/>
                <w:color w:val="auto"/>
                <w:szCs w:val="21"/>
              </w:rPr>
              <w:t>①常规污染物</w:t>
            </w:r>
          </w:p>
          <w:p w14:paraId="12AB7C6F">
            <w:pPr>
              <w:adjustRightInd w:val="0"/>
              <w:snapToGrid w:val="0"/>
              <w:spacing w:line="360" w:lineRule="auto"/>
              <w:ind w:firstLine="480"/>
              <w:rPr>
                <w:rFonts w:hint="default" w:ascii="Times New Roman" w:hAnsi="Times New Roman" w:cs="Times New Roman"/>
                <w:color w:val="auto"/>
                <w:szCs w:val="21"/>
              </w:rPr>
            </w:pPr>
            <w:r>
              <w:rPr>
                <w:rFonts w:hint="default" w:ascii="Times New Roman" w:hAnsi="Times New Roman" w:cs="Times New Roman"/>
                <w:color w:val="auto"/>
                <w:szCs w:val="21"/>
              </w:rPr>
              <w:t>根据《建设项目环境影响报告表编制技术指南（污染影响类）（试行）》，区域大气环境质量现状可采用生态环境主管部门公开发布的质量数据，故本项目环境空气质量达标情况判定采用《202</w:t>
            </w:r>
            <w:r>
              <w:rPr>
                <w:rFonts w:hint="eastAsia" w:ascii="Times New Roman" w:hAnsi="Times New Roman" w:cs="Times New Roman"/>
                <w:color w:val="auto"/>
                <w:szCs w:val="21"/>
                <w:lang w:val="en-US" w:eastAsia="zh-CN"/>
              </w:rPr>
              <w:t>4</w:t>
            </w:r>
            <w:r>
              <w:rPr>
                <w:rFonts w:hint="default" w:ascii="Times New Roman" w:hAnsi="Times New Roman" w:cs="Times New Roman"/>
                <w:color w:val="auto"/>
                <w:szCs w:val="21"/>
              </w:rPr>
              <w:t>年重庆市生态环境状况公报》中</w:t>
            </w:r>
            <w:r>
              <w:rPr>
                <w:rFonts w:hint="default" w:ascii="Times New Roman" w:hAnsi="Times New Roman" w:cs="Times New Roman"/>
                <w:color w:val="auto"/>
                <w:szCs w:val="21"/>
                <w:lang w:eastAsia="zh-CN"/>
              </w:rPr>
              <w:t>合川区</w:t>
            </w:r>
            <w:r>
              <w:rPr>
                <w:rFonts w:hint="default" w:ascii="Times New Roman" w:hAnsi="Times New Roman" w:cs="Times New Roman"/>
                <w:color w:val="auto"/>
                <w:szCs w:val="21"/>
              </w:rPr>
              <w:t>的数据。监测年均值数据见表3-1。</w:t>
            </w:r>
          </w:p>
          <w:p w14:paraId="43A00637">
            <w:pPr>
              <w:ind w:firstLine="422" w:firstLineChars="200"/>
              <w:jc w:val="center"/>
              <w:rPr>
                <w:rFonts w:hint="default" w:ascii="Times New Roman" w:hAnsi="Times New Roman" w:cs="Times New Roman"/>
                <w:b/>
                <w:color w:val="auto"/>
                <w:szCs w:val="21"/>
                <w:vertAlign w:val="superscript"/>
              </w:rPr>
            </w:pPr>
            <w:r>
              <w:rPr>
                <w:rFonts w:hint="default" w:ascii="Times New Roman" w:hAnsi="Times New Roman" w:cs="Times New Roman"/>
                <w:b/>
                <w:color w:val="auto"/>
                <w:szCs w:val="21"/>
              </w:rPr>
              <w:t>表3-1  环境空气现状监测结果统计表  单位：</w:t>
            </w:r>
            <w:r>
              <w:rPr>
                <w:rFonts w:hint="default" w:ascii="Times New Roman" w:hAnsi="Times New Roman" w:cs="Times New Roman"/>
                <w:b/>
                <w:color w:val="auto"/>
                <w:szCs w:val="21"/>
                <w:shd w:val="clear" w:color="auto" w:fill="FFFFFF"/>
              </w:rPr>
              <w:t>μg</w:t>
            </w:r>
            <w:r>
              <w:rPr>
                <w:rFonts w:hint="default" w:ascii="Times New Roman" w:hAnsi="Times New Roman" w:cs="Times New Roman"/>
                <w:b/>
                <w:color w:val="auto"/>
                <w:szCs w:val="21"/>
              </w:rPr>
              <w:t>/m</w:t>
            </w:r>
            <w:r>
              <w:rPr>
                <w:rFonts w:hint="default" w:ascii="Times New Roman" w:hAnsi="Times New Roman" w:cs="Times New Roman"/>
                <w:b/>
                <w:color w:val="auto"/>
                <w:szCs w:val="21"/>
                <w:vertAlign w:val="superscript"/>
              </w:rPr>
              <w:t>3</w:t>
            </w:r>
          </w:p>
          <w:tbl>
            <w:tblPr>
              <w:tblStyle w:val="3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2719"/>
              <w:gridCol w:w="1170"/>
              <w:gridCol w:w="1170"/>
              <w:gridCol w:w="1162"/>
              <w:gridCol w:w="999"/>
            </w:tblGrid>
            <w:tr w14:paraId="0376BC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63" w:type="pct"/>
                  <w:noWrap w:val="0"/>
                  <w:vAlign w:val="center"/>
                </w:tcPr>
                <w:p w14:paraId="458159EC">
                  <w:pPr>
                    <w:jc w:val="center"/>
                    <w:rPr>
                      <w:rFonts w:ascii="Times New Roman" w:hAnsi="Times New Roman" w:cs="Times New Roman"/>
                      <w:bCs/>
                      <w:color w:val="auto"/>
                      <w:szCs w:val="21"/>
                    </w:rPr>
                  </w:pPr>
                  <w:r>
                    <w:rPr>
                      <w:rFonts w:ascii="Times New Roman" w:hAnsi="Times New Roman" w:cs="Times New Roman"/>
                      <w:bCs/>
                      <w:color w:val="auto"/>
                      <w:szCs w:val="21"/>
                    </w:rPr>
                    <w:t>污染物</w:t>
                  </w:r>
                </w:p>
              </w:tc>
              <w:tc>
                <w:tcPr>
                  <w:tcW w:w="1671" w:type="pct"/>
                  <w:noWrap w:val="0"/>
                  <w:vAlign w:val="center"/>
                </w:tcPr>
                <w:p w14:paraId="17E5F981">
                  <w:pPr>
                    <w:jc w:val="center"/>
                    <w:rPr>
                      <w:rFonts w:ascii="Times New Roman" w:hAnsi="Times New Roman" w:cs="Times New Roman"/>
                      <w:bCs/>
                      <w:color w:val="auto"/>
                      <w:szCs w:val="21"/>
                    </w:rPr>
                  </w:pPr>
                  <w:r>
                    <w:rPr>
                      <w:rFonts w:ascii="Times New Roman" w:hAnsi="Times New Roman" w:cs="Times New Roman"/>
                      <w:bCs/>
                      <w:color w:val="auto"/>
                      <w:szCs w:val="21"/>
                    </w:rPr>
                    <w:t>年评价指标</w:t>
                  </w:r>
                </w:p>
              </w:tc>
              <w:tc>
                <w:tcPr>
                  <w:tcW w:w="719" w:type="pct"/>
                  <w:noWrap w:val="0"/>
                  <w:vAlign w:val="center"/>
                </w:tcPr>
                <w:p w14:paraId="748B2E6B">
                  <w:pPr>
                    <w:jc w:val="center"/>
                    <w:rPr>
                      <w:rFonts w:ascii="Times New Roman" w:hAnsi="Times New Roman" w:cs="Times New Roman"/>
                      <w:bCs/>
                      <w:color w:val="auto"/>
                      <w:szCs w:val="21"/>
                    </w:rPr>
                  </w:pPr>
                  <w:r>
                    <w:rPr>
                      <w:rFonts w:ascii="Times New Roman" w:hAnsi="Times New Roman" w:cs="Times New Roman"/>
                      <w:bCs/>
                      <w:color w:val="auto"/>
                      <w:szCs w:val="21"/>
                    </w:rPr>
                    <w:t>现状浓度（μg/m</w:t>
                  </w:r>
                  <w:r>
                    <w:rPr>
                      <w:rFonts w:ascii="Times New Roman" w:hAnsi="Times New Roman" w:cs="Times New Roman"/>
                      <w:bCs/>
                      <w:color w:val="auto"/>
                      <w:szCs w:val="21"/>
                      <w:vertAlign w:val="superscript"/>
                    </w:rPr>
                    <w:t>3</w:t>
                  </w:r>
                  <w:r>
                    <w:rPr>
                      <w:rFonts w:ascii="Times New Roman" w:hAnsi="Times New Roman" w:cs="Times New Roman"/>
                      <w:bCs/>
                      <w:color w:val="auto"/>
                      <w:szCs w:val="21"/>
                    </w:rPr>
                    <w:t>）</w:t>
                  </w:r>
                </w:p>
              </w:tc>
              <w:tc>
                <w:tcPr>
                  <w:tcW w:w="719" w:type="pct"/>
                  <w:noWrap w:val="0"/>
                  <w:vAlign w:val="center"/>
                </w:tcPr>
                <w:p w14:paraId="0F040D97">
                  <w:pPr>
                    <w:jc w:val="center"/>
                    <w:rPr>
                      <w:rFonts w:ascii="Times New Roman" w:hAnsi="Times New Roman" w:cs="Times New Roman"/>
                      <w:bCs/>
                      <w:color w:val="auto"/>
                      <w:szCs w:val="21"/>
                    </w:rPr>
                  </w:pPr>
                  <w:r>
                    <w:rPr>
                      <w:rFonts w:ascii="Times New Roman" w:hAnsi="Times New Roman" w:cs="Times New Roman"/>
                      <w:bCs/>
                      <w:color w:val="auto"/>
                      <w:szCs w:val="21"/>
                    </w:rPr>
                    <w:t>标准值（μg/m</w:t>
                  </w:r>
                  <w:r>
                    <w:rPr>
                      <w:rFonts w:ascii="Times New Roman" w:hAnsi="Times New Roman" w:cs="Times New Roman"/>
                      <w:bCs/>
                      <w:color w:val="auto"/>
                      <w:szCs w:val="21"/>
                      <w:vertAlign w:val="superscript"/>
                    </w:rPr>
                    <w:t>3</w:t>
                  </w:r>
                  <w:r>
                    <w:rPr>
                      <w:rFonts w:ascii="Times New Roman" w:hAnsi="Times New Roman" w:cs="Times New Roman"/>
                      <w:bCs/>
                      <w:color w:val="auto"/>
                      <w:szCs w:val="21"/>
                    </w:rPr>
                    <w:t>）</w:t>
                  </w:r>
                </w:p>
              </w:tc>
              <w:tc>
                <w:tcPr>
                  <w:tcW w:w="714" w:type="pct"/>
                  <w:noWrap w:val="0"/>
                  <w:vAlign w:val="center"/>
                </w:tcPr>
                <w:p w14:paraId="4B86E01A">
                  <w:pPr>
                    <w:jc w:val="center"/>
                    <w:rPr>
                      <w:rFonts w:ascii="Times New Roman" w:hAnsi="Times New Roman" w:cs="Times New Roman"/>
                      <w:bCs/>
                      <w:color w:val="auto"/>
                      <w:szCs w:val="21"/>
                    </w:rPr>
                  </w:pPr>
                  <w:r>
                    <w:rPr>
                      <w:rFonts w:ascii="Times New Roman" w:hAnsi="Times New Roman" w:cs="Times New Roman"/>
                      <w:bCs/>
                      <w:color w:val="auto"/>
                      <w:szCs w:val="21"/>
                    </w:rPr>
                    <w:t>占标率（%）</w:t>
                  </w:r>
                </w:p>
              </w:tc>
              <w:tc>
                <w:tcPr>
                  <w:tcW w:w="615" w:type="pct"/>
                  <w:noWrap w:val="0"/>
                  <w:vAlign w:val="center"/>
                </w:tcPr>
                <w:p w14:paraId="446666F7">
                  <w:pPr>
                    <w:jc w:val="center"/>
                    <w:rPr>
                      <w:rFonts w:ascii="Times New Roman" w:hAnsi="Times New Roman" w:cs="Times New Roman"/>
                      <w:bCs/>
                      <w:color w:val="auto"/>
                      <w:szCs w:val="21"/>
                    </w:rPr>
                  </w:pPr>
                  <w:r>
                    <w:rPr>
                      <w:rFonts w:ascii="Times New Roman" w:hAnsi="Times New Roman" w:cs="Times New Roman"/>
                      <w:bCs/>
                      <w:color w:val="auto"/>
                      <w:szCs w:val="21"/>
                    </w:rPr>
                    <w:t>达标情况</w:t>
                  </w:r>
                </w:p>
              </w:tc>
            </w:tr>
            <w:tr w14:paraId="1688CF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63" w:type="pct"/>
                  <w:noWrap w:val="0"/>
                  <w:vAlign w:val="center"/>
                </w:tcPr>
                <w:p w14:paraId="27359979">
                  <w:pPr>
                    <w:jc w:val="center"/>
                    <w:rPr>
                      <w:rFonts w:ascii="Times New Roman" w:hAnsi="Times New Roman" w:cs="Times New Roman"/>
                      <w:bCs/>
                      <w:color w:val="auto"/>
                      <w:szCs w:val="21"/>
                    </w:rPr>
                  </w:pPr>
                  <w:r>
                    <w:rPr>
                      <w:rFonts w:ascii="Times New Roman" w:hAnsi="Times New Roman" w:cs="Times New Roman"/>
                      <w:bCs/>
                      <w:color w:val="auto"/>
                      <w:szCs w:val="21"/>
                    </w:rPr>
                    <w:t>SO</w:t>
                  </w:r>
                  <w:r>
                    <w:rPr>
                      <w:rFonts w:ascii="Times New Roman" w:hAnsi="Times New Roman" w:cs="Times New Roman"/>
                      <w:bCs/>
                      <w:color w:val="auto"/>
                      <w:szCs w:val="21"/>
                      <w:vertAlign w:val="subscript"/>
                    </w:rPr>
                    <w:t>2</w:t>
                  </w:r>
                </w:p>
              </w:tc>
              <w:tc>
                <w:tcPr>
                  <w:tcW w:w="1671" w:type="pct"/>
                  <w:noWrap w:val="0"/>
                  <w:vAlign w:val="center"/>
                </w:tcPr>
                <w:p w14:paraId="2D57DDF7">
                  <w:pPr>
                    <w:jc w:val="center"/>
                    <w:rPr>
                      <w:rFonts w:ascii="Times New Roman" w:hAnsi="Times New Roman" w:cs="Times New Roman"/>
                      <w:bCs/>
                      <w:color w:val="auto"/>
                      <w:szCs w:val="21"/>
                    </w:rPr>
                  </w:pPr>
                  <w:r>
                    <w:rPr>
                      <w:rFonts w:ascii="Times New Roman" w:hAnsi="Times New Roman" w:cs="Times New Roman"/>
                      <w:bCs/>
                      <w:color w:val="auto"/>
                      <w:szCs w:val="21"/>
                    </w:rPr>
                    <w:t>年平均质量浓度</w:t>
                  </w:r>
                </w:p>
              </w:tc>
              <w:tc>
                <w:tcPr>
                  <w:tcW w:w="719" w:type="pct"/>
                  <w:noWrap w:val="0"/>
                  <w:vAlign w:val="center"/>
                </w:tcPr>
                <w:p w14:paraId="6047BC30">
                  <w:pPr>
                    <w:jc w:val="center"/>
                    <w:rPr>
                      <w:rFonts w:ascii="Times New Roman" w:hAnsi="Times New Roman" w:cs="Times New Roman"/>
                      <w:bCs/>
                      <w:color w:val="auto"/>
                      <w:szCs w:val="21"/>
                    </w:rPr>
                  </w:pPr>
                  <w:r>
                    <w:rPr>
                      <w:rFonts w:ascii="Times New Roman" w:hAnsi="Times New Roman" w:cs="Times New Roman"/>
                      <w:bCs/>
                      <w:color w:val="auto"/>
                      <w:szCs w:val="21"/>
                    </w:rPr>
                    <w:t>9</w:t>
                  </w:r>
                </w:p>
              </w:tc>
              <w:tc>
                <w:tcPr>
                  <w:tcW w:w="719" w:type="pct"/>
                  <w:noWrap w:val="0"/>
                  <w:vAlign w:val="center"/>
                </w:tcPr>
                <w:p w14:paraId="1DD6B535">
                  <w:pPr>
                    <w:jc w:val="center"/>
                    <w:rPr>
                      <w:rFonts w:ascii="Times New Roman" w:hAnsi="Times New Roman" w:cs="Times New Roman"/>
                      <w:bCs/>
                      <w:color w:val="auto"/>
                      <w:szCs w:val="21"/>
                    </w:rPr>
                  </w:pPr>
                  <w:r>
                    <w:rPr>
                      <w:rFonts w:ascii="Times New Roman" w:hAnsi="Times New Roman" w:cs="Times New Roman"/>
                      <w:bCs/>
                      <w:color w:val="auto"/>
                      <w:szCs w:val="21"/>
                    </w:rPr>
                    <w:t>60</w:t>
                  </w:r>
                </w:p>
              </w:tc>
              <w:tc>
                <w:tcPr>
                  <w:tcW w:w="714" w:type="pct"/>
                  <w:noWrap w:val="0"/>
                  <w:vAlign w:val="center"/>
                </w:tcPr>
                <w:p w14:paraId="664BF47F">
                  <w:pPr>
                    <w:jc w:val="center"/>
                    <w:rPr>
                      <w:rFonts w:ascii="Times New Roman" w:hAnsi="Times New Roman" w:cs="Times New Roman"/>
                      <w:bCs/>
                      <w:color w:val="auto"/>
                      <w:szCs w:val="21"/>
                    </w:rPr>
                  </w:pPr>
                  <w:r>
                    <w:rPr>
                      <w:rFonts w:ascii="Times New Roman" w:hAnsi="Times New Roman" w:cs="Times New Roman"/>
                      <w:bCs/>
                      <w:color w:val="auto"/>
                      <w:szCs w:val="21"/>
                    </w:rPr>
                    <w:t>15.0</w:t>
                  </w:r>
                </w:p>
              </w:tc>
              <w:tc>
                <w:tcPr>
                  <w:tcW w:w="615" w:type="pct"/>
                  <w:noWrap w:val="0"/>
                  <w:vAlign w:val="center"/>
                </w:tcPr>
                <w:p w14:paraId="65EB20FC">
                  <w:pPr>
                    <w:jc w:val="center"/>
                    <w:rPr>
                      <w:rFonts w:ascii="Times New Roman" w:hAnsi="Times New Roman" w:cs="Times New Roman"/>
                      <w:bCs/>
                      <w:color w:val="auto"/>
                      <w:szCs w:val="21"/>
                    </w:rPr>
                  </w:pPr>
                  <w:r>
                    <w:rPr>
                      <w:rFonts w:ascii="Times New Roman" w:hAnsi="Times New Roman" w:cs="Times New Roman"/>
                      <w:bCs/>
                      <w:color w:val="auto"/>
                      <w:szCs w:val="21"/>
                    </w:rPr>
                    <w:t>达标</w:t>
                  </w:r>
                </w:p>
              </w:tc>
            </w:tr>
            <w:tr w14:paraId="3B1506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63" w:type="pct"/>
                  <w:noWrap w:val="0"/>
                  <w:vAlign w:val="center"/>
                </w:tcPr>
                <w:p w14:paraId="4F2A0527">
                  <w:pPr>
                    <w:jc w:val="center"/>
                    <w:rPr>
                      <w:rFonts w:ascii="Times New Roman" w:hAnsi="Times New Roman" w:cs="Times New Roman"/>
                      <w:bCs/>
                      <w:color w:val="auto"/>
                      <w:szCs w:val="21"/>
                    </w:rPr>
                  </w:pPr>
                  <w:r>
                    <w:rPr>
                      <w:rFonts w:ascii="Times New Roman" w:hAnsi="Times New Roman" w:cs="Times New Roman"/>
                      <w:bCs/>
                      <w:color w:val="auto"/>
                      <w:szCs w:val="21"/>
                    </w:rPr>
                    <w:t>NO</w:t>
                  </w:r>
                  <w:r>
                    <w:rPr>
                      <w:rFonts w:ascii="Times New Roman" w:hAnsi="Times New Roman" w:cs="Times New Roman"/>
                      <w:bCs/>
                      <w:color w:val="auto"/>
                      <w:szCs w:val="21"/>
                      <w:vertAlign w:val="subscript"/>
                    </w:rPr>
                    <w:t>2</w:t>
                  </w:r>
                </w:p>
              </w:tc>
              <w:tc>
                <w:tcPr>
                  <w:tcW w:w="1671" w:type="pct"/>
                  <w:noWrap w:val="0"/>
                  <w:vAlign w:val="center"/>
                </w:tcPr>
                <w:p w14:paraId="1D760AD4">
                  <w:pPr>
                    <w:jc w:val="center"/>
                    <w:rPr>
                      <w:rFonts w:ascii="Times New Roman" w:hAnsi="Times New Roman" w:cs="Times New Roman"/>
                      <w:bCs/>
                      <w:color w:val="auto"/>
                      <w:szCs w:val="21"/>
                    </w:rPr>
                  </w:pPr>
                  <w:r>
                    <w:rPr>
                      <w:rFonts w:ascii="Times New Roman" w:hAnsi="Times New Roman" w:cs="Times New Roman"/>
                      <w:bCs/>
                      <w:color w:val="auto"/>
                      <w:szCs w:val="21"/>
                    </w:rPr>
                    <w:t>年平均质量浓度</w:t>
                  </w:r>
                </w:p>
              </w:tc>
              <w:tc>
                <w:tcPr>
                  <w:tcW w:w="719" w:type="pct"/>
                  <w:noWrap w:val="0"/>
                  <w:vAlign w:val="center"/>
                </w:tcPr>
                <w:p w14:paraId="1D40B2F1">
                  <w:pPr>
                    <w:jc w:val="center"/>
                    <w:rPr>
                      <w:rFonts w:ascii="Times New Roman" w:hAnsi="Times New Roman" w:cs="Times New Roman"/>
                      <w:bCs/>
                      <w:color w:val="auto"/>
                      <w:szCs w:val="21"/>
                    </w:rPr>
                  </w:pPr>
                  <w:r>
                    <w:rPr>
                      <w:rFonts w:ascii="Times New Roman" w:hAnsi="Times New Roman" w:cs="Times New Roman"/>
                      <w:bCs/>
                      <w:color w:val="auto"/>
                      <w:szCs w:val="21"/>
                    </w:rPr>
                    <w:t>21</w:t>
                  </w:r>
                </w:p>
              </w:tc>
              <w:tc>
                <w:tcPr>
                  <w:tcW w:w="719" w:type="pct"/>
                  <w:noWrap w:val="0"/>
                  <w:vAlign w:val="center"/>
                </w:tcPr>
                <w:p w14:paraId="7441AE87">
                  <w:pPr>
                    <w:jc w:val="center"/>
                    <w:rPr>
                      <w:rFonts w:ascii="Times New Roman" w:hAnsi="Times New Roman" w:cs="Times New Roman"/>
                      <w:bCs/>
                      <w:color w:val="auto"/>
                      <w:szCs w:val="21"/>
                    </w:rPr>
                  </w:pPr>
                  <w:r>
                    <w:rPr>
                      <w:rFonts w:ascii="Times New Roman" w:hAnsi="Times New Roman" w:cs="Times New Roman"/>
                      <w:bCs/>
                      <w:color w:val="auto"/>
                      <w:szCs w:val="21"/>
                    </w:rPr>
                    <w:t>40</w:t>
                  </w:r>
                </w:p>
              </w:tc>
              <w:tc>
                <w:tcPr>
                  <w:tcW w:w="714" w:type="pct"/>
                  <w:noWrap w:val="0"/>
                  <w:vAlign w:val="center"/>
                </w:tcPr>
                <w:p w14:paraId="2F60F40D">
                  <w:pPr>
                    <w:jc w:val="center"/>
                    <w:rPr>
                      <w:rFonts w:ascii="Times New Roman" w:hAnsi="Times New Roman" w:cs="Times New Roman"/>
                      <w:bCs/>
                      <w:color w:val="auto"/>
                      <w:szCs w:val="21"/>
                    </w:rPr>
                  </w:pPr>
                  <w:r>
                    <w:rPr>
                      <w:rFonts w:ascii="Times New Roman" w:hAnsi="Times New Roman" w:cs="Times New Roman"/>
                      <w:bCs/>
                      <w:color w:val="auto"/>
                      <w:szCs w:val="21"/>
                    </w:rPr>
                    <w:t>52.5</w:t>
                  </w:r>
                </w:p>
              </w:tc>
              <w:tc>
                <w:tcPr>
                  <w:tcW w:w="615" w:type="pct"/>
                  <w:noWrap w:val="0"/>
                  <w:vAlign w:val="center"/>
                </w:tcPr>
                <w:p w14:paraId="265C0DEF">
                  <w:pPr>
                    <w:jc w:val="center"/>
                    <w:rPr>
                      <w:rFonts w:ascii="Times New Roman" w:hAnsi="Times New Roman" w:cs="Times New Roman"/>
                      <w:bCs/>
                      <w:color w:val="auto"/>
                      <w:szCs w:val="21"/>
                    </w:rPr>
                  </w:pPr>
                  <w:r>
                    <w:rPr>
                      <w:rFonts w:ascii="Times New Roman" w:hAnsi="Times New Roman" w:cs="Times New Roman"/>
                      <w:bCs/>
                      <w:color w:val="auto"/>
                      <w:szCs w:val="21"/>
                    </w:rPr>
                    <w:t>达标</w:t>
                  </w:r>
                </w:p>
              </w:tc>
            </w:tr>
            <w:tr w14:paraId="74CA31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63" w:type="pct"/>
                  <w:noWrap w:val="0"/>
                  <w:vAlign w:val="center"/>
                </w:tcPr>
                <w:p w14:paraId="5DE455A1">
                  <w:pPr>
                    <w:jc w:val="center"/>
                    <w:rPr>
                      <w:rFonts w:ascii="Times New Roman" w:hAnsi="Times New Roman" w:cs="Times New Roman"/>
                      <w:bCs/>
                      <w:color w:val="auto"/>
                      <w:szCs w:val="21"/>
                    </w:rPr>
                  </w:pPr>
                  <w:r>
                    <w:rPr>
                      <w:rFonts w:ascii="Times New Roman" w:hAnsi="Times New Roman" w:cs="Times New Roman"/>
                      <w:bCs/>
                      <w:color w:val="auto"/>
                      <w:szCs w:val="21"/>
                    </w:rPr>
                    <w:t>PM</w:t>
                  </w:r>
                  <w:r>
                    <w:rPr>
                      <w:rFonts w:ascii="Times New Roman" w:hAnsi="Times New Roman" w:cs="Times New Roman"/>
                      <w:bCs/>
                      <w:color w:val="auto"/>
                      <w:szCs w:val="21"/>
                      <w:vertAlign w:val="subscript"/>
                    </w:rPr>
                    <w:t>10</w:t>
                  </w:r>
                </w:p>
              </w:tc>
              <w:tc>
                <w:tcPr>
                  <w:tcW w:w="1671" w:type="pct"/>
                  <w:noWrap w:val="0"/>
                  <w:vAlign w:val="center"/>
                </w:tcPr>
                <w:p w14:paraId="41C8FA31">
                  <w:pPr>
                    <w:jc w:val="center"/>
                    <w:rPr>
                      <w:rFonts w:ascii="Times New Roman" w:hAnsi="Times New Roman" w:cs="Times New Roman"/>
                      <w:bCs/>
                      <w:color w:val="auto"/>
                      <w:szCs w:val="21"/>
                    </w:rPr>
                  </w:pPr>
                  <w:r>
                    <w:rPr>
                      <w:rFonts w:ascii="Times New Roman" w:hAnsi="Times New Roman" w:cs="Times New Roman"/>
                      <w:bCs/>
                      <w:color w:val="auto"/>
                      <w:szCs w:val="21"/>
                    </w:rPr>
                    <w:t>年平均质量浓度</w:t>
                  </w:r>
                </w:p>
              </w:tc>
              <w:tc>
                <w:tcPr>
                  <w:tcW w:w="719" w:type="pct"/>
                  <w:noWrap w:val="0"/>
                  <w:vAlign w:val="center"/>
                </w:tcPr>
                <w:p w14:paraId="10031D22">
                  <w:pPr>
                    <w:jc w:val="center"/>
                    <w:rPr>
                      <w:rFonts w:ascii="Times New Roman" w:hAnsi="Times New Roman" w:cs="Times New Roman"/>
                      <w:bCs/>
                      <w:color w:val="auto"/>
                      <w:szCs w:val="21"/>
                    </w:rPr>
                  </w:pPr>
                  <w:r>
                    <w:rPr>
                      <w:rFonts w:ascii="Times New Roman" w:hAnsi="Times New Roman" w:cs="Times New Roman"/>
                      <w:bCs/>
                      <w:color w:val="auto"/>
                      <w:szCs w:val="21"/>
                    </w:rPr>
                    <w:t>51</w:t>
                  </w:r>
                </w:p>
              </w:tc>
              <w:tc>
                <w:tcPr>
                  <w:tcW w:w="719" w:type="pct"/>
                  <w:noWrap w:val="0"/>
                  <w:vAlign w:val="center"/>
                </w:tcPr>
                <w:p w14:paraId="6443CC86">
                  <w:pPr>
                    <w:jc w:val="center"/>
                    <w:rPr>
                      <w:rFonts w:ascii="Times New Roman" w:hAnsi="Times New Roman" w:cs="Times New Roman"/>
                      <w:bCs/>
                      <w:color w:val="auto"/>
                      <w:szCs w:val="21"/>
                    </w:rPr>
                  </w:pPr>
                  <w:r>
                    <w:rPr>
                      <w:rFonts w:ascii="Times New Roman" w:hAnsi="Times New Roman" w:cs="Times New Roman"/>
                      <w:bCs/>
                      <w:color w:val="auto"/>
                      <w:szCs w:val="21"/>
                    </w:rPr>
                    <w:t>70</w:t>
                  </w:r>
                </w:p>
              </w:tc>
              <w:tc>
                <w:tcPr>
                  <w:tcW w:w="714" w:type="pct"/>
                  <w:noWrap w:val="0"/>
                  <w:vAlign w:val="center"/>
                </w:tcPr>
                <w:p w14:paraId="054B46AC">
                  <w:pPr>
                    <w:jc w:val="center"/>
                    <w:rPr>
                      <w:rFonts w:ascii="Times New Roman" w:hAnsi="Times New Roman" w:cs="Times New Roman"/>
                      <w:bCs/>
                      <w:color w:val="auto"/>
                      <w:szCs w:val="21"/>
                    </w:rPr>
                  </w:pPr>
                  <w:r>
                    <w:rPr>
                      <w:rFonts w:ascii="Times New Roman" w:hAnsi="Times New Roman" w:cs="Times New Roman"/>
                      <w:bCs/>
                      <w:color w:val="auto"/>
                      <w:szCs w:val="21"/>
                    </w:rPr>
                    <w:t>72.9</w:t>
                  </w:r>
                </w:p>
              </w:tc>
              <w:tc>
                <w:tcPr>
                  <w:tcW w:w="615" w:type="pct"/>
                  <w:noWrap w:val="0"/>
                  <w:vAlign w:val="center"/>
                </w:tcPr>
                <w:p w14:paraId="0B743B13">
                  <w:pPr>
                    <w:jc w:val="center"/>
                    <w:rPr>
                      <w:rFonts w:ascii="Times New Roman" w:hAnsi="Times New Roman" w:cs="Times New Roman"/>
                      <w:bCs/>
                      <w:color w:val="auto"/>
                      <w:szCs w:val="21"/>
                    </w:rPr>
                  </w:pPr>
                  <w:r>
                    <w:rPr>
                      <w:rFonts w:ascii="Times New Roman" w:hAnsi="Times New Roman" w:cs="Times New Roman"/>
                      <w:bCs/>
                      <w:color w:val="auto"/>
                      <w:szCs w:val="21"/>
                    </w:rPr>
                    <w:t>达标</w:t>
                  </w:r>
                </w:p>
              </w:tc>
            </w:tr>
            <w:tr w14:paraId="69F083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63" w:type="pct"/>
                  <w:noWrap w:val="0"/>
                  <w:vAlign w:val="center"/>
                </w:tcPr>
                <w:p w14:paraId="4A4493A8">
                  <w:pPr>
                    <w:jc w:val="center"/>
                    <w:rPr>
                      <w:rFonts w:ascii="Times New Roman" w:hAnsi="Times New Roman" w:cs="Times New Roman"/>
                      <w:bCs/>
                      <w:color w:val="auto"/>
                      <w:szCs w:val="21"/>
                    </w:rPr>
                  </w:pPr>
                  <w:r>
                    <w:rPr>
                      <w:rFonts w:ascii="Times New Roman" w:hAnsi="Times New Roman" w:cs="Times New Roman"/>
                      <w:bCs/>
                      <w:color w:val="auto"/>
                      <w:szCs w:val="21"/>
                    </w:rPr>
                    <w:t>PM</w:t>
                  </w:r>
                  <w:r>
                    <w:rPr>
                      <w:rFonts w:ascii="Times New Roman" w:hAnsi="Times New Roman" w:cs="Times New Roman"/>
                      <w:bCs/>
                      <w:color w:val="auto"/>
                      <w:szCs w:val="21"/>
                      <w:vertAlign w:val="subscript"/>
                    </w:rPr>
                    <w:t>2.5</w:t>
                  </w:r>
                </w:p>
              </w:tc>
              <w:tc>
                <w:tcPr>
                  <w:tcW w:w="1671" w:type="pct"/>
                  <w:noWrap w:val="0"/>
                  <w:vAlign w:val="center"/>
                </w:tcPr>
                <w:p w14:paraId="77F4B40C">
                  <w:pPr>
                    <w:jc w:val="center"/>
                    <w:rPr>
                      <w:rFonts w:ascii="Times New Roman" w:hAnsi="Times New Roman" w:cs="Times New Roman"/>
                      <w:bCs/>
                      <w:color w:val="auto"/>
                      <w:szCs w:val="21"/>
                    </w:rPr>
                  </w:pPr>
                  <w:r>
                    <w:rPr>
                      <w:rFonts w:ascii="Times New Roman" w:hAnsi="Times New Roman" w:cs="Times New Roman"/>
                      <w:bCs/>
                      <w:color w:val="auto"/>
                      <w:szCs w:val="21"/>
                    </w:rPr>
                    <w:t>年平均质量浓度</w:t>
                  </w:r>
                </w:p>
              </w:tc>
              <w:tc>
                <w:tcPr>
                  <w:tcW w:w="719" w:type="pct"/>
                  <w:noWrap w:val="0"/>
                  <w:vAlign w:val="center"/>
                </w:tcPr>
                <w:p w14:paraId="11568887">
                  <w:pPr>
                    <w:jc w:val="center"/>
                    <w:rPr>
                      <w:rFonts w:ascii="Times New Roman" w:hAnsi="Times New Roman" w:cs="Times New Roman"/>
                      <w:bCs/>
                      <w:color w:val="auto"/>
                      <w:szCs w:val="21"/>
                    </w:rPr>
                  </w:pPr>
                  <w:r>
                    <w:rPr>
                      <w:rFonts w:ascii="Times New Roman" w:hAnsi="Times New Roman" w:cs="Times New Roman"/>
                      <w:bCs/>
                      <w:color w:val="auto"/>
                      <w:szCs w:val="21"/>
                    </w:rPr>
                    <w:t>43</w:t>
                  </w:r>
                </w:p>
              </w:tc>
              <w:tc>
                <w:tcPr>
                  <w:tcW w:w="719" w:type="pct"/>
                  <w:noWrap w:val="0"/>
                  <w:vAlign w:val="center"/>
                </w:tcPr>
                <w:p w14:paraId="56C8D330">
                  <w:pPr>
                    <w:jc w:val="center"/>
                    <w:rPr>
                      <w:rFonts w:ascii="Times New Roman" w:hAnsi="Times New Roman" w:cs="Times New Roman"/>
                      <w:bCs/>
                      <w:color w:val="auto"/>
                      <w:szCs w:val="21"/>
                    </w:rPr>
                  </w:pPr>
                  <w:r>
                    <w:rPr>
                      <w:rFonts w:ascii="Times New Roman" w:hAnsi="Times New Roman" w:cs="Times New Roman"/>
                      <w:bCs/>
                      <w:color w:val="auto"/>
                      <w:szCs w:val="21"/>
                    </w:rPr>
                    <w:t>35</w:t>
                  </w:r>
                </w:p>
              </w:tc>
              <w:tc>
                <w:tcPr>
                  <w:tcW w:w="714" w:type="pct"/>
                  <w:noWrap w:val="0"/>
                  <w:vAlign w:val="center"/>
                </w:tcPr>
                <w:p w14:paraId="13BD41C9">
                  <w:pPr>
                    <w:jc w:val="center"/>
                    <w:rPr>
                      <w:rFonts w:ascii="Times New Roman" w:hAnsi="Times New Roman" w:cs="Times New Roman"/>
                      <w:b/>
                      <w:color w:val="auto"/>
                      <w:szCs w:val="21"/>
                    </w:rPr>
                  </w:pPr>
                  <w:r>
                    <w:rPr>
                      <w:rFonts w:ascii="Times New Roman" w:hAnsi="Times New Roman" w:cs="Times New Roman"/>
                      <w:b/>
                      <w:color w:val="auto"/>
                      <w:szCs w:val="21"/>
                    </w:rPr>
                    <w:t>122.9</w:t>
                  </w:r>
                </w:p>
              </w:tc>
              <w:tc>
                <w:tcPr>
                  <w:tcW w:w="615" w:type="pct"/>
                  <w:noWrap w:val="0"/>
                  <w:vAlign w:val="center"/>
                </w:tcPr>
                <w:p w14:paraId="33A76E68">
                  <w:pPr>
                    <w:jc w:val="center"/>
                    <w:rPr>
                      <w:rFonts w:ascii="Times New Roman" w:hAnsi="Times New Roman" w:cs="Times New Roman"/>
                      <w:b/>
                      <w:color w:val="auto"/>
                      <w:szCs w:val="21"/>
                    </w:rPr>
                  </w:pPr>
                  <w:r>
                    <w:rPr>
                      <w:rFonts w:ascii="Times New Roman" w:hAnsi="Times New Roman" w:cs="Times New Roman"/>
                      <w:b/>
                      <w:color w:val="auto"/>
                      <w:szCs w:val="21"/>
                    </w:rPr>
                    <w:t>超标</w:t>
                  </w:r>
                </w:p>
              </w:tc>
            </w:tr>
            <w:tr w14:paraId="1E7FDA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63" w:type="pct"/>
                  <w:noWrap w:val="0"/>
                  <w:vAlign w:val="center"/>
                </w:tcPr>
                <w:p w14:paraId="4D77F7B9">
                  <w:pPr>
                    <w:jc w:val="center"/>
                    <w:rPr>
                      <w:rFonts w:ascii="Times New Roman" w:hAnsi="Times New Roman" w:cs="Times New Roman"/>
                      <w:bCs/>
                      <w:color w:val="auto"/>
                      <w:szCs w:val="21"/>
                    </w:rPr>
                  </w:pPr>
                  <w:r>
                    <w:rPr>
                      <w:rFonts w:ascii="Times New Roman" w:hAnsi="Times New Roman" w:cs="Times New Roman"/>
                      <w:bCs/>
                      <w:color w:val="auto"/>
                      <w:szCs w:val="21"/>
                    </w:rPr>
                    <w:t>O</w:t>
                  </w:r>
                  <w:r>
                    <w:rPr>
                      <w:rFonts w:ascii="Times New Roman" w:hAnsi="Times New Roman" w:cs="Times New Roman"/>
                      <w:bCs/>
                      <w:color w:val="auto"/>
                      <w:szCs w:val="21"/>
                      <w:vertAlign w:val="subscript"/>
                    </w:rPr>
                    <w:t>3</w:t>
                  </w:r>
                </w:p>
              </w:tc>
              <w:tc>
                <w:tcPr>
                  <w:tcW w:w="1671" w:type="pct"/>
                  <w:noWrap w:val="0"/>
                  <w:vAlign w:val="center"/>
                </w:tcPr>
                <w:p w14:paraId="4377E140">
                  <w:pPr>
                    <w:jc w:val="center"/>
                    <w:rPr>
                      <w:rFonts w:ascii="Times New Roman" w:hAnsi="Times New Roman" w:cs="Times New Roman"/>
                      <w:bCs/>
                      <w:color w:val="auto"/>
                      <w:szCs w:val="21"/>
                    </w:rPr>
                  </w:pPr>
                  <w:r>
                    <w:rPr>
                      <w:rFonts w:ascii="Times New Roman" w:hAnsi="Times New Roman" w:cs="Times New Roman"/>
                      <w:bCs/>
                      <w:color w:val="auto"/>
                      <w:szCs w:val="21"/>
                    </w:rPr>
                    <w:t>日最大8h滑动平均质量浓度第90百分位数</w:t>
                  </w:r>
                </w:p>
              </w:tc>
              <w:tc>
                <w:tcPr>
                  <w:tcW w:w="719" w:type="pct"/>
                  <w:noWrap w:val="0"/>
                  <w:vAlign w:val="center"/>
                </w:tcPr>
                <w:p w14:paraId="267AB177">
                  <w:pPr>
                    <w:jc w:val="center"/>
                    <w:rPr>
                      <w:rFonts w:ascii="Times New Roman" w:hAnsi="Times New Roman" w:cs="Times New Roman"/>
                      <w:bCs/>
                      <w:color w:val="auto"/>
                      <w:szCs w:val="21"/>
                    </w:rPr>
                  </w:pPr>
                  <w:r>
                    <w:rPr>
                      <w:rFonts w:ascii="Times New Roman" w:hAnsi="Times New Roman" w:cs="Times New Roman"/>
                      <w:bCs/>
                      <w:color w:val="auto"/>
                      <w:szCs w:val="21"/>
                    </w:rPr>
                    <w:t>162</w:t>
                  </w:r>
                </w:p>
              </w:tc>
              <w:tc>
                <w:tcPr>
                  <w:tcW w:w="719" w:type="pct"/>
                  <w:noWrap w:val="0"/>
                  <w:vAlign w:val="center"/>
                </w:tcPr>
                <w:p w14:paraId="1196CC86">
                  <w:pPr>
                    <w:jc w:val="center"/>
                    <w:rPr>
                      <w:rFonts w:ascii="Times New Roman" w:hAnsi="Times New Roman" w:cs="Times New Roman"/>
                      <w:bCs/>
                      <w:color w:val="auto"/>
                      <w:szCs w:val="21"/>
                    </w:rPr>
                  </w:pPr>
                  <w:r>
                    <w:rPr>
                      <w:rFonts w:ascii="Times New Roman" w:hAnsi="Times New Roman" w:cs="Times New Roman"/>
                      <w:bCs/>
                      <w:color w:val="auto"/>
                      <w:szCs w:val="21"/>
                    </w:rPr>
                    <w:t>160</w:t>
                  </w:r>
                </w:p>
              </w:tc>
              <w:tc>
                <w:tcPr>
                  <w:tcW w:w="714" w:type="pct"/>
                  <w:noWrap w:val="0"/>
                  <w:vAlign w:val="center"/>
                </w:tcPr>
                <w:p w14:paraId="0BFCDCAF">
                  <w:pPr>
                    <w:jc w:val="center"/>
                    <w:rPr>
                      <w:rFonts w:ascii="Times New Roman" w:hAnsi="Times New Roman" w:cs="Times New Roman"/>
                      <w:bCs/>
                      <w:color w:val="auto"/>
                      <w:szCs w:val="21"/>
                    </w:rPr>
                  </w:pPr>
                  <w:r>
                    <w:rPr>
                      <w:rFonts w:ascii="Times New Roman" w:hAnsi="Times New Roman" w:cs="Times New Roman"/>
                      <w:b/>
                      <w:color w:val="auto"/>
                      <w:szCs w:val="21"/>
                    </w:rPr>
                    <w:t>101.3</w:t>
                  </w:r>
                </w:p>
              </w:tc>
              <w:tc>
                <w:tcPr>
                  <w:tcW w:w="615" w:type="pct"/>
                  <w:noWrap w:val="0"/>
                  <w:vAlign w:val="center"/>
                </w:tcPr>
                <w:p w14:paraId="54FD689B">
                  <w:pPr>
                    <w:jc w:val="center"/>
                    <w:rPr>
                      <w:rFonts w:ascii="Times New Roman" w:hAnsi="Times New Roman" w:cs="Times New Roman"/>
                      <w:bCs/>
                      <w:color w:val="auto"/>
                      <w:szCs w:val="21"/>
                    </w:rPr>
                  </w:pPr>
                  <w:r>
                    <w:rPr>
                      <w:rFonts w:ascii="Times New Roman" w:hAnsi="Times New Roman" w:cs="Times New Roman"/>
                      <w:b/>
                      <w:color w:val="auto"/>
                      <w:szCs w:val="21"/>
                    </w:rPr>
                    <w:t>超标</w:t>
                  </w:r>
                </w:p>
              </w:tc>
            </w:tr>
            <w:tr w14:paraId="7A4B50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63" w:type="pct"/>
                  <w:noWrap w:val="0"/>
                  <w:vAlign w:val="center"/>
                </w:tcPr>
                <w:p w14:paraId="60CD78C5">
                  <w:pPr>
                    <w:jc w:val="center"/>
                    <w:rPr>
                      <w:rFonts w:ascii="Times New Roman" w:hAnsi="Times New Roman" w:cs="Times New Roman"/>
                      <w:bCs/>
                      <w:color w:val="auto"/>
                      <w:szCs w:val="21"/>
                    </w:rPr>
                  </w:pPr>
                  <w:r>
                    <w:rPr>
                      <w:rFonts w:ascii="Times New Roman" w:hAnsi="Times New Roman" w:cs="Times New Roman"/>
                      <w:bCs/>
                      <w:color w:val="auto"/>
                      <w:szCs w:val="21"/>
                    </w:rPr>
                    <w:t>CO</w:t>
                  </w:r>
                </w:p>
              </w:tc>
              <w:tc>
                <w:tcPr>
                  <w:tcW w:w="1671" w:type="pct"/>
                  <w:noWrap w:val="0"/>
                  <w:vAlign w:val="center"/>
                </w:tcPr>
                <w:p w14:paraId="05494383">
                  <w:pPr>
                    <w:jc w:val="center"/>
                    <w:rPr>
                      <w:rFonts w:ascii="Times New Roman" w:hAnsi="Times New Roman" w:cs="Times New Roman"/>
                      <w:bCs/>
                      <w:color w:val="auto"/>
                      <w:szCs w:val="21"/>
                    </w:rPr>
                  </w:pPr>
                  <w:r>
                    <w:rPr>
                      <w:rFonts w:ascii="Times New Roman" w:hAnsi="Times New Roman" w:cs="Times New Roman"/>
                      <w:bCs/>
                      <w:color w:val="auto"/>
                      <w:szCs w:val="21"/>
                    </w:rPr>
                    <w:t>24小时平均第95百分位数</w:t>
                  </w:r>
                </w:p>
              </w:tc>
              <w:tc>
                <w:tcPr>
                  <w:tcW w:w="719" w:type="pct"/>
                  <w:noWrap w:val="0"/>
                  <w:vAlign w:val="center"/>
                </w:tcPr>
                <w:p w14:paraId="022DD070">
                  <w:pPr>
                    <w:jc w:val="center"/>
                    <w:rPr>
                      <w:rFonts w:ascii="Times New Roman" w:hAnsi="Times New Roman" w:cs="Times New Roman"/>
                      <w:bCs/>
                      <w:color w:val="auto"/>
                      <w:szCs w:val="21"/>
                    </w:rPr>
                  </w:pPr>
                  <w:r>
                    <w:rPr>
                      <w:rFonts w:ascii="Times New Roman" w:hAnsi="Times New Roman" w:cs="Times New Roman"/>
                      <w:bCs/>
                      <w:color w:val="auto"/>
                      <w:szCs w:val="21"/>
                    </w:rPr>
                    <w:t>1.0mg/m</w:t>
                  </w:r>
                  <w:r>
                    <w:rPr>
                      <w:rFonts w:ascii="Times New Roman" w:hAnsi="Times New Roman" w:cs="Times New Roman"/>
                      <w:bCs/>
                      <w:color w:val="auto"/>
                      <w:szCs w:val="21"/>
                      <w:vertAlign w:val="superscript"/>
                    </w:rPr>
                    <w:t>3</w:t>
                  </w:r>
                </w:p>
              </w:tc>
              <w:tc>
                <w:tcPr>
                  <w:tcW w:w="719" w:type="pct"/>
                  <w:noWrap w:val="0"/>
                  <w:vAlign w:val="center"/>
                </w:tcPr>
                <w:p w14:paraId="61778578">
                  <w:pPr>
                    <w:jc w:val="center"/>
                    <w:rPr>
                      <w:rFonts w:ascii="Times New Roman" w:hAnsi="Times New Roman" w:cs="Times New Roman"/>
                      <w:bCs/>
                      <w:color w:val="auto"/>
                      <w:szCs w:val="21"/>
                    </w:rPr>
                  </w:pPr>
                  <w:r>
                    <w:rPr>
                      <w:rFonts w:ascii="Times New Roman" w:hAnsi="Times New Roman" w:cs="Times New Roman"/>
                      <w:bCs/>
                      <w:color w:val="auto"/>
                      <w:szCs w:val="21"/>
                    </w:rPr>
                    <w:t>4mg/m</w:t>
                  </w:r>
                  <w:r>
                    <w:rPr>
                      <w:rFonts w:ascii="Times New Roman" w:hAnsi="Times New Roman" w:cs="Times New Roman"/>
                      <w:bCs/>
                      <w:color w:val="auto"/>
                      <w:szCs w:val="21"/>
                      <w:vertAlign w:val="superscript"/>
                    </w:rPr>
                    <w:t>3</w:t>
                  </w:r>
                </w:p>
              </w:tc>
              <w:tc>
                <w:tcPr>
                  <w:tcW w:w="714" w:type="pct"/>
                  <w:noWrap w:val="0"/>
                  <w:vAlign w:val="center"/>
                </w:tcPr>
                <w:p w14:paraId="79F4F5EA">
                  <w:pPr>
                    <w:jc w:val="center"/>
                    <w:rPr>
                      <w:rFonts w:ascii="Times New Roman" w:hAnsi="Times New Roman" w:cs="Times New Roman"/>
                      <w:bCs/>
                      <w:color w:val="auto"/>
                      <w:szCs w:val="21"/>
                    </w:rPr>
                  </w:pPr>
                  <w:r>
                    <w:rPr>
                      <w:rFonts w:ascii="Times New Roman" w:hAnsi="Times New Roman" w:cs="Times New Roman"/>
                      <w:bCs/>
                      <w:color w:val="auto"/>
                      <w:szCs w:val="21"/>
                    </w:rPr>
                    <w:t>25.0</w:t>
                  </w:r>
                </w:p>
              </w:tc>
              <w:tc>
                <w:tcPr>
                  <w:tcW w:w="615" w:type="pct"/>
                  <w:noWrap w:val="0"/>
                  <w:vAlign w:val="center"/>
                </w:tcPr>
                <w:p w14:paraId="47819EE1">
                  <w:pPr>
                    <w:jc w:val="center"/>
                    <w:rPr>
                      <w:rFonts w:ascii="Times New Roman" w:hAnsi="Times New Roman" w:cs="Times New Roman"/>
                      <w:bCs/>
                      <w:color w:val="auto"/>
                      <w:szCs w:val="21"/>
                    </w:rPr>
                  </w:pPr>
                  <w:r>
                    <w:rPr>
                      <w:rFonts w:ascii="Times New Roman" w:hAnsi="Times New Roman" w:cs="Times New Roman"/>
                      <w:bCs/>
                      <w:color w:val="auto"/>
                      <w:szCs w:val="21"/>
                    </w:rPr>
                    <w:t>达标</w:t>
                  </w:r>
                </w:p>
              </w:tc>
            </w:tr>
          </w:tbl>
          <w:p w14:paraId="5616ADE0">
            <w:pPr>
              <w:widowControl w:val="0"/>
              <w:spacing w:line="360" w:lineRule="auto"/>
              <w:ind w:firstLine="420" w:firstLineChars="200"/>
              <w:jc w:val="both"/>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由表3-1可知，项目所在区域基本污染物中</w:t>
            </w:r>
            <w:r>
              <w:rPr>
                <w:rFonts w:ascii="Times New Roman" w:hAnsi="Times New Roman" w:eastAsia="宋体" w:cs="Times New Roman"/>
                <w:bCs/>
                <w:color w:val="auto"/>
                <w:kern w:val="2"/>
                <w:sz w:val="21"/>
                <w:szCs w:val="21"/>
                <w:lang w:val="en-US" w:eastAsia="zh-CN" w:bidi="ar-SA"/>
              </w:rPr>
              <w:t>SO</w:t>
            </w:r>
            <w:r>
              <w:rPr>
                <w:rFonts w:ascii="Times New Roman" w:hAnsi="Times New Roman" w:eastAsia="宋体" w:cs="Times New Roman"/>
                <w:bCs/>
                <w:color w:val="auto"/>
                <w:kern w:val="2"/>
                <w:sz w:val="21"/>
                <w:szCs w:val="21"/>
                <w:vertAlign w:val="subscript"/>
                <w:lang w:val="en-US" w:eastAsia="zh-CN" w:bidi="ar-SA"/>
              </w:rPr>
              <w:t>2</w:t>
            </w:r>
            <w:r>
              <w:rPr>
                <w:rFonts w:ascii="Times New Roman" w:hAnsi="Times New Roman" w:eastAsia="宋体" w:cs="Times New Roman"/>
                <w:bCs/>
                <w:color w:val="auto"/>
                <w:kern w:val="2"/>
                <w:sz w:val="21"/>
                <w:szCs w:val="21"/>
                <w:lang w:val="en-US" w:eastAsia="zh-CN" w:bidi="ar-SA"/>
              </w:rPr>
              <w:t>、NO</w:t>
            </w:r>
            <w:r>
              <w:rPr>
                <w:rFonts w:ascii="Times New Roman" w:hAnsi="Times New Roman" w:eastAsia="宋体" w:cs="Times New Roman"/>
                <w:bCs/>
                <w:color w:val="auto"/>
                <w:kern w:val="2"/>
                <w:sz w:val="21"/>
                <w:szCs w:val="21"/>
                <w:vertAlign w:val="subscript"/>
                <w:lang w:val="en-US" w:eastAsia="zh-CN" w:bidi="ar-SA"/>
              </w:rPr>
              <w:t>2</w:t>
            </w:r>
            <w:r>
              <w:rPr>
                <w:rFonts w:ascii="Times New Roman" w:hAnsi="Times New Roman" w:eastAsia="宋体" w:cs="Times New Roman"/>
                <w:bCs/>
                <w:color w:val="auto"/>
                <w:kern w:val="2"/>
                <w:sz w:val="21"/>
                <w:szCs w:val="21"/>
                <w:lang w:val="en-US" w:eastAsia="zh-CN" w:bidi="ar-SA"/>
              </w:rPr>
              <w:t>、PM</w:t>
            </w:r>
            <w:r>
              <w:rPr>
                <w:rFonts w:ascii="Times New Roman" w:hAnsi="Times New Roman" w:eastAsia="宋体" w:cs="Times New Roman"/>
                <w:bCs/>
                <w:color w:val="auto"/>
                <w:kern w:val="2"/>
                <w:sz w:val="21"/>
                <w:szCs w:val="21"/>
                <w:vertAlign w:val="subscript"/>
                <w:lang w:val="en-US" w:eastAsia="zh-CN" w:bidi="ar-SA"/>
              </w:rPr>
              <w:t>10</w:t>
            </w:r>
            <w:r>
              <w:rPr>
                <w:rFonts w:ascii="Times New Roman" w:hAnsi="Times New Roman" w:eastAsia="宋体" w:cs="Times New Roman"/>
                <w:bCs/>
                <w:color w:val="auto"/>
                <w:kern w:val="2"/>
                <w:sz w:val="21"/>
                <w:szCs w:val="21"/>
                <w:lang w:val="en-US" w:eastAsia="zh-CN" w:bidi="ar-SA"/>
              </w:rPr>
              <w:t>、CO</w:t>
            </w:r>
            <w:r>
              <w:rPr>
                <w:rFonts w:ascii="Times New Roman" w:hAnsi="Times New Roman" w:eastAsia="宋体" w:cs="Times New Roman"/>
                <w:color w:val="auto"/>
                <w:kern w:val="2"/>
                <w:sz w:val="21"/>
                <w:szCs w:val="21"/>
                <w:lang w:val="en-US" w:eastAsia="zh-CN" w:bidi="ar-SA"/>
              </w:rPr>
              <w:t>均能够满足《环境空气质量标准》（GB3095-2012）中的二级浓度限值要求，</w:t>
            </w:r>
            <w:r>
              <w:rPr>
                <w:rFonts w:ascii="Times New Roman" w:hAnsi="Times New Roman" w:eastAsia="宋体" w:cs="Times New Roman"/>
                <w:bCs/>
                <w:color w:val="auto"/>
                <w:kern w:val="2"/>
                <w:sz w:val="21"/>
                <w:szCs w:val="21"/>
                <w:lang w:val="en-US" w:eastAsia="zh-CN" w:bidi="ar-SA"/>
              </w:rPr>
              <w:t>PM</w:t>
            </w:r>
            <w:r>
              <w:rPr>
                <w:rFonts w:ascii="Times New Roman" w:hAnsi="Times New Roman" w:eastAsia="宋体" w:cs="Times New Roman"/>
                <w:bCs/>
                <w:color w:val="auto"/>
                <w:kern w:val="2"/>
                <w:sz w:val="21"/>
                <w:szCs w:val="21"/>
                <w:vertAlign w:val="subscript"/>
                <w:lang w:val="en-US" w:eastAsia="zh-CN" w:bidi="ar-SA"/>
              </w:rPr>
              <w:t>2.5</w:t>
            </w:r>
            <w:r>
              <w:rPr>
                <w:rFonts w:ascii="Times New Roman" w:hAnsi="Times New Roman" w:eastAsia="宋体" w:cs="Times New Roman"/>
                <w:bCs/>
                <w:color w:val="auto"/>
                <w:kern w:val="2"/>
                <w:sz w:val="21"/>
                <w:szCs w:val="21"/>
                <w:lang w:val="en-US" w:eastAsia="zh-CN" w:bidi="ar-SA"/>
              </w:rPr>
              <w:t>、</w:t>
            </w:r>
            <w:r>
              <w:rPr>
                <w:rFonts w:ascii="Times New Roman" w:hAnsi="Times New Roman" w:eastAsia="宋体" w:cs="Times New Roman"/>
                <w:bCs/>
                <w:color w:val="auto"/>
                <w:kern w:val="28"/>
                <w:sz w:val="21"/>
                <w:szCs w:val="21"/>
                <w:lang w:val="en-US" w:eastAsia="zh-CN" w:bidi="ar-SA"/>
              </w:rPr>
              <w:t>O</w:t>
            </w:r>
            <w:r>
              <w:rPr>
                <w:rFonts w:ascii="Times New Roman" w:hAnsi="Times New Roman" w:eastAsia="宋体" w:cs="Times New Roman"/>
                <w:bCs/>
                <w:color w:val="auto"/>
                <w:kern w:val="28"/>
                <w:sz w:val="21"/>
                <w:szCs w:val="21"/>
                <w:vertAlign w:val="subscript"/>
                <w:lang w:val="en-US" w:eastAsia="zh-CN" w:bidi="ar-SA"/>
              </w:rPr>
              <w:t>3</w:t>
            </w:r>
            <w:r>
              <w:rPr>
                <w:rFonts w:ascii="Times New Roman" w:hAnsi="Times New Roman" w:eastAsia="宋体" w:cs="Times New Roman"/>
                <w:bCs/>
                <w:color w:val="auto"/>
                <w:kern w:val="2"/>
                <w:sz w:val="21"/>
                <w:szCs w:val="21"/>
                <w:lang w:val="en-US" w:eastAsia="zh-CN" w:bidi="ar-SA"/>
              </w:rPr>
              <w:t>超过二级浓度限值</w:t>
            </w:r>
            <w:r>
              <w:rPr>
                <w:rFonts w:ascii="Times New Roman" w:hAnsi="Times New Roman" w:eastAsia="宋体" w:cs="Times New Roman"/>
                <w:color w:val="auto"/>
                <w:kern w:val="2"/>
                <w:sz w:val="21"/>
                <w:szCs w:val="21"/>
                <w:lang w:val="en-US" w:eastAsia="zh-CN" w:bidi="ar-SA"/>
              </w:rPr>
              <w:t>。根据《环境影响评价技术导则 大气环境》（HJ2.2-2018）相关要求，该区域出现超标指标，为</w:t>
            </w:r>
            <w:r>
              <w:rPr>
                <w:rFonts w:ascii="Times New Roman" w:hAnsi="Times New Roman" w:eastAsia="宋体" w:cs="Times New Roman"/>
                <w:b/>
                <w:bCs/>
                <w:color w:val="auto"/>
                <w:kern w:val="2"/>
                <w:sz w:val="21"/>
                <w:szCs w:val="21"/>
                <w:lang w:val="en-US" w:eastAsia="zh-CN" w:bidi="ar-SA"/>
              </w:rPr>
              <w:t>不达标区</w:t>
            </w:r>
            <w:r>
              <w:rPr>
                <w:rFonts w:ascii="Times New Roman" w:hAnsi="Times New Roman" w:eastAsia="宋体" w:cs="Times New Roman"/>
                <w:color w:val="auto"/>
                <w:kern w:val="2"/>
                <w:sz w:val="21"/>
                <w:szCs w:val="21"/>
                <w:lang w:val="en-US" w:eastAsia="zh-CN" w:bidi="ar-SA"/>
              </w:rPr>
              <w:t>。</w:t>
            </w:r>
          </w:p>
          <w:p w14:paraId="7E4B552C">
            <w:pPr>
              <w:widowControl w:val="0"/>
              <w:spacing w:line="360" w:lineRule="auto"/>
              <w:ind w:firstLine="420" w:firstLineChars="200"/>
              <w:jc w:val="both"/>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根据2024年8月31日，合川区政府印发《合川区空气质量持续改善行动实施方案》，合川区拟采取的改善空气质量的“主要措施”如下：</w:t>
            </w:r>
          </w:p>
          <w:p w14:paraId="0DD37EB0">
            <w:pPr>
              <w:widowControl w:val="0"/>
              <w:spacing w:line="360" w:lineRule="auto"/>
              <w:ind w:firstLine="420" w:firstLineChars="200"/>
              <w:jc w:val="both"/>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一是实施产业产品绿色转型升级行动，推动产业结构优化。推动实施重点行业产业产品绿色转型升级，持续推动大气治理、减污降碳、绿色转型、能级提升，推动建设一批国家环保绩效A级、B级企业。遏制高耗能、高排放、低水平项目盲目上马。推动产业集群实施废气治理和升级改造。根据实际情况制定区级中小微企业大气污染专项整治方案，依法淘汰关停一批、搬迁入园一批、就地改造一批。优化含VOCs原辅材料和产品结构。严格执行VOCs含量限值标准，提高低（无）VOCs含量产品的数量和比重。室外构筑物防护和城市道路交通标志等推广使用低（无）VOCs含量的涂料。推动绿色环保产业高质量发展。以节能减排、减污降碳、超低排放、生产使用低（无）VOCs含量原辅材料等领域为重点，支持培育一批具有绿色低碳技术优势和产业竞争力的市场主体。</w:t>
            </w:r>
          </w:p>
          <w:p w14:paraId="0CAB8E27">
            <w:pPr>
              <w:widowControl w:val="0"/>
              <w:spacing w:line="360" w:lineRule="auto"/>
              <w:ind w:firstLine="420" w:firstLineChars="200"/>
              <w:jc w:val="both"/>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二是实施能源清洁低碳高效利用行动，推动能源结构优化。严格合理控制煤炭消费总量，大力发展新能源和清洁能源，持续增加天然气（页岩气）生产供应，新增天然气（页岩气）优先保障居民生活需求。开展燃煤锅炉关停整合和工业炉窑清洁能源替代，基本淘汰10蒸吨/小时及以下的燃煤锅炉，城市建成区、工业园区基本淘汰35蒸吨/小时及以下的燃煤锅炉及茶水炉、经营性炉灶、储粮烘干设备、农产品加工等燃煤设施。巩固并扩大高污染燃料禁燃区域。</w:t>
            </w:r>
          </w:p>
          <w:p w14:paraId="10905A21">
            <w:pPr>
              <w:widowControl w:val="0"/>
              <w:spacing w:line="360" w:lineRule="auto"/>
              <w:ind w:firstLine="420" w:firstLineChars="200"/>
              <w:jc w:val="both"/>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三是实施移动源大气综合治理提升行动，推动交通结构优化，优化调整货客运结构，提升机动车清洁化水平，各级党政机关、事业单位、国有企业新增或更新公务用车原则上使用电动化等新能源汽车（应急等特种车辆除外），加快城乡公共充电基础设施建设。强化机动车排放管控，实施船舶和非道路移动源综合治理，全面保障成品油质量和推行错峰加油。</w:t>
            </w:r>
          </w:p>
          <w:p w14:paraId="35650738">
            <w:pPr>
              <w:widowControl w:val="0"/>
              <w:spacing w:line="360" w:lineRule="auto"/>
              <w:ind w:firstLine="420" w:firstLineChars="200"/>
              <w:jc w:val="both"/>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四是实施深度治理和精细化管控行动，推动多污染物减排。实施重点行业污染深度治理，大力推进水泥等重点行业超低排放改造。加快推进水泥、玻璃、砖瓦企业深度治理和提标改造，强化工业源烟气脱硫脱硝氨逃逸防控。强化VOCs全过程控制，大力推动年销售汽油5000吨以上的加油站安装三级油气回收处理装置，重点涉气企业逐步取消烟气和含VOCs废气旁路，因安全生产需要无法取消的，须安装在线监控系统等设施。</w:t>
            </w:r>
          </w:p>
          <w:p w14:paraId="1038B406">
            <w:pPr>
              <w:widowControl w:val="0"/>
              <w:spacing w:line="360" w:lineRule="auto"/>
              <w:ind w:firstLine="420" w:firstLineChars="200"/>
              <w:jc w:val="both"/>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五是实施扬尘焚烧油烟等面源治污行动，切实解决扰民问题。深化扬尘污染综合治理，严格落实控尘“十项规定”，深化施工工地扬尘控制“红黄绿”标志分级管理制度，规范建筑垃圾（渣土）绿色运输和“冒装撒漏”防控措施，对建筑垃圾（渣土）堆场扬尘、垃圾焚烧以及运渣车尾气等开展系统治理。加快完成港口码头堆场，以及水泥、有色金属等行业物料仓库抑尘设施建设和物料输送系统封闭改造。）加强露天焚烧管控和秸秆综合利用，强化露天焚烧整治，完善网格化监管体系，探索秸秆综合利用工作方式，健全秸秆收储运服务体系，减少露天焚烧。开展餐饮油烟和臭气扰民专项治理，严格居民楼周边餐饮服务单位布局管理，拟开设餐饮服务单位的建筑应设计建设专用烟道，推动实施治理设施第三方运维管理及在线监控。用好“以奖促治”市级财政资金，实施老旧小区油烟连片整治，巩固提升公共机构食堂餐饮油烟治理成效。加强露天烧烤和烟花爆竹燃放管控。</w:t>
            </w:r>
          </w:p>
          <w:p w14:paraId="6ED8EBA3">
            <w:pPr>
              <w:widowControl w:val="0"/>
              <w:spacing w:line="360" w:lineRule="auto"/>
              <w:ind w:firstLine="420" w:firstLineChars="200"/>
              <w:jc w:val="both"/>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六是实施预警预报和联防联控提升行动，强化污染应对。提升预警预报及监测监控能力，完善大气污染联防联控和污染应对机制，深化跨省市大气污染联合防治，推进构建川渝之间、区县之间、部门之间应急响应、交叉检查、联合执法、预测预报预警等方面的交互机制。完善重污染天气应急预案体系，协同实施水泥等重点行业错峰生产，健全预测预警、应急响应、问题销号、工作复盘、追责问责贯通的重污染天气应急应对工作机制。</w:t>
            </w:r>
          </w:p>
          <w:p w14:paraId="707913C0">
            <w:pPr>
              <w:widowControl w:val="0"/>
              <w:spacing w:line="360" w:lineRule="auto"/>
              <w:ind w:firstLine="420" w:firstLineChars="200"/>
              <w:jc w:val="both"/>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七是实施“治气”智能化精准化建设行动，强化科技支撑。加强决策科技支撑。持续开展大气污染源排放清单编制和污染物来源解析工作，开展PM</w:t>
            </w:r>
            <w:r>
              <w:rPr>
                <w:rFonts w:ascii="Times New Roman" w:hAnsi="Times New Roman" w:eastAsia="宋体" w:cs="Times New Roman"/>
                <w:color w:val="auto"/>
                <w:kern w:val="2"/>
                <w:sz w:val="21"/>
                <w:szCs w:val="21"/>
                <w:vertAlign w:val="subscript"/>
                <w:lang w:val="en-US" w:eastAsia="zh-CN" w:bidi="ar-SA"/>
              </w:rPr>
              <w:t>2.5</w:t>
            </w:r>
            <w:r>
              <w:rPr>
                <w:rFonts w:ascii="Times New Roman" w:hAnsi="Times New Roman" w:eastAsia="宋体" w:cs="Times New Roman"/>
                <w:color w:val="auto"/>
                <w:kern w:val="2"/>
                <w:sz w:val="21"/>
                <w:szCs w:val="21"/>
                <w:lang w:val="en-US" w:eastAsia="zh-CN" w:bidi="ar-SA"/>
              </w:rPr>
              <w:t>来源解析，完成污染源排放清单编制并实现逐年更新。</w:t>
            </w:r>
          </w:p>
          <w:p w14:paraId="751F1FAE">
            <w:pPr>
              <w:widowControl w:val="0"/>
              <w:spacing w:line="360" w:lineRule="auto"/>
              <w:ind w:firstLine="420" w:firstLineChars="200"/>
              <w:jc w:val="both"/>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八是实施空气质量共保共治全民行动，强化各方责任。加强组织领导，强化责任落实，严格监督考核，构建全民共治格局，加强宣传引导。坚持和加强党对大气污染防治工作的全面领导，落实“党政同责、一岗双责”，各镇街政府落实属地责任，对本辖区内空气质量负总责，完成空气质量目标优化考核指标设置。强化政策解读和宣传，大力普及大气环境与健康基本理念和知识，提升公众大气环境保护意识和健康素养。</w:t>
            </w:r>
          </w:p>
          <w:p w14:paraId="32361CAC">
            <w:pPr>
              <w:pStyle w:val="54"/>
              <w:spacing w:line="360" w:lineRule="auto"/>
              <w:ind w:firstLine="420" w:firstLineChars="200"/>
              <w:jc w:val="both"/>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1"/>
                <w:szCs w:val="21"/>
                <w:lang w:val="en-US" w:eastAsia="zh-CN" w:bidi="ar-SA"/>
              </w:rPr>
              <w:t>在合川区范围内执行相应的整治措施后，可改善区域环境质量达标情况</w:t>
            </w:r>
            <w:r>
              <w:rPr>
                <w:rFonts w:ascii="Times New Roman" w:hAnsi="Times New Roman" w:eastAsia="宋体" w:cs="Times New Roman"/>
                <w:color w:val="auto"/>
                <w:kern w:val="2"/>
                <w:sz w:val="24"/>
                <w:szCs w:val="24"/>
                <w:lang w:val="en-US" w:eastAsia="zh-CN" w:bidi="ar-SA"/>
              </w:rPr>
              <w:t>。</w:t>
            </w:r>
          </w:p>
          <w:p w14:paraId="6F47DAFE">
            <w:pPr>
              <w:pStyle w:val="54"/>
              <w:spacing w:line="360" w:lineRule="auto"/>
              <w:ind w:firstLine="422" w:firstLineChars="200"/>
              <w:jc w:val="both"/>
              <w:rPr>
                <w:rFonts w:hint="default" w:ascii="Times New Roman" w:hAnsi="Times New Roman" w:eastAsia="宋体" w:cs="Times New Roman"/>
                <w:b/>
                <w:color w:val="auto"/>
                <w:kern w:val="2"/>
                <w:sz w:val="21"/>
                <w:szCs w:val="21"/>
              </w:rPr>
            </w:pPr>
            <w:r>
              <w:rPr>
                <w:rFonts w:hint="default" w:ascii="Times New Roman" w:hAnsi="Times New Roman" w:eastAsia="宋体" w:cs="Times New Roman"/>
                <w:b/>
                <w:color w:val="auto"/>
                <w:kern w:val="2"/>
                <w:sz w:val="21"/>
                <w:szCs w:val="21"/>
              </w:rPr>
              <w:t>②特征污染物</w:t>
            </w:r>
          </w:p>
          <w:p w14:paraId="785668F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US" w:eastAsia="zh-CN"/>
              </w:rPr>
            </w:pPr>
            <w:r>
              <w:rPr>
                <w:rFonts w:ascii="Times New Roman" w:hAnsi="Times New Roman" w:cs="Times New Roman"/>
                <w:bCs/>
                <w:color w:val="auto"/>
                <w:sz w:val="21"/>
                <w:szCs w:val="21"/>
              </w:rPr>
              <w:t>根据《建设项目环境影响报告表编制技术指南（污染影响类）（试行）》</w:t>
            </w:r>
            <w:r>
              <w:rPr>
                <w:rFonts w:hint="eastAsia" w:ascii="Times New Roman" w:hAnsi="Times New Roman" w:cs="Times New Roman"/>
                <w:bCs/>
                <w:color w:val="auto"/>
                <w:sz w:val="21"/>
                <w:szCs w:val="21"/>
              </w:rPr>
              <w:t>，排放国家、地方环境空气质量标准中有标准限值要求的特征污染物时，引用建设项目周边5千米范围内近3年的现有监测数据，无相关数据的选择当季主导风向下风向1个点位补充不少于3天的监测数据，</w:t>
            </w:r>
            <w:r>
              <w:rPr>
                <w:rFonts w:ascii="Times New Roman" w:hAnsi="Times New Roman" w:cs="Times New Roman"/>
                <w:bCs/>
                <w:color w:val="auto"/>
                <w:sz w:val="21"/>
                <w:szCs w:val="21"/>
              </w:rPr>
              <w:t>本项目排放的</w:t>
            </w:r>
            <w:r>
              <w:rPr>
                <w:rFonts w:hint="eastAsia" w:ascii="Times New Roman" w:hAnsi="Times New Roman" w:cs="Times New Roman"/>
                <w:bCs/>
                <w:color w:val="auto"/>
                <w:sz w:val="21"/>
                <w:szCs w:val="21"/>
              </w:rPr>
              <w:t>特征污染物</w:t>
            </w:r>
            <w:r>
              <w:rPr>
                <w:rFonts w:ascii="Times New Roman" w:hAnsi="Times New Roman" w:cs="Times New Roman"/>
                <w:bCs/>
                <w:color w:val="auto"/>
                <w:sz w:val="21"/>
                <w:szCs w:val="21"/>
              </w:rPr>
              <w:t>仅非甲烷总烃</w:t>
            </w:r>
            <w:r>
              <w:rPr>
                <w:rFonts w:hint="eastAsia" w:ascii="Times New Roman" w:hAnsi="Times New Roman" w:cs="Times New Roman"/>
                <w:bCs/>
                <w:color w:val="auto"/>
                <w:sz w:val="21"/>
                <w:szCs w:val="21"/>
              </w:rPr>
              <w:t>有</w:t>
            </w:r>
            <w:r>
              <w:rPr>
                <w:rFonts w:ascii="Times New Roman" w:hAnsi="Times New Roman" w:cs="Times New Roman"/>
                <w:bCs/>
                <w:color w:val="auto"/>
                <w:sz w:val="21"/>
                <w:szCs w:val="21"/>
              </w:rPr>
              <w:t>相应的环境质量</w:t>
            </w:r>
            <w:r>
              <w:rPr>
                <w:rFonts w:hint="eastAsia" w:ascii="Times New Roman" w:hAnsi="Times New Roman" w:cs="Times New Roman"/>
                <w:bCs/>
                <w:color w:val="auto"/>
                <w:sz w:val="21"/>
                <w:szCs w:val="21"/>
              </w:rPr>
              <w:t>标准</w:t>
            </w:r>
            <w:r>
              <w:rPr>
                <w:rFonts w:hint="eastAsia" w:ascii="Times New Roman" w:hAnsi="Times New Roman" w:cs="Times New Roman"/>
                <w:bCs/>
                <w:color w:val="auto"/>
                <w:sz w:val="21"/>
                <w:szCs w:val="21"/>
                <w:lang w:eastAsia="zh-CN"/>
              </w:rPr>
              <w:t>，</w:t>
            </w:r>
            <w:r>
              <w:rPr>
                <w:rFonts w:ascii="Times New Roman" w:hAnsi="宋体" w:eastAsia="宋体"/>
                <w:color w:val="auto"/>
                <w:sz w:val="21"/>
                <w:szCs w:val="21"/>
              </w:rPr>
              <w:t>为了解项目所在地非甲烷总烃环境质量现状，本次评价</w:t>
            </w:r>
            <w:r>
              <w:rPr>
                <w:rFonts w:hint="default" w:ascii="Times New Roman" w:hAnsi="Times New Roman" w:eastAsia="宋体" w:cs="Times New Roman"/>
                <w:color w:val="auto"/>
                <w:kern w:val="0"/>
                <w:sz w:val="21"/>
                <w:szCs w:val="21"/>
                <w:lang w:val="en-GB" w:eastAsia="zh-CN"/>
              </w:rPr>
              <w:t>引用《</w:t>
            </w:r>
            <w:r>
              <w:rPr>
                <w:rFonts w:hint="eastAsia" w:cs="Times New Roman"/>
                <w:color w:val="auto"/>
                <w:kern w:val="0"/>
                <w:sz w:val="21"/>
                <w:szCs w:val="21"/>
                <w:lang w:val="en-GB" w:eastAsia="zh-CN"/>
              </w:rPr>
              <w:t>重庆市合川区生态环境监测站</w:t>
            </w:r>
            <w:r>
              <w:rPr>
                <w:rFonts w:hint="default" w:ascii="Times New Roman" w:hAnsi="Times New Roman" w:eastAsia="宋体" w:cs="Times New Roman"/>
                <w:color w:val="auto"/>
                <w:kern w:val="0"/>
                <w:sz w:val="21"/>
                <w:szCs w:val="21"/>
                <w:lang w:val="en-GB" w:eastAsia="zh-CN"/>
              </w:rPr>
              <w:t>监测报告》</w:t>
            </w:r>
            <w:r>
              <w:rPr>
                <w:rFonts w:hint="eastAsia" w:cs="Times New Roman"/>
                <w:color w:val="auto"/>
                <w:kern w:val="0"/>
                <w:sz w:val="21"/>
                <w:szCs w:val="21"/>
                <w:lang w:val="en-GB" w:eastAsia="zh-CN"/>
              </w:rPr>
              <w:t>“合环</w:t>
            </w:r>
            <w:r>
              <w:rPr>
                <w:rFonts w:hint="default" w:ascii="Times New Roman" w:hAnsi="Times New Roman" w:eastAsia="宋体" w:cs="Times New Roman"/>
                <w:color w:val="auto"/>
                <w:kern w:val="0"/>
                <w:sz w:val="21"/>
                <w:szCs w:val="21"/>
                <w:lang w:val="en-GB" w:eastAsia="zh-CN"/>
              </w:rPr>
              <w:t>（监）字</w:t>
            </w:r>
            <w:r>
              <w:rPr>
                <w:rFonts w:hint="eastAsia" w:cs="Times New Roman"/>
                <w:color w:val="auto"/>
                <w:kern w:val="0"/>
                <w:sz w:val="21"/>
                <w:szCs w:val="21"/>
                <w:lang w:val="en-GB" w:eastAsia="zh-CN"/>
              </w:rPr>
              <w:t>〔2023〕</w:t>
            </w:r>
            <w:r>
              <w:rPr>
                <w:rFonts w:hint="default" w:ascii="Times New Roman" w:hAnsi="Times New Roman" w:eastAsia="宋体" w:cs="Times New Roman"/>
                <w:color w:val="auto"/>
                <w:kern w:val="0"/>
                <w:sz w:val="21"/>
                <w:szCs w:val="21"/>
                <w:lang w:val="en-GB" w:eastAsia="zh-CN"/>
              </w:rPr>
              <w:t>第</w:t>
            </w:r>
            <w:r>
              <w:rPr>
                <w:rFonts w:hint="eastAsia" w:cs="Times New Roman"/>
                <w:color w:val="auto"/>
                <w:kern w:val="0"/>
                <w:sz w:val="21"/>
                <w:szCs w:val="21"/>
                <w:lang w:val="en-US" w:eastAsia="zh-CN"/>
              </w:rPr>
              <w:t>HJ001</w:t>
            </w:r>
            <w:r>
              <w:rPr>
                <w:rFonts w:hint="default" w:ascii="Times New Roman" w:hAnsi="Times New Roman" w:eastAsia="宋体" w:cs="Times New Roman"/>
                <w:color w:val="auto"/>
                <w:kern w:val="0"/>
                <w:sz w:val="21"/>
                <w:szCs w:val="21"/>
                <w:lang w:val="en-GB" w:eastAsia="zh-CN"/>
              </w:rPr>
              <w:t>号</w:t>
            </w:r>
            <w:r>
              <w:rPr>
                <w:rFonts w:hint="eastAsia" w:cs="Times New Roman"/>
                <w:color w:val="auto"/>
                <w:kern w:val="0"/>
                <w:sz w:val="21"/>
                <w:szCs w:val="21"/>
                <w:lang w:val="en-GB" w:eastAsia="zh-CN"/>
              </w:rPr>
              <w:t>”</w:t>
            </w:r>
            <w:r>
              <w:rPr>
                <w:rFonts w:hint="eastAsia" w:ascii="Times New Roman" w:hAnsi="Times New Roman" w:eastAsia="宋体" w:cs="Times New Roman"/>
                <w:color w:val="auto"/>
                <w:kern w:val="0"/>
                <w:sz w:val="21"/>
                <w:szCs w:val="21"/>
                <w:lang w:val="en-GB" w:eastAsia="zh-CN"/>
              </w:rPr>
              <w:t>中</w:t>
            </w:r>
            <w:r>
              <w:rPr>
                <w:rFonts w:hint="eastAsia" w:cs="Times New Roman"/>
                <w:color w:val="auto"/>
                <w:kern w:val="0"/>
                <w:sz w:val="21"/>
                <w:szCs w:val="21"/>
                <w:lang w:val="en-US" w:eastAsia="zh-CN"/>
              </w:rPr>
              <w:t>南溪核心区区域下风向监测点</w:t>
            </w:r>
            <w:r>
              <w:rPr>
                <w:rFonts w:hint="default" w:ascii="Times New Roman" w:hAnsi="Times New Roman" w:eastAsia="宋体" w:cs="Times New Roman"/>
                <w:color w:val="auto"/>
                <w:kern w:val="0"/>
                <w:sz w:val="21"/>
                <w:szCs w:val="21"/>
                <w:lang w:eastAsia="zh-CN"/>
              </w:rPr>
              <w:t>监测数据</w:t>
            </w:r>
            <w:r>
              <w:rPr>
                <w:rFonts w:hint="default" w:ascii="Times New Roman" w:hAnsi="Times New Roman" w:eastAsia="宋体" w:cs="Times New Roman"/>
                <w:color w:val="auto"/>
                <w:kern w:val="0"/>
                <w:sz w:val="21"/>
                <w:szCs w:val="21"/>
                <w:lang w:val="en-GB" w:eastAsia="zh-CN"/>
              </w:rPr>
              <w:t>进行分析。</w:t>
            </w:r>
            <w:r>
              <w:rPr>
                <w:rFonts w:hint="eastAsia" w:ascii="Times New Roman" w:hAnsi="Times New Roman" w:eastAsia="宋体" w:cs="Times New Roman"/>
                <w:color w:val="auto"/>
                <w:kern w:val="0"/>
                <w:sz w:val="21"/>
                <w:szCs w:val="21"/>
                <w:lang w:val="en-GB" w:eastAsia="zh-CN"/>
              </w:rPr>
              <w:t>该监测点距本项目</w:t>
            </w:r>
            <w:r>
              <w:rPr>
                <w:rFonts w:hint="eastAsia" w:cs="Times New Roman"/>
                <w:color w:val="auto"/>
                <w:kern w:val="0"/>
                <w:sz w:val="21"/>
                <w:szCs w:val="21"/>
                <w:lang w:val="en-US" w:eastAsia="zh-CN"/>
              </w:rPr>
              <w:t>1670</w:t>
            </w:r>
            <w:r>
              <w:rPr>
                <w:rFonts w:hint="eastAsia"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lang w:val="en-GB" w:eastAsia="zh-CN"/>
              </w:rPr>
              <w:t>监测至今项目所在区域大气污染物排放状况无较大变化，且</w:t>
            </w:r>
            <w:r>
              <w:rPr>
                <w:rFonts w:hint="eastAsia" w:ascii="Times New Roman" w:hAnsi="Times New Roman" w:eastAsia="宋体" w:cs="Times New Roman"/>
                <w:color w:val="auto"/>
                <w:kern w:val="0"/>
                <w:sz w:val="21"/>
                <w:szCs w:val="21"/>
                <w:lang w:val="en-US" w:eastAsia="zh-CN"/>
              </w:rPr>
              <w:t>监测时间为202</w:t>
            </w:r>
            <w:r>
              <w:rPr>
                <w:rFonts w:hint="eastAsia" w:cs="Times New Roman"/>
                <w:color w:val="auto"/>
                <w:kern w:val="0"/>
                <w:sz w:val="21"/>
                <w:szCs w:val="21"/>
                <w:lang w:val="en-US" w:eastAsia="zh-CN"/>
              </w:rPr>
              <w:t>3</w:t>
            </w:r>
            <w:r>
              <w:rPr>
                <w:rFonts w:hint="eastAsia" w:ascii="Times New Roman" w:hAnsi="Times New Roman" w:eastAsia="宋体" w:cs="Times New Roman"/>
                <w:color w:val="auto"/>
                <w:kern w:val="0"/>
                <w:sz w:val="21"/>
                <w:szCs w:val="21"/>
                <w:lang w:val="en-US" w:eastAsia="zh-CN"/>
              </w:rPr>
              <w:t>年</w:t>
            </w:r>
            <w:r>
              <w:rPr>
                <w:rFonts w:hint="eastAsia" w:cs="Times New Roman"/>
                <w:color w:val="auto"/>
                <w:kern w:val="0"/>
                <w:sz w:val="21"/>
                <w:szCs w:val="21"/>
                <w:lang w:val="en-US" w:eastAsia="zh-CN"/>
              </w:rPr>
              <w:t>7</w:t>
            </w:r>
            <w:r>
              <w:rPr>
                <w:rFonts w:hint="eastAsia" w:ascii="Times New Roman" w:hAnsi="Times New Roman" w:eastAsia="宋体" w:cs="Times New Roman"/>
                <w:color w:val="auto"/>
                <w:kern w:val="0"/>
                <w:sz w:val="21"/>
                <w:szCs w:val="21"/>
                <w:lang w:val="en-US" w:eastAsia="zh-CN"/>
              </w:rPr>
              <w:t>月</w:t>
            </w:r>
            <w:r>
              <w:rPr>
                <w:rFonts w:hint="eastAsia" w:cs="Times New Roman"/>
                <w:color w:val="auto"/>
                <w:kern w:val="0"/>
                <w:sz w:val="21"/>
                <w:szCs w:val="21"/>
                <w:lang w:val="en-US" w:eastAsia="zh-CN"/>
              </w:rPr>
              <w:t>15</w:t>
            </w:r>
            <w:r>
              <w:rPr>
                <w:rFonts w:hint="eastAsia" w:ascii="Times New Roman" w:hAnsi="Times New Roman" w:eastAsia="宋体" w:cs="Times New Roman"/>
                <w:color w:val="auto"/>
                <w:kern w:val="0"/>
                <w:sz w:val="21"/>
                <w:szCs w:val="21"/>
                <w:lang w:val="en-US" w:eastAsia="zh-CN"/>
              </w:rPr>
              <w:t>日</w:t>
            </w:r>
            <w:r>
              <w:rPr>
                <w:rFonts w:hint="eastAsia" w:cs="Times New Roman"/>
                <w:color w:val="auto"/>
                <w:kern w:val="0"/>
                <w:sz w:val="21"/>
                <w:szCs w:val="21"/>
                <w:lang w:val="en-US" w:eastAsia="zh-CN"/>
              </w:rPr>
              <w:t>—7</w:t>
            </w:r>
            <w:r>
              <w:rPr>
                <w:rFonts w:hint="eastAsia" w:ascii="Times New Roman" w:hAnsi="Times New Roman" w:eastAsia="宋体" w:cs="Times New Roman"/>
                <w:color w:val="auto"/>
                <w:kern w:val="0"/>
                <w:sz w:val="21"/>
                <w:szCs w:val="21"/>
                <w:lang w:val="en-US" w:eastAsia="zh-CN"/>
              </w:rPr>
              <w:t>月</w:t>
            </w:r>
            <w:r>
              <w:rPr>
                <w:rFonts w:hint="eastAsia" w:cs="Times New Roman"/>
                <w:color w:val="auto"/>
                <w:kern w:val="0"/>
                <w:sz w:val="21"/>
                <w:szCs w:val="21"/>
                <w:lang w:val="en-US" w:eastAsia="zh-CN"/>
              </w:rPr>
              <w:t>21</w:t>
            </w:r>
            <w:r>
              <w:rPr>
                <w:rFonts w:hint="eastAsia" w:ascii="Times New Roman" w:hAnsi="Times New Roman" w:eastAsia="宋体" w:cs="Times New Roman"/>
                <w:color w:val="auto"/>
                <w:kern w:val="0"/>
                <w:sz w:val="21"/>
                <w:szCs w:val="21"/>
                <w:lang w:val="en-US" w:eastAsia="zh-CN"/>
              </w:rPr>
              <w:t>日，按照指南要求，该监测数据能代表项目所在区域环境空气质量现状，故引用可行。具体监测情况如</w:t>
            </w:r>
            <w:r>
              <w:rPr>
                <w:rFonts w:hint="eastAsia" w:cs="Times New Roman"/>
                <w:color w:val="auto"/>
                <w:kern w:val="0"/>
                <w:sz w:val="21"/>
                <w:szCs w:val="21"/>
                <w:lang w:val="en-US" w:eastAsia="zh-CN"/>
              </w:rPr>
              <w:t>下</w:t>
            </w:r>
            <w:r>
              <w:rPr>
                <w:rFonts w:hint="eastAsia" w:ascii="Times New Roman" w:hAnsi="Times New Roman" w:eastAsia="宋体" w:cs="Times New Roman"/>
                <w:color w:val="auto"/>
                <w:kern w:val="0"/>
                <w:sz w:val="21"/>
                <w:szCs w:val="21"/>
                <w:lang w:val="en-US" w:eastAsia="zh-CN"/>
              </w:rPr>
              <w:t>。</w:t>
            </w:r>
          </w:p>
          <w:p w14:paraId="3C1EFD1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GB" w:eastAsia="zh-CN"/>
              </w:rPr>
            </w:pPr>
            <w:r>
              <w:rPr>
                <w:rFonts w:hint="default" w:ascii="Times New Roman" w:hAnsi="Times New Roman" w:eastAsia="宋体" w:cs="Times New Roman"/>
                <w:color w:val="auto"/>
                <w:kern w:val="0"/>
                <w:sz w:val="21"/>
                <w:szCs w:val="21"/>
                <w:lang w:val="en-GB" w:eastAsia="zh-CN"/>
              </w:rPr>
              <w:t>（1）监测因子：非甲烷总烃。</w:t>
            </w:r>
          </w:p>
          <w:p w14:paraId="32842B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GB" w:eastAsia="zh-CN"/>
              </w:rPr>
            </w:pPr>
            <w:r>
              <w:rPr>
                <w:rFonts w:hint="default" w:ascii="Times New Roman" w:hAnsi="Times New Roman" w:eastAsia="宋体" w:cs="Times New Roman"/>
                <w:color w:val="auto"/>
                <w:kern w:val="0"/>
                <w:sz w:val="21"/>
                <w:szCs w:val="21"/>
                <w:lang w:val="en-GB" w:eastAsia="zh-CN"/>
              </w:rPr>
              <w:t>（2）监测时间：</w:t>
            </w:r>
            <w:r>
              <w:rPr>
                <w:rFonts w:hint="eastAsia" w:ascii="Times New Roman" w:hAnsi="Times New Roman" w:eastAsia="宋体" w:cs="Times New Roman"/>
                <w:color w:val="auto"/>
                <w:kern w:val="0"/>
                <w:sz w:val="21"/>
                <w:szCs w:val="21"/>
                <w:lang w:val="en-US" w:eastAsia="zh-CN"/>
              </w:rPr>
              <w:t>202</w:t>
            </w:r>
            <w:r>
              <w:rPr>
                <w:rFonts w:hint="eastAsia" w:cs="Times New Roman"/>
                <w:color w:val="auto"/>
                <w:kern w:val="0"/>
                <w:sz w:val="21"/>
                <w:szCs w:val="21"/>
                <w:lang w:val="en-US" w:eastAsia="zh-CN"/>
              </w:rPr>
              <w:t>3</w:t>
            </w:r>
            <w:r>
              <w:rPr>
                <w:rFonts w:hint="eastAsia" w:ascii="Times New Roman" w:hAnsi="Times New Roman" w:eastAsia="宋体" w:cs="Times New Roman"/>
                <w:color w:val="auto"/>
                <w:kern w:val="0"/>
                <w:sz w:val="21"/>
                <w:szCs w:val="21"/>
                <w:lang w:val="en-US" w:eastAsia="zh-CN"/>
              </w:rPr>
              <w:t>年</w:t>
            </w:r>
            <w:r>
              <w:rPr>
                <w:rFonts w:hint="eastAsia" w:cs="Times New Roman"/>
                <w:color w:val="auto"/>
                <w:kern w:val="0"/>
                <w:sz w:val="21"/>
                <w:szCs w:val="21"/>
                <w:lang w:val="en-US" w:eastAsia="zh-CN"/>
              </w:rPr>
              <w:t>7</w:t>
            </w:r>
            <w:r>
              <w:rPr>
                <w:rFonts w:hint="eastAsia" w:ascii="Times New Roman" w:hAnsi="Times New Roman" w:eastAsia="宋体" w:cs="Times New Roman"/>
                <w:color w:val="auto"/>
                <w:kern w:val="0"/>
                <w:sz w:val="21"/>
                <w:szCs w:val="21"/>
                <w:lang w:val="en-US" w:eastAsia="zh-CN"/>
              </w:rPr>
              <w:t>月</w:t>
            </w:r>
            <w:r>
              <w:rPr>
                <w:rFonts w:hint="eastAsia" w:cs="Times New Roman"/>
                <w:color w:val="auto"/>
                <w:kern w:val="0"/>
                <w:sz w:val="21"/>
                <w:szCs w:val="21"/>
                <w:lang w:val="en-US" w:eastAsia="zh-CN"/>
              </w:rPr>
              <w:t>15</w:t>
            </w:r>
            <w:r>
              <w:rPr>
                <w:rFonts w:hint="eastAsia" w:ascii="Times New Roman" w:hAnsi="Times New Roman" w:eastAsia="宋体" w:cs="Times New Roman"/>
                <w:color w:val="auto"/>
                <w:kern w:val="0"/>
                <w:sz w:val="21"/>
                <w:szCs w:val="21"/>
                <w:lang w:val="en-US" w:eastAsia="zh-CN"/>
              </w:rPr>
              <w:t>日</w:t>
            </w:r>
            <w:r>
              <w:rPr>
                <w:rFonts w:hint="eastAsia" w:cs="Times New Roman"/>
                <w:color w:val="auto"/>
                <w:kern w:val="0"/>
                <w:sz w:val="21"/>
                <w:szCs w:val="21"/>
                <w:lang w:val="en-US" w:eastAsia="zh-CN"/>
              </w:rPr>
              <w:t>—7</w:t>
            </w:r>
            <w:r>
              <w:rPr>
                <w:rFonts w:hint="eastAsia" w:ascii="Times New Roman" w:hAnsi="Times New Roman" w:eastAsia="宋体" w:cs="Times New Roman"/>
                <w:color w:val="auto"/>
                <w:kern w:val="0"/>
                <w:sz w:val="21"/>
                <w:szCs w:val="21"/>
                <w:lang w:val="en-US" w:eastAsia="zh-CN"/>
              </w:rPr>
              <w:t>月</w:t>
            </w:r>
            <w:r>
              <w:rPr>
                <w:rFonts w:hint="eastAsia" w:cs="Times New Roman"/>
                <w:color w:val="auto"/>
                <w:kern w:val="0"/>
                <w:sz w:val="21"/>
                <w:szCs w:val="21"/>
                <w:lang w:val="en-US" w:eastAsia="zh-CN"/>
              </w:rPr>
              <w:t>21</w:t>
            </w:r>
            <w:r>
              <w:rPr>
                <w:rFonts w:hint="eastAsia" w:ascii="Times New Roman" w:hAnsi="Times New Roman" w:eastAsia="宋体" w:cs="Times New Roman"/>
                <w:color w:val="auto"/>
                <w:kern w:val="0"/>
                <w:sz w:val="21"/>
                <w:szCs w:val="21"/>
                <w:lang w:val="en-US" w:eastAsia="zh-CN"/>
              </w:rPr>
              <w:t>日</w:t>
            </w:r>
            <w:r>
              <w:rPr>
                <w:rFonts w:hint="default" w:ascii="Times New Roman" w:hAnsi="Times New Roman" w:eastAsia="宋体" w:cs="Times New Roman"/>
                <w:color w:val="auto"/>
                <w:kern w:val="0"/>
                <w:sz w:val="21"/>
                <w:szCs w:val="21"/>
                <w:lang w:val="en-GB" w:eastAsia="zh-CN"/>
              </w:rPr>
              <w:t>。</w:t>
            </w:r>
          </w:p>
          <w:p w14:paraId="5F5C02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GB" w:eastAsia="zh-CN"/>
              </w:rPr>
              <w:t>（3）监测布点：引用</w:t>
            </w:r>
            <w:r>
              <w:rPr>
                <w:rFonts w:hint="eastAsia" w:cs="Times New Roman"/>
                <w:color w:val="auto"/>
                <w:kern w:val="0"/>
                <w:sz w:val="21"/>
                <w:szCs w:val="21"/>
                <w:lang w:val="en-US" w:eastAsia="zh-CN"/>
              </w:rPr>
              <w:t>1</w:t>
            </w:r>
            <w:r>
              <w:rPr>
                <w:rFonts w:hint="default" w:ascii="Times New Roman" w:hAnsi="Times New Roman" w:eastAsia="宋体" w:cs="Times New Roman"/>
                <w:color w:val="auto"/>
                <w:kern w:val="0"/>
                <w:sz w:val="21"/>
                <w:szCs w:val="21"/>
                <w:lang w:val="en-GB" w:eastAsia="zh-CN"/>
              </w:rPr>
              <w:t>个监测点，监测点基本情况及与本项目位置关系详见表3-2和附图。</w:t>
            </w:r>
          </w:p>
          <w:p w14:paraId="7A55E2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bCs/>
                <w:color w:val="auto"/>
                <w:kern w:val="0"/>
                <w:sz w:val="21"/>
                <w:szCs w:val="21"/>
              </w:rPr>
              <w:t>表3-2   环境空气现状监测结果统计情况一览表    单位：mg/m</w:t>
            </w:r>
            <w:r>
              <w:rPr>
                <w:rFonts w:hint="default" w:ascii="Times New Roman" w:hAnsi="Times New Roman" w:eastAsia="宋体" w:cs="Times New Roman"/>
                <w:b/>
                <w:bCs/>
                <w:color w:val="auto"/>
                <w:kern w:val="0"/>
                <w:sz w:val="21"/>
                <w:szCs w:val="21"/>
                <w:vertAlign w:val="superscript"/>
              </w:rPr>
              <w:t>3</w:t>
            </w:r>
          </w:p>
          <w:tbl>
            <w:tblPr>
              <w:tblStyle w:val="30"/>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691"/>
              <w:gridCol w:w="661"/>
              <w:gridCol w:w="845"/>
              <w:gridCol w:w="661"/>
              <w:gridCol w:w="645"/>
              <w:gridCol w:w="1060"/>
              <w:gridCol w:w="1114"/>
              <w:gridCol w:w="768"/>
              <w:gridCol w:w="594"/>
            </w:tblGrid>
            <w:tr w14:paraId="1CB0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670" w:type="pct"/>
                  <w:vMerge w:val="restart"/>
                  <w:noWrap w:val="0"/>
                  <w:vAlign w:val="center"/>
                </w:tcPr>
                <w:p w14:paraId="463E24F2">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监测点位</w:t>
                  </w:r>
                </w:p>
              </w:tc>
              <w:tc>
                <w:tcPr>
                  <w:tcW w:w="831" w:type="pct"/>
                  <w:gridSpan w:val="2"/>
                  <w:noWrap w:val="0"/>
                  <w:vAlign w:val="center"/>
                </w:tcPr>
                <w:p w14:paraId="5DD98894">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监测点坐标</w:t>
                  </w:r>
                  <w:r>
                    <w:rPr>
                      <w:rFonts w:hint="default" w:ascii="Times New Roman" w:hAnsi="Times New Roman" w:cs="Times New Roman"/>
                      <w:color w:val="auto"/>
                      <w:sz w:val="18"/>
                      <w:szCs w:val="18"/>
                      <w:lang w:val="en-US" w:eastAsia="zh-CN"/>
                    </w:rPr>
                    <w:t>/m</w:t>
                  </w:r>
                </w:p>
              </w:tc>
              <w:tc>
                <w:tcPr>
                  <w:tcW w:w="519" w:type="pct"/>
                  <w:vMerge w:val="restart"/>
                  <w:noWrap w:val="0"/>
                  <w:vAlign w:val="center"/>
                </w:tcPr>
                <w:p w14:paraId="0B715B8F">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监测项目</w:t>
                  </w:r>
                </w:p>
              </w:tc>
              <w:tc>
                <w:tcPr>
                  <w:tcW w:w="406" w:type="pct"/>
                  <w:vMerge w:val="restart"/>
                  <w:noWrap w:val="0"/>
                  <w:vAlign w:val="center"/>
                </w:tcPr>
                <w:p w14:paraId="6C457B81">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eastAsia="zh-CN"/>
                    </w:rPr>
                    <w:t>平均时间</w:t>
                  </w:r>
                </w:p>
              </w:tc>
              <w:tc>
                <w:tcPr>
                  <w:tcW w:w="396" w:type="pct"/>
                  <w:vMerge w:val="restart"/>
                  <w:noWrap w:val="0"/>
                  <w:vAlign w:val="center"/>
                </w:tcPr>
                <w:p w14:paraId="61679297">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评价标准</w:t>
                  </w:r>
                </w:p>
              </w:tc>
              <w:tc>
                <w:tcPr>
                  <w:tcW w:w="652" w:type="pct"/>
                  <w:vMerge w:val="restart"/>
                  <w:noWrap w:val="0"/>
                  <w:vAlign w:val="center"/>
                </w:tcPr>
                <w:p w14:paraId="7AC8DB1E">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监测浓度范围</w:t>
                  </w:r>
                </w:p>
              </w:tc>
              <w:tc>
                <w:tcPr>
                  <w:tcW w:w="685" w:type="pct"/>
                  <w:vMerge w:val="restart"/>
                  <w:noWrap w:val="0"/>
                  <w:vAlign w:val="center"/>
                </w:tcPr>
                <w:p w14:paraId="50F2B865">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最大浓度占标率（%）</w:t>
                  </w:r>
                </w:p>
              </w:tc>
              <w:tc>
                <w:tcPr>
                  <w:tcW w:w="472" w:type="pct"/>
                  <w:vMerge w:val="restart"/>
                  <w:noWrap w:val="0"/>
                  <w:vAlign w:val="center"/>
                </w:tcPr>
                <w:p w14:paraId="20E21F7B">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超标率（%）</w:t>
                  </w:r>
                </w:p>
              </w:tc>
              <w:tc>
                <w:tcPr>
                  <w:tcW w:w="365" w:type="pct"/>
                  <w:vMerge w:val="restart"/>
                  <w:noWrap w:val="0"/>
                  <w:vAlign w:val="center"/>
                </w:tcPr>
                <w:p w14:paraId="59271C36">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达标情况</w:t>
                  </w:r>
                </w:p>
              </w:tc>
            </w:tr>
            <w:tr w14:paraId="1077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670" w:type="pct"/>
                  <w:vMerge w:val="continue"/>
                  <w:noWrap w:val="0"/>
                  <w:vAlign w:val="center"/>
                </w:tcPr>
                <w:p w14:paraId="3D90BF16">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cs="Times New Roman"/>
                      <w:color w:val="auto"/>
                      <w:sz w:val="18"/>
                      <w:szCs w:val="18"/>
                    </w:rPr>
                  </w:pPr>
                </w:p>
              </w:tc>
              <w:tc>
                <w:tcPr>
                  <w:tcW w:w="425" w:type="pct"/>
                  <w:noWrap w:val="0"/>
                  <w:vAlign w:val="center"/>
                </w:tcPr>
                <w:p w14:paraId="0D599BE2">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X</w:t>
                  </w:r>
                </w:p>
              </w:tc>
              <w:tc>
                <w:tcPr>
                  <w:tcW w:w="406" w:type="pct"/>
                  <w:noWrap w:val="0"/>
                  <w:vAlign w:val="center"/>
                </w:tcPr>
                <w:p w14:paraId="7A1082EA">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Y</w:t>
                  </w:r>
                </w:p>
              </w:tc>
              <w:tc>
                <w:tcPr>
                  <w:tcW w:w="519" w:type="pct"/>
                  <w:vMerge w:val="continue"/>
                  <w:noWrap w:val="0"/>
                  <w:vAlign w:val="center"/>
                </w:tcPr>
                <w:p w14:paraId="10224D3A">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rPr>
                  </w:pPr>
                </w:p>
              </w:tc>
              <w:tc>
                <w:tcPr>
                  <w:tcW w:w="406" w:type="pct"/>
                  <w:vMerge w:val="continue"/>
                  <w:noWrap w:val="0"/>
                  <w:vAlign w:val="center"/>
                </w:tcPr>
                <w:p w14:paraId="1F672DDC">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rPr>
                  </w:pPr>
                </w:p>
              </w:tc>
              <w:tc>
                <w:tcPr>
                  <w:tcW w:w="396" w:type="pct"/>
                  <w:vMerge w:val="continue"/>
                  <w:noWrap w:val="0"/>
                  <w:vAlign w:val="center"/>
                </w:tcPr>
                <w:p w14:paraId="3C7A12F7">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rPr>
                  </w:pPr>
                </w:p>
              </w:tc>
              <w:tc>
                <w:tcPr>
                  <w:tcW w:w="652" w:type="pct"/>
                  <w:vMerge w:val="continue"/>
                  <w:noWrap w:val="0"/>
                  <w:vAlign w:val="center"/>
                </w:tcPr>
                <w:p w14:paraId="00525AFB">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rPr>
                  </w:pPr>
                </w:p>
              </w:tc>
              <w:tc>
                <w:tcPr>
                  <w:tcW w:w="685" w:type="pct"/>
                  <w:vMerge w:val="continue"/>
                  <w:noWrap w:val="0"/>
                  <w:vAlign w:val="center"/>
                </w:tcPr>
                <w:p w14:paraId="3B066C0A">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rPr>
                  </w:pPr>
                </w:p>
              </w:tc>
              <w:tc>
                <w:tcPr>
                  <w:tcW w:w="472" w:type="pct"/>
                  <w:vMerge w:val="continue"/>
                  <w:noWrap w:val="0"/>
                  <w:vAlign w:val="center"/>
                </w:tcPr>
                <w:p w14:paraId="587B1242">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rPr>
                  </w:pPr>
                </w:p>
              </w:tc>
              <w:tc>
                <w:tcPr>
                  <w:tcW w:w="365" w:type="pct"/>
                  <w:vMerge w:val="continue"/>
                  <w:noWrap w:val="0"/>
                  <w:vAlign w:val="center"/>
                </w:tcPr>
                <w:p w14:paraId="34D24559">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rPr>
                  </w:pPr>
                </w:p>
              </w:tc>
            </w:tr>
            <w:tr w14:paraId="4145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0" w:type="pct"/>
                  <w:noWrap w:val="0"/>
                  <w:vAlign w:val="center"/>
                </w:tcPr>
                <w:p w14:paraId="31969DDB">
                  <w:pPr>
                    <w:keepNext w:val="0"/>
                    <w:keepLines w:val="0"/>
                    <w:pageBreakBefore w:val="0"/>
                    <w:kinsoku/>
                    <w:wordWrap/>
                    <w:overflowPunct/>
                    <w:topLinePunct w:val="0"/>
                    <w:autoSpaceDE/>
                    <w:autoSpaceDN/>
                    <w:bidi w:val="0"/>
                    <w:adjustRightInd w:val="0"/>
                    <w:snapToGrid w:val="0"/>
                    <w:ind w:left="-57" w:leftChars="0" w:right="-57" w:rightChars="0"/>
                    <w:jc w:val="center"/>
                    <w:textAlignment w:val="auto"/>
                    <w:rPr>
                      <w:rFonts w:hint="default" w:ascii="Times New Roman" w:hAnsi="Times New Roman" w:eastAsia="宋体" w:cs="Times New Roman"/>
                      <w:bCs/>
                      <w:color w:val="auto"/>
                      <w:kern w:val="2"/>
                      <w:sz w:val="18"/>
                      <w:szCs w:val="18"/>
                      <w:lang w:val="en-US" w:eastAsia="zh-CN" w:bidi="ar-SA"/>
                    </w:rPr>
                  </w:pPr>
                  <w:r>
                    <w:rPr>
                      <w:rFonts w:hint="eastAsia" w:cs="Times New Roman"/>
                      <w:bCs/>
                      <w:color w:val="auto"/>
                      <w:kern w:val="2"/>
                      <w:sz w:val="18"/>
                      <w:szCs w:val="18"/>
                      <w:lang w:val="en-US" w:eastAsia="zh-CN" w:bidi="ar-SA"/>
                    </w:rPr>
                    <w:t>南溪核心区区域下风向</w:t>
                  </w:r>
                </w:p>
              </w:tc>
              <w:tc>
                <w:tcPr>
                  <w:tcW w:w="425" w:type="pct"/>
                  <w:noWrap w:val="0"/>
                  <w:vAlign w:val="center"/>
                </w:tcPr>
                <w:p w14:paraId="334FD125">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-1180</w:t>
                  </w:r>
                </w:p>
              </w:tc>
              <w:tc>
                <w:tcPr>
                  <w:tcW w:w="406" w:type="pct"/>
                  <w:noWrap w:val="0"/>
                  <w:vAlign w:val="center"/>
                </w:tcPr>
                <w:p w14:paraId="2F839F66">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-1190</w:t>
                  </w:r>
                </w:p>
              </w:tc>
              <w:tc>
                <w:tcPr>
                  <w:tcW w:w="519" w:type="pct"/>
                  <w:noWrap w:val="0"/>
                  <w:vAlign w:val="center"/>
                </w:tcPr>
                <w:p w14:paraId="0858BEE4">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rPr>
                    <w:t>非甲烷总烃</w:t>
                  </w:r>
                </w:p>
              </w:tc>
              <w:tc>
                <w:tcPr>
                  <w:tcW w:w="406" w:type="pct"/>
                  <w:noWrap w:val="0"/>
                  <w:vAlign w:val="center"/>
                </w:tcPr>
                <w:p w14:paraId="1591CD8C">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1h平均值</w:t>
                  </w:r>
                </w:p>
              </w:tc>
              <w:tc>
                <w:tcPr>
                  <w:tcW w:w="396" w:type="pct"/>
                  <w:noWrap w:val="0"/>
                  <w:vAlign w:val="center"/>
                </w:tcPr>
                <w:p w14:paraId="45226522">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2.0</w:t>
                  </w:r>
                </w:p>
              </w:tc>
              <w:tc>
                <w:tcPr>
                  <w:tcW w:w="652" w:type="pct"/>
                  <w:noWrap w:val="0"/>
                  <w:vAlign w:val="center"/>
                </w:tcPr>
                <w:p w14:paraId="6FE03C61">
                  <w:pPr>
                    <w:keepNext w:val="0"/>
                    <w:keepLines w:val="0"/>
                    <w:pageBreakBefore w:val="0"/>
                    <w:widowControl/>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bCs/>
                      <w:color w:val="auto"/>
                      <w:sz w:val="18"/>
                      <w:szCs w:val="18"/>
                    </w:rPr>
                    <w:t>0.</w:t>
                  </w:r>
                  <w:r>
                    <w:rPr>
                      <w:rFonts w:hint="eastAsia" w:cs="Times New Roman"/>
                      <w:bCs/>
                      <w:color w:val="auto"/>
                      <w:sz w:val="18"/>
                      <w:szCs w:val="18"/>
                      <w:lang w:val="en-US" w:eastAsia="zh-CN"/>
                    </w:rPr>
                    <w:t>28</w:t>
                  </w:r>
                  <w:r>
                    <w:rPr>
                      <w:rFonts w:hint="default" w:ascii="Times New Roman" w:hAnsi="Times New Roman" w:eastAsia="宋体" w:cs="Times New Roman"/>
                      <w:bCs/>
                      <w:color w:val="auto"/>
                      <w:sz w:val="18"/>
                      <w:szCs w:val="18"/>
                    </w:rPr>
                    <w:t>~0.</w:t>
                  </w:r>
                  <w:r>
                    <w:rPr>
                      <w:rFonts w:hint="eastAsia" w:cs="Times New Roman"/>
                      <w:bCs/>
                      <w:color w:val="auto"/>
                      <w:sz w:val="18"/>
                      <w:szCs w:val="18"/>
                      <w:lang w:val="en-US" w:eastAsia="zh-CN"/>
                    </w:rPr>
                    <w:t>75</w:t>
                  </w:r>
                </w:p>
              </w:tc>
              <w:tc>
                <w:tcPr>
                  <w:tcW w:w="685" w:type="pct"/>
                  <w:noWrap w:val="0"/>
                  <w:vAlign w:val="center"/>
                </w:tcPr>
                <w:p w14:paraId="3A3884A7">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37.5</w:t>
                  </w:r>
                </w:p>
              </w:tc>
              <w:tc>
                <w:tcPr>
                  <w:tcW w:w="472" w:type="pct"/>
                  <w:noWrap w:val="0"/>
                  <w:vAlign w:val="center"/>
                </w:tcPr>
                <w:p w14:paraId="4F1845E8">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0</w:t>
                  </w:r>
                </w:p>
              </w:tc>
              <w:tc>
                <w:tcPr>
                  <w:tcW w:w="365" w:type="pct"/>
                  <w:noWrap w:val="0"/>
                  <w:vAlign w:val="center"/>
                </w:tcPr>
                <w:p w14:paraId="4C027632">
                  <w:pPr>
                    <w:keepNext w:val="0"/>
                    <w:keepLines w:val="0"/>
                    <w:pageBreakBefore w:val="0"/>
                    <w:kinsoku/>
                    <w:wordWrap/>
                    <w:overflowPunct/>
                    <w:topLinePunct w:val="0"/>
                    <w:autoSpaceDE/>
                    <w:autoSpaceDN/>
                    <w:bidi w:val="0"/>
                    <w:spacing w:line="240" w:lineRule="auto"/>
                    <w:ind w:left="-57" w:leftChars="0" w:right="-57"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eastAsia="zh-CN"/>
                    </w:rPr>
                    <w:t>达标</w:t>
                  </w:r>
                </w:p>
              </w:tc>
            </w:tr>
          </w:tbl>
          <w:p w14:paraId="32C7853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GB" w:eastAsia="zh-CN"/>
              </w:rPr>
              <w:t>从上表可以看出，项目所在区域环境空气中非甲烷总烃满足河北省地方标准《环境空气质量  非甲烷总烃限值》（DB 13/1577-2012）中二级标准要求</w:t>
            </w:r>
            <w:r>
              <w:rPr>
                <w:rFonts w:hint="default" w:ascii="Times New Roman" w:hAnsi="Times New Roman" w:eastAsia="宋体" w:cs="Times New Roman"/>
                <w:color w:val="auto"/>
                <w:kern w:val="0"/>
                <w:sz w:val="21"/>
                <w:szCs w:val="21"/>
                <w:lang w:val="en-GB"/>
              </w:rPr>
              <w:t>。</w:t>
            </w:r>
          </w:p>
          <w:p w14:paraId="51EF3E6F">
            <w:pPr>
              <w:spacing w:line="36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Cs w:val="21"/>
              </w:rPr>
              <w:t>3.</w:t>
            </w:r>
            <w:r>
              <w:rPr>
                <w:rFonts w:hint="default" w:ascii="Times New Roman" w:hAnsi="Times New Roman" w:cs="Times New Roman"/>
                <w:b/>
                <w:bCs/>
                <w:color w:val="auto"/>
                <w:sz w:val="21"/>
                <w:szCs w:val="21"/>
              </w:rPr>
              <w:t>2地表水环境质量现状</w:t>
            </w:r>
          </w:p>
          <w:p w14:paraId="0DF721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kern w:val="0"/>
                <w:sz w:val="21"/>
                <w:szCs w:val="21"/>
                <w:lang w:val="en-GB"/>
              </w:rPr>
            </w:pPr>
            <w:r>
              <w:rPr>
                <w:rFonts w:hint="default" w:ascii="Times New Roman" w:hAnsi="Times New Roman" w:eastAsia="宋体" w:cs="Times New Roman"/>
                <w:color w:val="auto"/>
                <w:kern w:val="0"/>
                <w:sz w:val="21"/>
                <w:szCs w:val="21"/>
                <w:lang w:val="en-GB"/>
              </w:rPr>
              <w:t>本项目</w:t>
            </w:r>
            <w:r>
              <w:rPr>
                <w:rFonts w:hint="eastAsia" w:ascii="Times New Roman" w:hAnsi="Times New Roman" w:eastAsia="宋体" w:cs="Times New Roman"/>
                <w:color w:val="auto"/>
                <w:kern w:val="0"/>
                <w:sz w:val="21"/>
                <w:szCs w:val="21"/>
                <w:lang w:val="en-GB" w:eastAsia="zh-CN"/>
              </w:rPr>
              <w:t>废水</w:t>
            </w:r>
            <w:r>
              <w:rPr>
                <w:rFonts w:hint="default" w:ascii="Times New Roman" w:hAnsi="Times New Roman" w:eastAsia="宋体" w:cs="Times New Roman"/>
                <w:color w:val="auto"/>
                <w:kern w:val="0"/>
                <w:sz w:val="21"/>
                <w:szCs w:val="21"/>
                <w:lang w:val="en-GB"/>
              </w:rPr>
              <w:t>经南溪</w:t>
            </w:r>
            <w:r>
              <w:rPr>
                <w:rFonts w:hint="eastAsia" w:cs="Times New Roman"/>
                <w:color w:val="auto"/>
                <w:kern w:val="0"/>
                <w:sz w:val="21"/>
                <w:szCs w:val="21"/>
                <w:lang w:val="en-GB" w:eastAsia="zh-CN"/>
              </w:rPr>
              <w:t>组团</w:t>
            </w:r>
            <w:r>
              <w:rPr>
                <w:rFonts w:hint="default" w:ascii="Times New Roman" w:hAnsi="Times New Roman" w:eastAsia="宋体" w:cs="Times New Roman"/>
                <w:color w:val="auto"/>
                <w:kern w:val="0"/>
                <w:sz w:val="21"/>
                <w:szCs w:val="21"/>
                <w:lang w:val="en-GB"/>
              </w:rPr>
              <w:t>A区污水处理厂处理达标后排入建梁河，后汇入嘉陵江，建梁河未划定水域功能，根据《重庆市地面水域环境功能调整方案的通知》（渝府发</w:t>
            </w:r>
            <w:r>
              <w:rPr>
                <w:rFonts w:hint="eastAsia" w:cs="Times New Roman"/>
                <w:color w:val="auto"/>
                <w:kern w:val="0"/>
                <w:sz w:val="21"/>
                <w:szCs w:val="21"/>
                <w:lang w:val="en-GB" w:eastAsia="zh-CN"/>
              </w:rPr>
              <w:t>〔</w:t>
            </w:r>
            <w:r>
              <w:rPr>
                <w:rFonts w:hint="default" w:ascii="Times New Roman" w:hAnsi="Times New Roman" w:eastAsia="宋体" w:cs="Times New Roman"/>
                <w:color w:val="auto"/>
                <w:kern w:val="0"/>
                <w:sz w:val="21"/>
                <w:szCs w:val="21"/>
                <w:lang w:val="en-GB"/>
              </w:rPr>
              <w:t>2014</w:t>
            </w:r>
            <w:r>
              <w:rPr>
                <w:rFonts w:hint="eastAsia" w:cs="Times New Roman"/>
                <w:color w:val="auto"/>
                <w:kern w:val="0"/>
                <w:sz w:val="21"/>
                <w:szCs w:val="21"/>
                <w:lang w:val="en-GB" w:eastAsia="zh-CN"/>
              </w:rPr>
              <w:t>〕</w:t>
            </w:r>
            <w:r>
              <w:rPr>
                <w:rFonts w:hint="default" w:ascii="Times New Roman" w:hAnsi="Times New Roman" w:eastAsia="宋体" w:cs="Times New Roman"/>
                <w:color w:val="auto"/>
                <w:kern w:val="0"/>
                <w:sz w:val="21"/>
                <w:szCs w:val="21"/>
                <w:lang w:val="en-GB"/>
              </w:rPr>
              <w:t>4号），嘉陵江属于Ⅲ类水域，执行《地表水环境质量标准》（GB</w:t>
            </w:r>
            <w:r>
              <w:rPr>
                <w:rFonts w:hint="eastAsia" w:cs="Times New Roman"/>
                <w:color w:val="auto"/>
                <w:kern w:val="0"/>
                <w:sz w:val="21"/>
                <w:szCs w:val="21"/>
                <w:lang w:val="en-US" w:eastAsia="zh-CN"/>
              </w:rPr>
              <w:t xml:space="preserve"> </w:t>
            </w:r>
            <w:r>
              <w:rPr>
                <w:rFonts w:hint="default" w:ascii="Times New Roman" w:hAnsi="Times New Roman" w:eastAsia="宋体" w:cs="Times New Roman"/>
                <w:color w:val="auto"/>
                <w:kern w:val="0"/>
                <w:sz w:val="21"/>
                <w:szCs w:val="21"/>
                <w:lang w:val="en-GB"/>
              </w:rPr>
              <w:t>3838-2002）Ⅲ类水域标准。</w:t>
            </w:r>
          </w:p>
          <w:p w14:paraId="694B416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根据《建设项目环境影响报告表编制技术指南（污染影响类）（试行）》中</w:t>
            </w:r>
            <w:r>
              <w:rPr>
                <w:rFonts w:hint="eastAsia" w:ascii="Times New Roman" w:hAnsi="Times New Roman" w:cs="Times New Roman"/>
                <w:color w:val="auto"/>
                <w:kern w:val="0"/>
                <w:sz w:val="21"/>
                <w:szCs w:val="21"/>
                <w:lang w:eastAsia="zh-CN"/>
              </w:rPr>
              <w:t>地表</w:t>
            </w:r>
            <w:r>
              <w:rPr>
                <w:rFonts w:hint="default" w:ascii="Times New Roman" w:hAnsi="Times New Roman" w:cs="Times New Roman"/>
                <w:color w:val="auto"/>
                <w:kern w:val="0"/>
                <w:sz w:val="21"/>
                <w:szCs w:val="21"/>
                <w:lang w:eastAsia="zh-CN"/>
              </w:rPr>
              <w:t>水环境质量现状调查要求，可引用近3年的规划环境影响评价的监测数据，所在流域控制单元内国家、地方控制断面监测数据，生态环境主管部门发布的水环境质量数据或地表水达标情况的结论。</w:t>
            </w:r>
          </w:p>
          <w:p w14:paraId="773E1A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auto"/>
                <w:kern w:val="0"/>
                <w:sz w:val="21"/>
                <w:szCs w:val="21"/>
                <w:lang w:val="en-GB" w:eastAsia="zh-CN"/>
              </w:rPr>
            </w:pPr>
            <w:r>
              <w:rPr>
                <w:rFonts w:hint="default" w:ascii="Times New Roman" w:hAnsi="Times New Roman" w:cs="Times New Roman"/>
                <w:color w:val="auto"/>
                <w:kern w:val="0"/>
                <w:sz w:val="21"/>
                <w:szCs w:val="21"/>
                <w:lang w:val="en-US" w:eastAsia="zh-CN"/>
              </w:rPr>
              <w:t>根据</w:t>
            </w:r>
            <w:r>
              <w:rPr>
                <w:rFonts w:hint="eastAsia" w:cs="Times New Roman"/>
                <w:color w:val="auto"/>
                <w:kern w:val="0"/>
                <w:sz w:val="21"/>
                <w:szCs w:val="21"/>
                <w:lang w:val="en-US" w:eastAsia="zh-CN"/>
              </w:rPr>
              <w:t>合川</w:t>
            </w:r>
            <w:r>
              <w:rPr>
                <w:rFonts w:hint="default" w:ascii="Times New Roman" w:hAnsi="Times New Roman" w:cs="Times New Roman"/>
                <w:color w:val="auto"/>
                <w:kern w:val="0"/>
                <w:sz w:val="21"/>
                <w:szCs w:val="21"/>
                <w:lang w:val="en-US" w:eastAsia="zh-CN"/>
              </w:rPr>
              <w:t>区生态环境局最新公布的2025年</w:t>
            </w:r>
            <w:r>
              <w:rPr>
                <w:rFonts w:hint="eastAsia" w:cs="Times New Roman"/>
                <w:color w:val="auto"/>
                <w:kern w:val="0"/>
                <w:sz w:val="21"/>
                <w:szCs w:val="21"/>
                <w:lang w:val="en-US" w:eastAsia="zh-CN"/>
              </w:rPr>
              <w:t>5月合川区</w:t>
            </w:r>
            <w:r>
              <w:rPr>
                <w:rFonts w:hint="default" w:ascii="Times New Roman" w:hAnsi="Times New Roman" w:cs="Times New Roman"/>
                <w:color w:val="auto"/>
                <w:kern w:val="0"/>
                <w:sz w:val="21"/>
                <w:szCs w:val="21"/>
                <w:lang w:val="en-US" w:eastAsia="zh-CN"/>
              </w:rPr>
              <w:t>水环境质量</w:t>
            </w:r>
            <w:r>
              <w:rPr>
                <w:rFonts w:hint="eastAsia" w:cs="Times New Roman"/>
                <w:color w:val="auto"/>
                <w:kern w:val="0"/>
                <w:sz w:val="21"/>
                <w:szCs w:val="21"/>
                <w:lang w:val="en-US" w:eastAsia="zh-CN"/>
              </w:rPr>
              <w:t>状况</w:t>
            </w:r>
            <w:r>
              <w:rPr>
                <w:rFonts w:hint="default" w:ascii="Times New Roman" w:hAnsi="Times New Roman" w:cs="Times New Roman"/>
                <w:color w:val="auto"/>
                <w:kern w:val="0"/>
                <w:sz w:val="21"/>
                <w:szCs w:val="21"/>
                <w:lang w:val="en-US" w:eastAsia="zh-CN"/>
              </w:rPr>
              <w:t>（https://www.hc.gov.cn/bmjd/bm_100475/sthjj/zwgk_101315/jczwgk_163288/hjbhlyxxgk/hjgl/shjgl/202506/t20250610_14701620.html），</w:t>
            </w:r>
            <w:r>
              <w:rPr>
                <w:rFonts w:hint="eastAsia" w:cs="Times New Roman"/>
                <w:color w:val="auto"/>
                <w:kern w:val="0"/>
                <w:sz w:val="21"/>
                <w:szCs w:val="21"/>
                <w:lang w:val="en-US" w:eastAsia="zh-CN"/>
              </w:rPr>
              <w:t>嘉陵江金子断面</w:t>
            </w:r>
            <w:r>
              <w:rPr>
                <w:rFonts w:hint="default" w:ascii="Times New Roman" w:hAnsi="Times New Roman" w:cs="Times New Roman"/>
                <w:color w:val="auto"/>
                <w:kern w:val="0"/>
                <w:sz w:val="21"/>
                <w:szCs w:val="21"/>
                <w:lang w:val="en-US" w:eastAsia="zh-CN"/>
              </w:rPr>
              <w:t>水质满足《地表水环境质量标准》（GB 3838-2002）Ⅱ类标准，水质达标。</w:t>
            </w:r>
          </w:p>
          <w:p w14:paraId="50C611E3">
            <w:pPr>
              <w:spacing w:line="360" w:lineRule="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3.3声环境质量现状</w:t>
            </w:r>
          </w:p>
          <w:p w14:paraId="546823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根据《建设项目环境影响报告表编制技术指南（污染影响类）（试行）》可知，声环境质量现状应监测项目厂界外周边50米范围内的声环境保护目标。根据调查，</w:t>
            </w:r>
            <w:r>
              <w:rPr>
                <w:rFonts w:hint="eastAsia" w:ascii="Times New Roman" w:hAnsi="Times New Roman" w:eastAsia="宋体" w:cs="Times New Roman"/>
                <w:color w:val="auto"/>
                <w:kern w:val="0"/>
                <w:sz w:val="21"/>
                <w:szCs w:val="21"/>
                <w:lang w:eastAsia="zh-CN"/>
              </w:rPr>
              <w:t>本项</w:t>
            </w:r>
            <w:r>
              <w:rPr>
                <w:rFonts w:hint="default" w:ascii="Times New Roman" w:hAnsi="Times New Roman" w:eastAsia="宋体" w:cs="Times New Roman"/>
                <w:color w:val="auto"/>
                <w:kern w:val="0"/>
                <w:sz w:val="21"/>
                <w:szCs w:val="21"/>
              </w:rPr>
              <w:t>目厂界外周边50m范围为工业用地，不存在声环境保护目标，因此，项目</w:t>
            </w:r>
            <w:r>
              <w:rPr>
                <w:rFonts w:hint="eastAsia" w:cs="Times New Roman"/>
                <w:color w:val="auto"/>
                <w:kern w:val="0"/>
                <w:sz w:val="21"/>
                <w:szCs w:val="21"/>
                <w:lang w:val="en-US" w:eastAsia="zh-CN"/>
              </w:rPr>
              <w:t>无需</w:t>
            </w:r>
            <w:r>
              <w:rPr>
                <w:rFonts w:hint="default" w:ascii="Times New Roman" w:hAnsi="Times New Roman" w:eastAsia="宋体" w:cs="Times New Roman"/>
                <w:color w:val="auto"/>
                <w:kern w:val="0"/>
                <w:sz w:val="21"/>
                <w:szCs w:val="21"/>
              </w:rPr>
              <w:t>进行声环境质量现状监测与评价。</w:t>
            </w:r>
          </w:p>
          <w:p w14:paraId="7288587A">
            <w:pPr>
              <w:adjustRightInd w:val="0"/>
              <w:snapToGrid w:val="0"/>
              <w:spacing w:line="360" w:lineRule="auto"/>
              <w:rPr>
                <w:rFonts w:hint="default" w:ascii="Times New Roman" w:hAnsi="Times New Roman" w:cs="Times New Roman"/>
                <w:b/>
                <w:bCs/>
                <w:color w:val="auto"/>
                <w:szCs w:val="21"/>
              </w:rPr>
            </w:pPr>
            <w:r>
              <w:rPr>
                <w:rFonts w:hint="default" w:ascii="Times New Roman" w:hAnsi="Times New Roman" w:cs="Times New Roman"/>
                <w:b/>
                <w:bCs/>
                <w:color w:val="auto"/>
                <w:szCs w:val="21"/>
                <w:lang w:val="en-US" w:eastAsia="zh-CN"/>
              </w:rPr>
              <w:t>3.4</w:t>
            </w:r>
            <w:r>
              <w:rPr>
                <w:rFonts w:hint="default" w:ascii="Times New Roman" w:hAnsi="Times New Roman" w:cs="Times New Roman"/>
                <w:b/>
                <w:bCs/>
                <w:color w:val="auto"/>
                <w:szCs w:val="21"/>
              </w:rPr>
              <w:t>地下水、土壤环境</w:t>
            </w:r>
          </w:p>
          <w:p w14:paraId="00F68A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根据《建设项目环境影响报告表编制技术指南（污染影响类）（试行）》可知，地下水原则上不开展环境质量现状调查。建设项目存在地下水环境污染途径的，应结合污染源、保护目标分布情况开展现状调查以留作背景样。</w:t>
            </w:r>
          </w:p>
          <w:p w14:paraId="3B74AC34">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eastAsia="宋体" w:cs="Times New Roman"/>
                <w:color w:val="auto"/>
                <w:kern w:val="0"/>
                <w:szCs w:val="21"/>
                <w:lang w:val="en-US" w:eastAsia="zh-CN"/>
              </w:rPr>
              <w:t>本项目</w:t>
            </w:r>
            <w:r>
              <w:rPr>
                <w:rFonts w:hint="eastAsia" w:ascii="Times New Roman" w:hAnsi="Times New Roman" w:cs="Times New Roman"/>
                <w:color w:val="auto"/>
                <w:kern w:val="0"/>
                <w:szCs w:val="21"/>
                <w:lang w:val="en-US" w:eastAsia="zh-CN"/>
              </w:rPr>
              <w:t>租赁</w:t>
            </w:r>
            <w:r>
              <w:rPr>
                <w:rFonts w:hint="eastAsia" w:cs="Times New Roman"/>
                <w:color w:val="auto"/>
                <w:kern w:val="0"/>
                <w:szCs w:val="21"/>
                <w:lang w:val="en-US" w:eastAsia="zh-CN"/>
              </w:rPr>
              <w:t>重庆市合川区南津街街道龙阳路10号1楼B区、C区厂房（南溪组团A区）</w:t>
            </w:r>
            <w:r>
              <w:rPr>
                <w:rFonts w:hint="default" w:ascii="Times New Roman" w:hAnsi="Times New Roman" w:cs="Times New Roman"/>
                <w:bCs/>
                <w:color w:val="auto"/>
                <w:sz w:val="21"/>
                <w:szCs w:val="21"/>
                <w:lang w:val="en-US" w:eastAsia="zh-CN"/>
              </w:rPr>
              <w:t>建设，项目用地性质为工业用地，周边均为工业用地，项目周边</w:t>
            </w:r>
            <w:r>
              <w:rPr>
                <w:rFonts w:hint="default" w:ascii="Times New Roman" w:hAnsi="Times New Roman" w:cs="Times New Roman"/>
                <w:color w:val="auto"/>
                <w:szCs w:val="21"/>
                <w:highlight w:val="none"/>
              </w:rPr>
              <w:t>地下水、土壤环境相对不敏感</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同时</w:t>
            </w:r>
            <w:r>
              <w:rPr>
                <w:rFonts w:hint="eastAsia" w:ascii="Times New Roman" w:hAnsi="Times New Roman" w:cs="Times New Roman"/>
                <w:bCs/>
                <w:color w:val="auto"/>
                <w:sz w:val="21"/>
                <w:szCs w:val="21"/>
                <w:lang w:val="en-US" w:eastAsia="zh-CN"/>
              </w:rPr>
              <w:t>租赁</w:t>
            </w:r>
            <w:r>
              <w:rPr>
                <w:rFonts w:hint="default" w:ascii="Times New Roman" w:hAnsi="Times New Roman" w:cs="Times New Roman"/>
                <w:bCs/>
                <w:color w:val="auto"/>
                <w:sz w:val="21"/>
                <w:szCs w:val="21"/>
                <w:lang w:val="en-US" w:eastAsia="zh-CN"/>
              </w:rPr>
              <w:t>厂房地面已经进行硬化并做了防渗处理，项目</w:t>
            </w:r>
            <w:r>
              <w:rPr>
                <w:rFonts w:hint="eastAsia" w:ascii="Times New Roman" w:hAnsi="Times New Roman" w:cs="Times New Roman"/>
                <w:bCs/>
                <w:color w:val="auto"/>
                <w:sz w:val="21"/>
                <w:szCs w:val="21"/>
                <w:lang w:val="en-US" w:eastAsia="zh-CN"/>
              </w:rPr>
              <w:t>危险废物贮存库</w:t>
            </w:r>
            <w:r>
              <w:rPr>
                <w:rFonts w:hint="default" w:ascii="Times New Roman" w:hAnsi="Times New Roman" w:cs="Times New Roman"/>
                <w:bCs/>
                <w:color w:val="auto"/>
                <w:sz w:val="21"/>
                <w:szCs w:val="21"/>
                <w:lang w:val="en-US" w:eastAsia="zh-CN"/>
              </w:rPr>
              <w:t>、油料暂存间等地方在采取防渗措施后，</w:t>
            </w:r>
            <w:r>
              <w:rPr>
                <w:rFonts w:hint="default" w:ascii="Times New Roman" w:hAnsi="Times New Roman" w:cs="Times New Roman"/>
                <w:color w:val="auto"/>
                <w:szCs w:val="21"/>
                <w:highlight w:val="none"/>
              </w:rPr>
              <w:t>基本不存在土壤、地下水环境污染途径，因此，本评价</w:t>
            </w:r>
            <w:r>
              <w:rPr>
                <w:rFonts w:hint="eastAsia" w:cs="Times New Roman"/>
                <w:color w:val="auto"/>
                <w:szCs w:val="21"/>
                <w:highlight w:val="none"/>
                <w:lang w:val="en-US" w:eastAsia="zh-CN"/>
              </w:rPr>
              <w:t>未</w:t>
            </w:r>
            <w:r>
              <w:rPr>
                <w:rFonts w:hint="default" w:ascii="Times New Roman" w:hAnsi="Times New Roman" w:cs="Times New Roman"/>
                <w:color w:val="auto"/>
                <w:szCs w:val="21"/>
                <w:highlight w:val="none"/>
              </w:rPr>
              <w:t>对项目地下水、土壤环境质量进行</w:t>
            </w:r>
            <w:r>
              <w:rPr>
                <w:rFonts w:hint="default" w:ascii="Times New Roman" w:hAnsi="Times New Roman" w:cs="Times New Roman"/>
                <w:color w:val="auto"/>
                <w:szCs w:val="21"/>
                <w:highlight w:val="none"/>
                <w:lang w:val="en-US" w:eastAsia="zh-CN"/>
              </w:rPr>
              <w:t>现状</w:t>
            </w:r>
            <w:r>
              <w:rPr>
                <w:rFonts w:hint="default" w:ascii="Times New Roman" w:hAnsi="Times New Roman" w:cs="Times New Roman"/>
                <w:color w:val="auto"/>
                <w:szCs w:val="21"/>
                <w:highlight w:val="none"/>
              </w:rPr>
              <w:t>监测。</w:t>
            </w:r>
          </w:p>
        </w:tc>
      </w:tr>
      <w:tr w14:paraId="111D2B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4" w:hRule="atLeast"/>
          <w:jc w:val="center"/>
        </w:trPr>
        <w:tc>
          <w:tcPr>
            <w:tcW w:w="374" w:type="pct"/>
            <w:noWrap w:val="0"/>
            <w:vAlign w:val="center"/>
          </w:tcPr>
          <w:p w14:paraId="791D921F">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w:t>
            </w:r>
          </w:p>
          <w:p w14:paraId="553D6E6E">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保护</w:t>
            </w:r>
          </w:p>
          <w:p w14:paraId="68C8568D">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目标</w:t>
            </w:r>
          </w:p>
        </w:tc>
        <w:tc>
          <w:tcPr>
            <w:tcW w:w="4625" w:type="pct"/>
            <w:noWrap w:val="0"/>
            <w:vAlign w:val="center"/>
          </w:tcPr>
          <w:p w14:paraId="13C29E9C">
            <w:pPr>
              <w:adjustRightInd w:val="0"/>
              <w:snapToGrid w:val="0"/>
              <w:spacing w:line="360" w:lineRule="auto"/>
              <w:rPr>
                <w:rFonts w:hint="default" w:ascii="Times New Roman" w:hAnsi="Times New Roman" w:cs="Times New Roman"/>
                <w:b/>
                <w:color w:val="auto"/>
                <w:szCs w:val="21"/>
              </w:rPr>
            </w:pPr>
            <w:r>
              <w:rPr>
                <w:rFonts w:hint="default" w:ascii="Times New Roman" w:hAnsi="Times New Roman" w:cs="Times New Roman"/>
                <w:b/>
                <w:color w:val="auto"/>
                <w:szCs w:val="21"/>
              </w:rPr>
              <w:t>3.4环境保护目标</w:t>
            </w:r>
          </w:p>
          <w:p w14:paraId="46ABDE23">
            <w:pPr>
              <w:adjustRightInd w:val="0"/>
              <w:snapToGrid w:val="0"/>
              <w:spacing w:line="360" w:lineRule="auto"/>
              <w:ind w:firstLine="422" w:firstLineChars="200"/>
              <w:rPr>
                <w:rFonts w:hint="default" w:ascii="Times New Roman" w:hAnsi="Times New Roman" w:cs="Times New Roman"/>
                <w:b/>
                <w:color w:val="auto"/>
                <w:szCs w:val="21"/>
              </w:rPr>
            </w:pPr>
            <w:r>
              <w:rPr>
                <w:rFonts w:hint="default" w:ascii="Times New Roman" w:hAnsi="Times New Roman" w:cs="Times New Roman"/>
                <w:b/>
                <w:color w:val="auto"/>
                <w:szCs w:val="21"/>
              </w:rPr>
              <w:t>①声环境</w:t>
            </w:r>
          </w:p>
          <w:p w14:paraId="49B85493">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根据现场调查，本项目厂界外周边50</w:t>
            </w:r>
            <w:r>
              <w:rPr>
                <w:rFonts w:hint="default" w:ascii="Times New Roman" w:hAnsi="Times New Roman" w:cs="Times New Roman"/>
                <w:color w:val="auto"/>
                <w:szCs w:val="21"/>
                <w:lang w:eastAsia="zh-CN"/>
              </w:rPr>
              <w:t>m</w:t>
            </w:r>
            <w:r>
              <w:rPr>
                <w:rFonts w:hint="default" w:ascii="Times New Roman" w:hAnsi="Times New Roman" w:cs="Times New Roman"/>
                <w:color w:val="auto"/>
                <w:szCs w:val="21"/>
              </w:rPr>
              <w:t>范围内无声环境保护目标。</w:t>
            </w:r>
          </w:p>
          <w:p w14:paraId="0A9365DF">
            <w:pPr>
              <w:adjustRightInd w:val="0"/>
              <w:snapToGrid w:val="0"/>
              <w:spacing w:line="360" w:lineRule="auto"/>
              <w:ind w:firstLine="422" w:firstLineChars="200"/>
              <w:rPr>
                <w:rFonts w:hint="default" w:ascii="Times New Roman" w:hAnsi="Times New Roman" w:cs="Times New Roman"/>
                <w:b/>
                <w:color w:val="auto"/>
                <w:szCs w:val="21"/>
              </w:rPr>
            </w:pPr>
            <w:r>
              <w:rPr>
                <w:rFonts w:hint="default" w:ascii="Times New Roman" w:hAnsi="Times New Roman" w:cs="Times New Roman"/>
                <w:b/>
                <w:color w:val="auto"/>
                <w:szCs w:val="21"/>
              </w:rPr>
              <w:t>②大气环境</w:t>
            </w:r>
          </w:p>
          <w:p w14:paraId="2486DC2C">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本项目</w:t>
            </w:r>
            <w:r>
              <w:rPr>
                <w:rFonts w:hint="default" w:ascii="Times New Roman" w:hAnsi="Times New Roman" w:cs="Times New Roman"/>
                <w:color w:val="auto"/>
                <w:szCs w:val="21"/>
                <w:lang w:eastAsia="zh-CN"/>
              </w:rPr>
              <w:t>位于工业园区内，根据</w:t>
            </w:r>
            <w:r>
              <w:rPr>
                <w:rFonts w:hint="eastAsia" w:ascii="Times New Roman" w:hAnsi="Times New Roman" w:cs="Times New Roman"/>
                <w:color w:val="auto"/>
                <w:szCs w:val="21"/>
                <w:lang w:eastAsia="zh-CN"/>
              </w:rPr>
              <w:t>现场勘查</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厂界外500m范围内的大气环境保护目标见下表，除此之外无其他自然保护区、风景名胜区、居住区、文化区和农村地区中人群较集中的区域等保护目标。</w:t>
            </w:r>
          </w:p>
          <w:p w14:paraId="15F0E9E9">
            <w:pPr>
              <w:adjustRightInd w:val="0"/>
              <w:snapToGrid w:val="0"/>
              <w:ind w:firstLine="422" w:firstLineChars="200"/>
              <w:jc w:val="center"/>
              <w:rPr>
                <w:rFonts w:hint="default" w:ascii="Times New Roman" w:hAnsi="Times New Roman" w:cs="Times New Roman"/>
                <w:b/>
                <w:color w:val="auto"/>
                <w:szCs w:val="21"/>
              </w:rPr>
            </w:pPr>
          </w:p>
          <w:p w14:paraId="3C89258B">
            <w:pPr>
              <w:adjustRightInd w:val="0"/>
              <w:snapToGrid w:val="0"/>
              <w:ind w:firstLine="422" w:firstLineChars="200"/>
              <w:jc w:val="center"/>
              <w:rPr>
                <w:rFonts w:hint="default" w:ascii="Times New Roman" w:hAnsi="Times New Roman" w:cs="Times New Roman"/>
                <w:b/>
                <w:color w:val="auto"/>
                <w:szCs w:val="21"/>
              </w:rPr>
            </w:pPr>
          </w:p>
          <w:p w14:paraId="69169375">
            <w:pPr>
              <w:adjustRightInd w:val="0"/>
              <w:snapToGrid w:val="0"/>
              <w:ind w:firstLine="422" w:firstLineChars="200"/>
              <w:jc w:val="center"/>
              <w:rPr>
                <w:rFonts w:hint="default" w:ascii="Times New Roman" w:hAnsi="Times New Roman" w:cs="Times New Roman"/>
                <w:b/>
                <w:color w:val="auto"/>
                <w:szCs w:val="21"/>
              </w:rPr>
            </w:pPr>
          </w:p>
          <w:p w14:paraId="487FA22B">
            <w:pPr>
              <w:adjustRightInd w:val="0"/>
              <w:snapToGrid w:val="0"/>
              <w:ind w:firstLine="422" w:firstLineChars="200"/>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表3-</w:t>
            </w:r>
            <w:r>
              <w:rPr>
                <w:rFonts w:hint="eastAsia" w:ascii="Times New Roman" w:hAnsi="Times New Roman" w:cs="Times New Roman"/>
                <w:b/>
                <w:color w:val="auto"/>
                <w:szCs w:val="21"/>
                <w:lang w:val="en-US" w:eastAsia="zh-CN"/>
              </w:rPr>
              <w:t>3</w:t>
            </w:r>
            <w:r>
              <w:rPr>
                <w:rFonts w:hint="default" w:ascii="Times New Roman" w:hAnsi="Times New Roman" w:cs="Times New Roman"/>
                <w:b/>
                <w:color w:val="auto"/>
                <w:szCs w:val="21"/>
                <w:lang w:val="en-US" w:eastAsia="zh-CN"/>
              </w:rPr>
              <w:t xml:space="preserve"> </w:t>
            </w:r>
            <w:r>
              <w:rPr>
                <w:rFonts w:hint="default" w:ascii="Times New Roman" w:hAnsi="Times New Roman" w:cs="Times New Roman"/>
                <w:b/>
                <w:color w:val="auto"/>
                <w:szCs w:val="21"/>
              </w:rPr>
              <w:t xml:space="preserve"> 大气环境保护目标一览表</w:t>
            </w:r>
          </w:p>
          <w:tbl>
            <w:tblPr>
              <w:tblStyle w:val="30"/>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1" w:type="dxa"/>
                <w:bottom w:w="0" w:type="dxa"/>
                <w:right w:w="11" w:type="dxa"/>
              </w:tblCellMar>
            </w:tblPr>
            <w:tblGrid>
              <w:gridCol w:w="415"/>
              <w:gridCol w:w="2066"/>
              <w:gridCol w:w="701"/>
              <w:gridCol w:w="740"/>
              <w:gridCol w:w="719"/>
              <w:gridCol w:w="1395"/>
              <w:gridCol w:w="2092"/>
            </w:tblGrid>
            <w:tr w14:paraId="760F9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240" w:hRule="atLeast"/>
                <w:jc w:val="center"/>
              </w:trPr>
              <w:tc>
                <w:tcPr>
                  <w:tcW w:w="255" w:type="pct"/>
                  <w:vMerge w:val="restart"/>
                  <w:noWrap w:val="0"/>
                  <w:vAlign w:val="center"/>
                </w:tcPr>
                <w:p w14:paraId="1B58A077">
                  <w:pPr>
                    <w:spacing w:line="240" w:lineRule="atLeas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1270" w:type="pct"/>
                  <w:vMerge w:val="restart"/>
                  <w:noWrap w:val="0"/>
                  <w:vAlign w:val="center"/>
                </w:tcPr>
                <w:p w14:paraId="7B91A8A6">
                  <w:pPr>
                    <w:spacing w:line="240" w:lineRule="atLeas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名称</w:t>
                  </w:r>
                </w:p>
              </w:tc>
              <w:tc>
                <w:tcPr>
                  <w:tcW w:w="886" w:type="pct"/>
                  <w:gridSpan w:val="2"/>
                  <w:noWrap w:val="0"/>
                  <w:vAlign w:val="center"/>
                </w:tcPr>
                <w:p w14:paraId="7E1E27DB">
                  <w:pPr>
                    <w:spacing w:line="240" w:lineRule="atLeas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坐标/m</w:t>
                  </w:r>
                </w:p>
              </w:tc>
              <w:tc>
                <w:tcPr>
                  <w:tcW w:w="442" w:type="pct"/>
                  <w:vMerge w:val="restart"/>
                  <w:noWrap w:val="0"/>
                  <w:vAlign w:val="center"/>
                </w:tcPr>
                <w:p w14:paraId="50190961">
                  <w:pPr>
                    <w:adjustRightInd w:val="0"/>
                    <w:snapToGrid w:val="0"/>
                    <w:jc w:val="center"/>
                    <w:rPr>
                      <w:rFonts w:hint="default"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方位</w:t>
                  </w:r>
                </w:p>
              </w:tc>
              <w:tc>
                <w:tcPr>
                  <w:tcW w:w="858" w:type="pct"/>
                  <w:vMerge w:val="restart"/>
                  <w:noWrap w:val="0"/>
                  <w:vAlign w:val="center"/>
                </w:tcPr>
                <w:p w14:paraId="19657164">
                  <w:pPr>
                    <w:spacing w:line="240" w:lineRule="atLeast"/>
                    <w:jc w:val="center"/>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rPr>
                    <w:t>距厂界最近距离（m）</w:t>
                  </w:r>
                </w:p>
              </w:tc>
              <w:tc>
                <w:tcPr>
                  <w:tcW w:w="1286" w:type="pct"/>
                  <w:vMerge w:val="restart"/>
                  <w:noWrap w:val="0"/>
                  <w:vAlign w:val="center"/>
                </w:tcPr>
                <w:p w14:paraId="4CDFDC65">
                  <w:pPr>
                    <w:spacing w:line="240" w:lineRule="atLeas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备注</w:t>
                  </w:r>
                </w:p>
              </w:tc>
            </w:tr>
            <w:tr w14:paraId="5DB98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115" w:hRule="atLeast"/>
                <w:jc w:val="center"/>
              </w:trPr>
              <w:tc>
                <w:tcPr>
                  <w:tcW w:w="255" w:type="pct"/>
                  <w:vMerge w:val="continue"/>
                  <w:noWrap w:val="0"/>
                  <w:vAlign w:val="center"/>
                </w:tcPr>
                <w:p w14:paraId="5DD9AB99">
                  <w:pPr>
                    <w:adjustRightInd w:val="0"/>
                    <w:snapToGrid w:val="0"/>
                    <w:jc w:val="center"/>
                    <w:rPr>
                      <w:rFonts w:hint="default" w:ascii="Times New Roman" w:hAnsi="Times New Roman" w:eastAsia="宋体" w:cs="Times New Roman"/>
                      <w:color w:val="auto"/>
                      <w:kern w:val="2"/>
                      <w:sz w:val="18"/>
                      <w:szCs w:val="18"/>
                      <w:lang w:val="en-US" w:eastAsia="zh-CN" w:bidi="ar-SA"/>
                    </w:rPr>
                  </w:pPr>
                </w:p>
              </w:tc>
              <w:tc>
                <w:tcPr>
                  <w:tcW w:w="1270" w:type="pct"/>
                  <w:vMerge w:val="continue"/>
                  <w:noWrap w:val="0"/>
                  <w:vAlign w:val="center"/>
                </w:tcPr>
                <w:p w14:paraId="1C029678">
                  <w:pPr>
                    <w:pStyle w:val="95"/>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default" w:ascii="Times New Roman" w:hAnsi="Times New Roman" w:cs="Times New Roman"/>
                      <w:color w:val="auto"/>
                      <w:kern w:val="0"/>
                      <w:sz w:val="18"/>
                      <w:szCs w:val="18"/>
                      <w:lang w:val="en-US" w:eastAsia="zh-CN" w:bidi="ar-SA"/>
                    </w:rPr>
                  </w:pPr>
                </w:p>
              </w:tc>
              <w:tc>
                <w:tcPr>
                  <w:tcW w:w="431" w:type="pct"/>
                  <w:noWrap w:val="0"/>
                  <w:vAlign w:val="center"/>
                </w:tcPr>
                <w:p w14:paraId="301B792E">
                  <w:pPr>
                    <w:adjustRightInd w:val="0"/>
                    <w:snapToGrid w:val="0"/>
                    <w:jc w:val="center"/>
                    <w:rPr>
                      <w:rFonts w:hint="default"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X</w:t>
                  </w:r>
                </w:p>
              </w:tc>
              <w:tc>
                <w:tcPr>
                  <w:tcW w:w="455" w:type="pct"/>
                  <w:noWrap w:val="0"/>
                  <w:vAlign w:val="center"/>
                </w:tcPr>
                <w:p w14:paraId="55F87977">
                  <w:pPr>
                    <w:adjustRightInd w:val="0"/>
                    <w:snapToGrid w:val="0"/>
                    <w:jc w:val="center"/>
                    <w:rPr>
                      <w:rFonts w:hint="default"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Y</w:t>
                  </w:r>
                </w:p>
              </w:tc>
              <w:tc>
                <w:tcPr>
                  <w:tcW w:w="442" w:type="pct"/>
                  <w:vMerge w:val="continue"/>
                  <w:noWrap w:val="0"/>
                  <w:vAlign w:val="center"/>
                </w:tcPr>
                <w:p w14:paraId="1938CE65">
                  <w:pPr>
                    <w:adjustRightInd w:val="0"/>
                    <w:snapToGrid w:val="0"/>
                    <w:jc w:val="center"/>
                    <w:rPr>
                      <w:rFonts w:hint="default" w:ascii="Times New Roman" w:hAnsi="Times New Roman" w:eastAsia="宋体" w:cs="Times New Roman"/>
                      <w:color w:val="auto"/>
                      <w:kern w:val="2"/>
                      <w:sz w:val="18"/>
                      <w:szCs w:val="18"/>
                      <w:lang w:val="en-US" w:eastAsia="zh-CN" w:bidi="ar-SA"/>
                    </w:rPr>
                  </w:pPr>
                </w:p>
              </w:tc>
              <w:tc>
                <w:tcPr>
                  <w:tcW w:w="858" w:type="pct"/>
                  <w:vMerge w:val="continue"/>
                  <w:noWrap w:val="0"/>
                  <w:vAlign w:val="center"/>
                </w:tcPr>
                <w:p w14:paraId="3F2B34F1">
                  <w:pPr>
                    <w:adjustRightInd w:val="0"/>
                    <w:snapToGrid w:val="0"/>
                    <w:spacing w:line="240" w:lineRule="atLeast"/>
                    <w:jc w:val="center"/>
                    <w:rPr>
                      <w:rFonts w:hint="default" w:ascii="Times New Roman" w:hAnsi="Times New Roman" w:cs="Times New Roman"/>
                      <w:color w:val="auto"/>
                      <w:kern w:val="2"/>
                      <w:sz w:val="18"/>
                      <w:szCs w:val="18"/>
                      <w:lang w:val="en-US" w:eastAsia="zh-CN" w:bidi="ar-SA"/>
                    </w:rPr>
                  </w:pPr>
                </w:p>
              </w:tc>
              <w:tc>
                <w:tcPr>
                  <w:tcW w:w="1286" w:type="pct"/>
                  <w:vMerge w:val="continue"/>
                  <w:noWrap w:val="0"/>
                  <w:vAlign w:val="center"/>
                </w:tcPr>
                <w:p w14:paraId="7ACA58F6">
                  <w:pPr>
                    <w:adjustRightInd w:val="0"/>
                    <w:snapToGrid w:val="0"/>
                    <w:jc w:val="center"/>
                    <w:rPr>
                      <w:rFonts w:hint="default" w:ascii="Times New Roman" w:hAnsi="Times New Roman" w:eastAsia="宋体" w:cs="Times New Roman"/>
                      <w:color w:val="auto"/>
                      <w:kern w:val="2"/>
                      <w:sz w:val="18"/>
                      <w:szCs w:val="18"/>
                      <w:lang w:val="en-US" w:eastAsia="zh-CN" w:bidi="ar-SA"/>
                    </w:rPr>
                  </w:pPr>
                </w:p>
              </w:tc>
            </w:tr>
            <w:tr w14:paraId="1C408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185" w:hRule="atLeast"/>
                <w:jc w:val="center"/>
              </w:trPr>
              <w:tc>
                <w:tcPr>
                  <w:tcW w:w="255" w:type="pct"/>
                  <w:noWrap w:val="0"/>
                  <w:vAlign w:val="center"/>
                </w:tcPr>
                <w:p w14:paraId="3CD4807C">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1</w:t>
                  </w:r>
                </w:p>
              </w:tc>
              <w:tc>
                <w:tcPr>
                  <w:tcW w:w="1270" w:type="pct"/>
                  <w:noWrap w:val="0"/>
                  <w:vAlign w:val="center"/>
                </w:tcPr>
                <w:p w14:paraId="650D7106">
                  <w:pPr>
                    <w:adjustRightInd w:val="0"/>
                    <w:snapToGrid w:val="0"/>
                    <w:jc w:val="center"/>
                    <w:rPr>
                      <w:rFonts w:hint="default" w:ascii="Times New Roman" w:hAnsi="Times New Roman"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合川区凤翔路消防救援站</w:t>
                  </w:r>
                </w:p>
              </w:tc>
              <w:tc>
                <w:tcPr>
                  <w:tcW w:w="431" w:type="pct"/>
                  <w:noWrap w:val="0"/>
                  <w:vAlign w:val="center"/>
                </w:tcPr>
                <w:p w14:paraId="24052A7B">
                  <w:pPr>
                    <w:pStyle w:val="95"/>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default" w:ascii="Times New Roman" w:hAnsi="Times New Roman"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bidi="ar-SA"/>
                    </w:rPr>
                    <w:t>75</w:t>
                  </w:r>
                </w:p>
              </w:tc>
              <w:tc>
                <w:tcPr>
                  <w:tcW w:w="455" w:type="pct"/>
                  <w:noWrap w:val="0"/>
                  <w:vAlign w:val="center"/>
                </w:tcPr>
                <w:p w14:paraId="58221728">
                  <w:pPr>
                    <w:pStyle w:val="95"/>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default" w:ascii="Times New Roman" w:hAnsi="Times New Roman"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bidi="ar-SA"/>
                    </w:rPr>
                    <w:t>0</w:t>
                  </w:r>
                </w:p>
              </w:tc>
              <w:tc>
                <w:tcPr>
                  <w:tcW w:w="442" w:type="pct"/>
                  <w:noWrap w:val="0"/>
                  <w:vAlign w:val="center"/>
                </w:tcPr>
                <w:p w14:paraId="44FE1F11">
                  <w:pPr>
                    <w:adjustRightInd w:val="0"/>
                    <w:snapToGrid w:val="0"/>
                    <w:jc w:val="center"/>
                    <w:rPr>
                      <w:rFonts w:hint="default" w:ascii="Times New Roman" w:hAnsi="Times New Roman"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E</w:t>
                  </w:r>
                </w:p>
              </w:tc>
              <w:tc>
                <w:tcPr>
                  <w:tcW w:w="858" w:type="pct"/>
                  <w:noWrap w:val="0"/>
                  <w:vAlign w:val="center"/>
                </w:tcPr>
                <w:p w14:paraId="532E66FF">
                  <w:pPr>
                    <w:adjustRightInd w:val="0"/>
                    <w:snapToGrid w:val="0"/>
                    <w:spacing w:line="240" w:lineRule="atLeast"/>
                    <w:jc w:val="center"/>
                    <w:rPr>
                      <w:rFonts w:hint="default" w:ascii="Times New Roman" w:hAnsi="Times New Roman"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55</w:t>
                  </w:r>
                </w:p>
              </w:tc>
              <w:tc>
                <w:tcPr>
                  <w:tcW w:w="1286" w:type="pct"/>
                  <w:noWrap w:val="0"/>
                  <w:vAlign w:val="center"/>
                </w:tcPr>
                <w:p w14:paraId="575AC7DB">
                  <w:pPr>
                    <w:adjustRightInd w:val="0"/>
                    <w:snapToGrid w:val="0"/>
                    <w:jc w:val="center"/>
                    <w:rPr>
                      <w:rFonts w:hint="default" w:ascii="Times New Roman" w:hAnsi="Times New Roman" w:cs="Times New Roman"/>
                      <w:color w:val="auto"/>
                      <w:kern w:val="2"/>
                      <w:sz w:val="18"/>
                      <w:szCs w:val="18"/>
                      <w:shd w:val="clear" w:color="auto" w:fill="auto"/>
                      <w:lang w:val="en-US" w:eastAsia="zh-CN" w:bidi="ar-SA"/>
                    </w:rPr>
                  </w:pPr>
                  <w:r>
                    <w:rPr>
                      <w:rFonts w:hint="default" w:ascii="Times New Roman" w:hAnsi="Times New Roman" w:eastAsia="宋体" w:cs="Times New Roman"/>
                      <w:color w:val="auto"/>
                      <w:kern w:val="2"/>
                      <w:sz w:val="18"/>
                      <w:szCs w:val="18"/>
                      <w:shd w:val="clear" w:color="auto" w:fill="auto"/>
                      <w:lang w:val="en-US" w:eastAsia="zh-CN" w:bidi="ar-SA"/>
                    </w:rPr>
                    <w:t>行政机关</w:t>
                  </w:r>
                </w:p>
              </w:tc>
            </w:tr>
            <w:tr w14:paraId="1F814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185" w:hRule="atLeast"/>
                <w:jc w:val="center"/>
              </w:trPr>
              <w:tc>
                <w:tcPr>
                  <w:tcW w:w="255" w:type="pct"/>
                  <w:noWrap w:val="0"/>
                  <w:vAlign w:val="center"/>
                </w:tcPr>
                <w:p w14:paraId="098F94E2">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2</w:t>
                  </w:r>
                </w:p>
              </w:tc>
              <w:tc>
                <w:tcPr>
                  <w:tcW w:w="1270" w:type="pct"/>
                  <w:noWrap w:val="0"/>
                  <w:vAlign w:val="center"/>
                </w:tcPr>
                <w:p w14:paraId="39C6D44F">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大坝子居民点</w:t>
                  </w:r>
                </w:p>
              </w:tc>
              <w:tc>
                <w:tcPr>
                  <w:tcW w:w="431" w:type="pct"/>
                  <w:noWrap w:val="0"/>
                  <w:vAlign w:val="center"/>
                </w:tcPr>
                <w:p w14:paraId="1D8C4B87">
                  <w:pPr>
                    <w:pStyle w:val="95"/>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default" w:ascii="Times New Roman" w:hAnsi="Times New Roman"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bidi="ar-SA"/>
                    </w:rPr>
                    <w:t>-70</w:t>
                  </w:r>
                </w:p>
              </w:tc>
              <w:tc>
                <w:tcPr>
                  <w:tcW w:w="455" w:type="pct"/>
                  <w:noWrap w:val="0"/>
                  <w:vAlign w:val="center"/>
                </w:tcPr>
                <w:p w14:paraId="27E1698E">
                  <w:pPr>
                    <w:pStyle w:val="95"/>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default" w:ascii="Times New Roman" w:hAnsi="Times New Roman"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bidi="ar-SA"/>
                    </w:rPr>
                    <w:t>-40</w:t>
                  </w:r>
                </w:p>
              </w:tc>
              <w:tc>
                <w:tcPr>
                  <w:tcW w:w="442" w:type="pct"/>
                  <w:noWrap w:val="0"/>
                  <w:vAlign w:val="center"/>
                </w:tcPr>
                <w:p w14:paraId="02581B6B">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SW</w:t>
                  </w:r>
                </w:p>
              </w:tc>
              <w:tc>
                <w:tcPr>
                  <w:tcW w:w="858" w:type="pct"/>
                  <w:noWrap w:val="0"/>
                  <w:vAlign w:val="center"/>
                </w:tcPr>
                <w:p w14:paraId="7BE4BAF1">
                  <w:pPr>
                    <w:adjustRightInd w:val="0"/>
                    <w:snapToGrid w:val="0"/>
                    <w:spacing w:line="240" w:lineRule="atLeas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75</w:t>
                  </w:r>
                </w:p>
              </w:tc>
              <w:tc>
                <w:tcPr>
                  <w:tcW w:w="1286" w:type="pct"/>
                  <w:noWrap w:val="0"/>
                  <w:vAlign w:val="center"/>
                </w:tcPr>
                <w:p w14:paraId="75FBDC38">
                  <w:pPr>
                    <w:adjustRightInd w:val="0"/>
                    <w:snapToGrid w:val="0"/>
                    <w:jc w:val="center"/>
                    <w:rPr>
                      <w:rFonts w:hint="default" w:ascii="Times New Roman" w:hAnsi="Times New Roman"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shd w:val="clear" w:color="auto" w:fill="auto"/>
                      <w:lang w:val="en-US" w:eastAsia="zh-CN" w:bidi="ar-SA"/>
                    </w:rPr>
                    <w:t>散户居民，约20户，60人</w:t>
                  </w:r>
                </w:p>
              </w:tc>
            </w:tr>
            <w:tr w14:paraId="581C1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191" w:hRule="atLeast"/>
                <w:jc w:val="center"/>
              </w:trPr>
              <w:tc>
                <w:tcPr>
                  <w:tcW w:w="255" w:type="pct"/>
                  <w:noWrap w:val="0"/>
                  <w:vAlign w:val="center"/>
                </w:tcPr>
                <w:p w14:paraId="429C2E71">
                  <w:pPr>
                    <w:adjustRightInd w:val="0"/>
                    <w:snapToGrid w:val="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w:t>
                  </w:r>
                </w:p>
              </w:tc>
              <w:tc>
                <w:tcPr>
                  <w:tcW w:w="1270" w:type="pct"/>
                  <w:noWrap w:val="0"/>
                  <w:vAlign w:val="center"/>
                </w:tcPr>
                <w:p w14:paraId="70E02A56">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1#散户居民</w:t>
                  </w:r>
                </w:p>
              </w:tc>
              <w:tc>
                <w:tcPr>
                  <w:tcW w:w="431" w:type="pct"/>
                  <w:noWrap w:val="0"/>
                  <w:vAlign w:val="center"/>
                </w:tcPr>
                <w:p w14:paraId="05B00DCA">
                  <w:pPr>
                    <w:pStyle w:val="95"/>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default" w:ascii="Times New Roman" w:hAnsi="Times New Roman"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bidi="ar-SA"/>
                    </w:rPr>
                    <w:t>95</w:t>
                  </w:r>
                </w:p>
              </w:tc>
              <w:tc>
                <w:tcPr>
                  <w:tcW w:w="455" w:type="pct"/>
                  <w:noWrap w:val="0"/>
                  <w:vAlign w:val="center"/>
                </w:tcPr>
                <w:p w14:paraId="6409A8D2">
                  <w:pPr>
                    <w:pStyle w:val="95"/>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default" w:ascii="Times New Roman" w:hAnsi="Times New Roman"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bidi="ar-SA"/>
                    </w:rPr>
                    <w:t>-320</w:t>
                  </w:r>
                </w:p>
              </w:tc>
              <w:tc>
                <w:tcPr>
                  <w:tcW w:w="442" w:type="pct"/>
                  <w:noWrap w:val="0"/>
                  <w:vAlign w:val="center"/>
                </w:tcPr>
                <w:p w14:paraId="2039FC4A">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SE</w:t>
                  </w:r>
                </w:p>
              </w:tc>
              <w:tc>
                <w:tcPr>
                  <w:tcW w:w="858" w:type="pct"/>
                  <w:noWrap w:val="0"/>
                  <w:vAlign w:val="center"/>
                </w:tcPr>
                <w:p w14:paraId="532BA5F7">
                  <w:pPr>
                    <w:adjustRightInd w:val="0"/>
                    <w:snapToGrid w:val="0"/>
                    <w:spacing w:line="240" w:lineRule="atLeast"/>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305</w:t>
                  </w:r>
                </w:p>
              </w:tc>
              <w:tc>
                <w:tcPr>
                  <w:tcW w:w="1286" w:type="pct"/>
                  <w:noWrap w:val="0"/>
                  <w:vAlign w:val="center"/>
                </w:tcPr>
                <w:p w14:paraId="18EC8BE1">
                  <w:pPr>
                    <w:adjustRightInd w:val="0"/>
                    <w:snapToGrid w:val="0"/>
                    <w:jc w:val="center"/>
                    <w:rPr>
                      <w:rFonts w:hint="eastAsia" w:ascii="Times New Roman" w:hAnsi="Times New Roman" w:eastAsia="宋体" w:cs="Times New Roman"/>
                      <w:color w:val="auto"/>
                      <w:kern w:val="2"/>
                      <w:sz w:val="18"/>
                      <w:szCs w:val="18"/>
                      <w:shd w:val="clear" w:color="auto" w:fill="auto"/>
                      <w:lang w:val="en-US" w:eastAsia="zh-CN" w:bidi="ar-SA"/>
                    </w:rPr>
                  </w:pPr>
                  <w:r>
                    <w:rPr>
                      <w:rFonts w:hint="eastAsia" w:ascii="Times New Roman" w:hAnsi="Times New Roman" w:eastAsia="宋体" w:cs="Times New Roman"/>
                      <w:color w:val="auto"/>
                      <w:kern w:val="2"/>
                      <w:sz w:val="18"/>
                      <w:szCs w:val="18"/>
                      <w:shd w:val="clear" w:color="auto" w:fill="auto"/>
                      <w:lang w:val="en-US" w:eastAsia="zh-CN" w:bidi="ar-SA"/>
                    </w:rPr>
                    <w:t>散户居民，约10户，30人</w:t>
                  </w:r>
                </w:p>
              </w:tc>
            </w:tr>
            <w:tr w14:paraId="2FCD5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185" w:hRule="atLeast"/>
                <w:jc w:val="center"/>
              </w:trPr>
              <w:tc>
                <w:tcPr>
                  <w:tcW w:w="255" w:type="pct"/>
                  <w:noWrap w:val="0"/>
                  <w:vAlign w:val="center"/>
                </w:tcPr>
                <w:p w14:paraId="2D155972">
                  <w:pPr>
                    <w:adjustRightInd w:val="0"/>
                    <w:snapToGrid w:val="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w:t>
                  </w:r>
                </w:p>
              </w:tc>
              <w:tc>
                <w:tcPr>
                  <w:tcW w:w="1270" w:type="pct"/>
                  <w:noWrap w:val="0"/>
                  <w:vAlign w:val="center"/>
                </w:tcPr>
                <w:p w14:paraId="6A4BB6A0">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2#散户居民</w:t>
                  </w:r>
                </w:p>
              </w:tc>
              <w:tc>
                <w:tcPr>
                  <w:tcW w:w="431" w:type="pct"/>
                  <w:noWrap w:val="0"/>
                  <w:vAlign w:val="center"/>
                </w:tcPr>
                <w:p w14:paraId="145CB2E4">
                  <w:pPr>
                    <w:pStyle w:val="95"/>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default" w:ascii="Times New Roman" w:hAnsi="Times New Roman"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bidi="ar-SA"/>
                    </w:rPr>
                    <w:t>0</w:t>
                  </w:r>
                </w:p>
              </w:tc>
              <w:tc>
                <w:tcPr>
                  <w:tcW w:w="455" w:type="pct"/>
                  <w:noWrap w:val="0"/>
                  <w:vAlign w:val="center"/>
                </w:tcPr>
                <w:p w14:paraId="5A90E644">
                  <w:pPr>
                    <w:pStyle w:val="95"/>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default" w:ascii="Times New Roman" w:hAnsi="Times New Roman"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bidi="ar-SA"/>
                    </w:rPr>
                    <w:t>-425</w:t>
                  </w:r>
                </w:p>
              </w:tc>
              <w:tc>
                <w:tcPr>
                  <w:tcW w:w="442" w:type="pct"/>
                  <w:noWrap w:val="0"/>
                  <w:vAlign w:val="center"/>
                </w:tcPr>
                <w:p w14:paraId="661FA53E">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S</w:t>
                  </w:r>
                </w:p>
              </w:tc>
              <w:tc>
                <w:tcPr>
                  <w:tcW w:w="858" w:type="pct"/>
                  <w:noWrap w:val="0"/>
                  <w:vAlign w:val="center"/>
                </w:tcPr>
                <w:p w14:paraId="7D54A38A">
                  <w:pPr>
                    <w:adjustRightInd w:val="0"/>
                    <w:snapToGrid w:val="0"/>
                    <w:spacing w:line="240" w:lineRule="atLeast"/>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410</w:t>
                  </w:r>
                </w:p>
              </w:tc>
              <w:tc>
                <w:tcPr>
                  <w:tcW w:w="1286" w:type="pct"/>
                  <w:noWrap w:val="0"/>
                  <w:vAlign w:val="center"/>
                </w:tcPr>
                <w:p w14:paraId="216685C6">
                  <w:pPr>
                    <w:adjustRightInd w:val="0"/>
                    <w:snapToGrid w:val="0"/>
                    <w:jc w:val="center"/>
                    <w:rPr>
                      <w:rFonts w:hint="eastAsia" w:ascii="Times New Roman" w:hAnsi="Times New Roman" w:eastAsia="宋体" w:cs="Times New Roman"/>
                      <w:color w:val="auto"/>
                      <w:kern w:val="2"/>
                      <w:sz w:val="18"/>
                      <w:szCs w:val="18"/>
                      <w:shd w:val="clear" w:color="auto" w:fill="auto"/>
                      <w:lang w:val="en-US" w:eastAsia="zh-CN" w:bidi="ar-SA"/>
                    </w:rPr>
                  </w:pPr>
                  <w:r>
                    <w:rPr>
                      <w:rFonts w:hint="eastAsia" w:ascii="Times New Roman" w:hAnsi="Times New Roman" w:eastAsia="宋体" w:cs="Times New Roman"/>
                      <w:color w:val="auto"/>
                      <w:kern w:val="2"/>
                      <w:sz w:val="18"/>
                      <w:szCs w:val="18"/>
                      <w:shd w:val="clear" w:color="auto" w:fill="auto"/>
                      <w:lang w:val="en-US" w:eastAsia="zh-CN" w:bidi="ar-SA"/>
                    </w:rPr>
                    <w:t>散户居民，约10户，30人</w:t>
                  </w:r>
                </w:p>
              </w:tc>
            </w:tr>
            <w:tr w14:paraId="0E936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90" w:hRule="atLeast"/>
                <w:jc w:val="center"/>
              </w:trPr>
              <w:tc>
                <w:tcPr>
                  <w:tcW w:w="255" w:type="pct"/>
                  <w:noWrap w:val="0"/>
                  <w:vAlign w:val="center"/>
                </w:tcPr>
                <w:p w14:paraId="56BD27DB">
                  <w:pPr>
                    <w:adjustRightInd w:val="0"/>
                    <w:snapToGrid w:val="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5</w:t>
                  </w:r>
                </w:p>
              </w:tc>
              <w:tc>
                <w:tcPr>
                  <w:tcW w:w="1270" w:type="pct"/>
                  <w:shd w:val="clear" w:color="auto" w:fill="auto"/>
                  <w:noWrap w:val="0"/>
                  <w:vAlign w:val="center"/>
                </w:tcPr>
                <w:p w14:paraId="5C984C1A">
                  <w:pPr>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3#散户居民</w:t>
                  </w:r>
                </w:p>
              </w:tc>
              <w:tc>
                <w:tcPr>
                  <w:tcW w:w="431" w:type="pct"/>
                  <w:shd w:val="clear" w:color="auto" w:fill="auto"/>
                  <w:noWrap w:val="0"/>
                  <w:vAlign w:val="center"/>
                </w:tcPr>
                <w:p w14:paraId="475A14F0">
                  <w:pPr>
                    <w:pStyle w:val="95"/>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bidi="ar-SA"/>
                    </w:rPr>
                    <w:t>340</w:t>
                  </w:r>
                </w:p>
              </w:tc>
              <w:tc>
                <w:tcPr>
                  <w:tcW w:w="455" w:type="pct"/>
                  <w:shd w:val="clear" w:color="auto" w:fill="auto"/>
                  <w:noWrap w:val="0"/>
                  <w:vAlign w:val="center"/>
                </w:tcPr>
                <w:p w14:paraId="607F59A4">
                  <w:pPr>
                    <w:pStyle w:val="95"/>
                    <w:keepNext w:val="0"/>
                    <w:keepLines w:val="0"/>
                    <w:pageBreakBefore w:val="0"/>
                    <w:widowControl w:val="0"/>
                    <w:kinsoku/>
                    <w:wordWrap/>
                    <w:overflowPunct/>
                    <w:topLinePunct w:val="0"/>
                    <w:autoSpaceDE/>
                    <w:autoSpaceDN/>
                    <w:bidi w:val="0"/>
                    <w:adjustRightInd w:val="0"/>
                    <w:snapToGrid w:val="0"/>
                    <w:ind w:left="0" w:leftChars="0" w:right="0" w:rightChars="0"/>
                    <w:textAlignment w:val="auto"/>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bidi="ar-SA"/>
                    </w:rPr>
                    <w:t>-390</w:t>
                  </w:r>
                </w:p>
              </w:tc>
              <w:tc>
                <w:tcPr>
                  <w:tcW w:w="442" w:type="pct"/>
                  <w:shd w:val="clear" w:color="auto" w:fill="auto"/>
                  <w:noWrap w:val="0"/>
                  <w:vAlign w:val="center"/>
                </w:tcPr>
                <w:p w14:paraId="11E30692">
                  <w:pPr>
                    <w:adjustRightInd w:val="0"/>
                    <w:snapToGrid w:val="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SE</w:t>
                  </w:r>
                </w:p>
              </w:tc>
              <w:tc>
                <w:tcPr>
                  <w:tcW w:w="858" w:type="pct"/>
                  <w:shd w:val="clear" w:color="auto" w:fill="auto"/>
                  <w:noWrap w:val="0"/>
                  <w:vAlign w:val="center"/>
                </w:tcPr>
                <w:p w14:paraId="78453E9A">
                  <w:pPr>
                    <w:adjustRightInd w:val="0"/>
                    <w:snapToGrid w:val="0"/>
                    <w:spacing w:line="240" w:lineRule="atLeas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480</w:t>
                  </w:r>
                </w:p>
              </w:tc>
              <w:tc>
                <w:tcPr>
                  <w:tcW w:w="1286" w:type="pct"/>
                  <w:shd w:val="clear" w:color="auto" w:fill="auto"/>
                  <w:noWrap w:val="0"/>
                  <w:vAlign w:val="center"/>
                </w:tcPr>
                <w:p w14:paraId="4ACEE272">
                  <w:pPr>
                    <w:adjustRightInd w:val="0"/>
                    <w:snapToGrid w:val="0"/>
                    <w:jc w:val="center"/>
                    <w:rPr>
                      <w:rFonts w:hint="eastAsia" w:ascii="Times New Roman" w:hAnsi="Times New Roman" w:eastAsia="宋体" w:cs="Times New Roman"/>
                      <w:color w:val="auto"/>
                      <w:kern w:val="2"/>
                      <w:sz w:val="18"/>
                      <w:szCs w:val="18"/>
                      <w:shd w:val="clear" w:color="auto" w:fill="auto"/>
                      <w:lang w:val="en-US" w:eastAsia="zh-CN" w:bidi="ar-SA"/>
                    </w:rPr>
                  </w:pPr>
                  <w:r>
                    <w:rPr>
                      <w:rFonts w:hint="eastAsia" w:ascii="Times New Roman" w:hAnsi="Times New Roman" w:eastAsia="宋体" w:cs="Times New Roman"/>
                      <w:color w:val="auto"/>
                      <w:kern w:val="2"/>
                      <w:sz w:val="18"/>
                      <w:szCs w:val="18"/>
                      <w:shd w:val="clear" w:color="auto" w:fill="auto"/>
                      <w:lang w:val="en-US" w:eastAsia="zh-CN" w:bidi="ar-SA"/>
                    </w:rPr>
                    <w:t>散户居民，约5户，15人</w:t>
                  </w:r>
                </w:p>
              </w:tc>
            </w:tr>
            <w:tr w14:paraId="2F94F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1" w:type="dxa"/>
                  <w:bottom w:w="0" w:type="dxa"/>
                  <w:right w:w="11" w:type="dxa"/>
                </w:tblCellMar>
              </w:tblPrEx>
              <w:trPr>
                <w:cantSplit/>
                <w:trHeight w:val="185" w:hRule="atLeast"/>
                <w:jc w:val="center"/>
              </w:trPr>
              <w:tc>
                <w:tcPr>
                  <w:tcW w:w="5000" w:type="pct"/>
                  <w:gridSpan w:val="7"/>
                  <w:noWrap w:val="0"/>
                  <w:vAlign w:val="center"/>
                </w:tcPr>
                <w:p w14:paraId="1C11B991">
                  <w:pPr>
                    <w:adjustRightInd w:val="0"/>
                    <w:snapToGrid w:val="0"/>
                    <w:jc w:val="both"/>
                    <w:rPr>
                      <w:rFonts w:hint="default" w:ascii="Times New Roman" w:hAnsi="Times New Roman" w:eastAsia="宋体" w:cs="Times New Roman"/>
                      <w:color w:val="auto"/>
                      <w:sz w:val="18"/>
                      <w:szCs w:val="18"/>
                      <w:shd w:val="clear" w:color="auto" w:fill="auto"/>
                      <w:lang w:val="en-US" w:eastAsia="zh-CN"/>
                    </w:rPr>
                  </w:pPr>
                  <w:r>
                    <w:rPr>
                      <w:rFonts w:hint="default" w:ascii="Times New Roman" w:hAnsi="Times New Roman" w:eastAsia="宋体" w:cs="Times New Roman"/>
                      <w:b/>
                      <w:bCs/>
                      <w:color w:val="auto"/>
                      <w:kern w:val="2"/>
                      <w:sz w:val="18"/>
                      <w:szCs w:val="18"/>
                      <w:shd w:val="clear" w:color="auto" w:fill="auto"/>
                      <w:lang w:val="en-US" w:eastAsia="zh-CN" w:bidi="ar-SA"/>
                    </w:rPr>
                    <w:t>注</w:t>
                  </w:r>
                  <w:r>
                    <w:rPr>
                      <w:rFonts w:hint="default" w:ascii="Times New Roman" w:hAnsi="Times New Roman" w:eastAsia="宋体" w:cs="Times New Roman"/>
                      <w:b w:val="0"/>
                      <w:bCs w:val="0"/>
                      <w:color w:val="auto"/>
                      <w:kern w:val="2"/>
                      <w:sz w:val="18"/>
                      <w:szCs w:val="18"/>
                      <w:shd w:val="clear" w:color="auto" w:fill="auto"/>
                      <w:lang w:val="en-US" w:eastAsia="zh-CN" w:bidi="ar-SA"/>
                    </w:rPr>
                    <w:t>：</w:t>
                  </w:r>
                  <w:r>
                    <w:rPr>
                      <w:rFonts w:hint="eastAsia" w:ascii="Times New Roman" w:hAnsi="Times New Roman" w:eastAsia="宋体" w:cs="Times New Roman"/>
                      <w:b w:val="0"/>
                      <w:bCs w:val="0"/>
                      <w:color w:val="auto"/>
                      <w:kern w:val="2"/>
                      <w:sz w:val="18"/>
                      <w:szCs w:val="18"/>
                      <w:shd w:val="clear" w:color="auto" w:fill="auto"/>
                      <w:lang w:val="en-US" w:eastAsia="zh-CN" w:bidi="ar-SA"/>
                    </w:rPr>
                    <w:t>坐标</w:t>
                  </w:r>
                  <w:r>
                    <w:rPr>
                      <w:rFonts w:hint="default" w:ascii="Times New Roman" w:hAnsi="Times New Roman" w:eastAsia="宋体" w:cs="Times New Roman"/>
                      <w:b w:val="0"/>
                      <w:bCs w:val="0"/>
                      <w:color w:val="auto"/>
                      <w:kern w:val="2"/>
                      <w:sz w:val="18"/>
                      <w:szCs w:val="18"/>
                      <w:shd w:val="clear" w:color="auto" w:fill="auto"/>
                      <w:lang w:val="en-US" w:eastAsia="zh-CN" w:bidi="ar-SA"/>
                    </w:rPr>
                    <w:t>以厂区中心为原点</w:t>
                  </w:r>
                  <w:r>
                    <w:rPr>
                      <w:rFonts w:hint="eastAsia" w:ascii="Times New Roman" w:hAnsi="Times New Roman" w:eastAsia="宋体" w:cs="Times New Roman"/>
                      <w:b w:val="0"/>
                      <w:bCs w:val="0"/>
                      <w:color w:val="auto"/>
                      <w:kern w:val="2"/>
                      <w:sz w:val="18"/>
                      <w:szCs w:val="18"/>
                      <w:shd w:val="clear" w:color="auto" w:fill="auto"/>
                      <w:lang w:val="en-US" w:eastAsia="zh-CN" w:bidi="ar-SA"/>
                    </w:rPr>
                    <w:t>。</w:t>
                  </w:r>
                </w:p>
              </w:tc>
            </w:tr>
          </w:tbl>
          <w:p w14:paraId="20E0F33F">
            <w:pPr>
              <w:adjustRightInd w:val="0"/>
              <w:snapToGrid w:val="0"/>
              <w:spacing w:line="360" w:lineRule="auto"/>
              <w:ind w:firstLine="422" w:firstLineChars="200"/>
              <w:rPr>
                <w:rFonts w:hint="default" w:ascii="Times New Roman" w:hAnsi="Times New Roman" w:cs="Times New Roman"/>
                <w:b/>
                <w:color w:val="auto"/>
                <w:szCs w:val="21"/>
              </w:rPr>
            </w:pPr>
            <w:r>
              <w:rPr>
                <w:rFonts w:hint="default" w:ascii="Times New Roman" w:hAnsi="Times New Roman" w:cs="Times New Roman"/>
                <w:b/>
                <w:color w:val="auto"/>
                <w:szCs w:val="21"/>
              </w:rPr>
              <w:t>③地下水</w:t>
            </w:r>
          </w:p>
          <w:p w14:paraId="3118480D">
            <w:pPr>
              <w:adjustRightInd w:val="0"/>
              <w:snapToGrid w:val="0"/>
              <w:spacing w:line="360" w:lineRule="auto"/>
              <w:ind w:firstLine="420" w:firstLineChars="200"/>
              <w:rPr>
                <w:rFonts w:hint="default" w:ascii="Times New Roman" w:hAnsi="Times New Roman" w:cs="Times New Roman"/>
                <w:b/>
                <w:color w:val="auto"/>
                <w:szCs w:val="21"/>
              </w:rPr>
            </w:pPr>
            <w:r>
              <w:rPr>
                <w:rFonts w:hint="default" w:ascii="Times New Roman" w:hAnsi="Times New Roman" w:cs="Times New Roman"/>
                <w:color w:val="auto"/>
                <w:szCs w:val="21"/>
              </w:rPr>
              <w:t>根据现场调查，本项目厂界外500m范围内无地下水集中式饮用水水源和热水、矿泉水、温泉等特殊地下水资源等。</w:t>
            </w:r>
          </w:p>
          <w:p w14:paraId="5F1F800D">
            <w:pPr>
              <w:adjustRightInd w:val="0"/>
              <w:snapToGrid w:val="0"/>
              <w:spacing w:line="360" w:lineRule="auto"/>
              <w:ind w:firstLine="422" w:firstLineChars="200"/>
              <w:rPr>
                <w:rFonts w:hint="default" w:ascii="Times New Roman" w:hAnsi="Times New Roman" w:cs="Times New Roman"/>
                <w:b/>
                <w:color w:val="auto"/>
                <w:szCs w:val="21"/>
              </w:rPr>
            </w:pPr>
            <w:r>
              <w:rPr>
                <w:rFonts w:hint="default" w:ascii="Times New Roman" w:hAnsi="Times New Roman" w:cs="Times New Roman"/>
                <w:b/>
                <w:color w:val="auto"/>
                <w:szCs w:val="21"/>
              </w:rPr>
              <w:t>④生态环境</w:t>
            </w:r>
          </w:p>
          <w:p w14:paraId="3975542C">
            <w:pPr>
              <w:pStyle w:val="56"/>
              <w:spacing w:line="240" w:lineRule="auto"/>
              <w:ind w:firstLine="420" w:firstLineChars="200"/>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rPr>
              <w:t>本项目不新增用地，因此本项目不涉及新增用地范围内的生态环境保护目标。</w:t>
            </w:r>
          </w:p>
        </w:tc>
      </w:tr>
      <w:tr w14:paraId="0220D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374" w:type="pct"/>
            <w:noWrap w:val="0"/>
            <w:tcMar>
              <w:left w:w="28" w:type="dxa"/>
              <w:right w:w="28" w:type="dxa"/>
            </w:tcMar>
            <w:vAlign w:val="center"/>
          </w:tcPr>
          <w:p w14:paraId="7BF5A30B">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污染</w:t>
            </w:r>
          </w:p>
          <w:p w14:paraId="6986573D">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物排</w:t>
            </w:r>
          </w:p>
          <w:p w14:paraId="4F084AA4">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放控</w:t>
            </w:r>
          </w:p>
          <w:p w14:paraId="3A20FBFF">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制标</w:t>
            </w:r>
          </w:p>
          <w:p w14:paraId="4F8C5A90">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准</w:t>
            </w:r>
          </w:p>
        </w:tc>
        <w:tc>
          <w:tcPr>
            <w:tcW w:w="4625" w:type="pct"/>
            <w:noWrap w:val="0"/>
            <w:vAlign w:val="center"/>
          </w:tcPr>
          <w:p w14:paraId="1159F9FB">
            <w:pPr>
              <w:adjustRightInd w:val="0"/>
              <w:snapToGrid w:val="0"/>
              <w:spacing w:line="360" w:lineRule="auto"/>
              <w:rPr>
                <w:rFonts w:hint="default" w:ascii="Times New Roman" w:hAnsi="Times New Roman" w:cs="Times New Roman"/>
                <w:b/>
                <w:color w:val="auto"/>
                <w:kern w:val="0"/>
                <w:szCs w:val="21"/>
              </w:rPr>
            </w:pPr>
            <w:r>
              <w:rPr>
                <w:rFonts w:hint="default" w:ascii="Times New Roman" w:hAnsi="Times New Roman" w:cs="Times New Roman"/>
                <w:b/>
                <w:color w:val="auto"/>
                <w:kern w:val="0"/>
                <w:szCs w:val="21"/>
              </w:rPr>
              <w:t>3.7污染物排放控制标准</w:t>
            </w:r>
          </w:p>
          <w:p w14:paraId="3A66B4E2">
            <w:pPr>
              <w:pStyle w:val="20"/>
              <w:outlineLvl w:val="1"/>
              <w:rPr>
                <w:rFonts w:hint="default" w:ascii="Times New Roman" w:hAnsi="Times New Roman" w:cs="Times New Roman"/>
                <w:bCs w:val="0"/>
                <w:caps w:val="0"/>
                <w:color w:val="auto"/>
                <w:kern w:val="0"/>
                <w:sz w:val="21"/>
                <w:szCs w:val="21"/>
              </w:rPr>
            </w:pPr>
            <w:r>
              <w:rPr>
                <w:rFonts w:hint="default" w:ascii="Times New Roman" w:hAnsi="Times New Roman" w:cs="Times New Roman"/>
                <w:bCs w:val="0"/>
                <w:caps w:val="0"/>
                <w:color w:val="auto"/>
                <w:kern w:val="0"/>
                <w:sz w:val="21"/>
                <w:szCs w:val="21"/>
              </w:rPr>
              <w:t>3.7.1废气</w:t>
            </w:r>
          </w:p>
          <w:p w14:paraId="77E35AC4">
            <w:pPr>
              <w:adjustRightInd w:val="0"/>
              <w:snapToGrid w:val="0"/>
              <w:spacing w:line="360" w:lineRule="auto"/>
              <w:ind w:firstLine="420" w:firstLineChars="200"/>
              <w:rPr>
                <w:rFonts w:hint="default" w:ascii="Times New Roman" w:hAnsi="Times New Roman" w:cs="Times New Roman"/>
                <w:bCs/>
                <w:color w:val="auto"/>
                <w:szCs w:val="21"/>
              </w:rPr>
            </w:pPr>
            <w:r>
              <w:rPr>
                <w:rFonts w:hint="default" w:ascii="Times New Roman" w:hAnsi="Times New Roman" w:cs="Times New Roman"/>
                <w:color w:val="auto"/>
                <w:szCs w:val="21"/>
              </w:rPr>
              <w:t>本项目营运期废气主要为</w:t>
            </w:r>
            <w:r>
              <w:rPr>
                <w:rFonts w:hint="default" w:ascii="Times New Roman" w:hAnsi="Times New Roman" w:cs="Times New Roman"/>
                <w:bCs/>
                <w:color w:val="auto"/>
                <w:szCs w:val="21"/>
                <w:lang w:eastAsia="zh-CN"/>
              </w:rPr>
              <w:t>注塑废气、破碎粉尘</w:t>
            </w:r>
            <w:r>
              <w:rPr>
                <w:rFonts w:hint="default" w:ascii="Times New Roman" w:hAnsi="Times New Roman" w:cs="Times New Roman"/>
                <w:bCs/>
                <w:color w:val="auto"/>
                <w:szCs w:val="21"/>
              </w:rPr>
              <w:t>。</w:t>
            </w:r>
          </w:p>
          <w:p w14:paraId="36D21117">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b w:val="0"/>
                <w:bCs/>
                <w:color w:val="auto"/>
                <w:szCs w:val="21"/>
                <w:lang w:val="en-US" w:eastAsia="zh-CN"/>
              </w:rPr>
            </w:pPr>
            <w:r>
              <w:rPr>
                <w:rFonts w:hint="default" w:ascii="Times New Roman" w:hAnsi="Times New Roman" w:cs="Times New Roman"/>
                <w:color w:val="auto"/>
                <w:sz w:val="21"/>
                <w:szCs w:val="21"/>
                <w:lang w:val="en-US" w:eastAsia="zh-CN"/>
              </w:rPr>
              <w:t>本项目位于</w:t>
            </w:r>
            <w:r>
              <w:rPr>
                <w:rFonts w:hint="eastAsia" w:ascii="Times New Roman" w:hAnsi="Times New Roman" w:cs="Times New Roman"/>
                <w:color w:val="auto"/>
                <w:sz w:val="21"/>
                <w:szCs w:val="21"/>
                <w:lang w:val="en-US" w:eastAsia="zh-CN"/>
              </w:rPr>
              <w:t>合川</w:t>
            </w:r>
            <w:r>
              <w:rPr>
                <w:rFonts w:hint="default" w:ascii="Times New Roman" w:hAnsi="Times New Roman" w:cs="Times New Roman"/>
                <w:color w:val="auto"/>
                <w:sz w:val="21"/>
                <w:szCs w:val="21"/>
                <w:lang w:val="en-US" w:eastAsia="zh-CN"/>
              </w:rPr>
              <w:t>区，注塑废气、破碎粉尘执行《合成树脂工业污染排放标准》</w:t>
            </w:r>
            <w:r>
              <w:rPr>
                <w:rFonts w:hint="eastAsia" w:cs="Times New Roman"/>
                <w:color w:val="auto"/>
                <w:sz w:val="21"/>
                <w:szCs w:val="21"/>
                <w:lang w:val="en-US" w:eastAsia="zh-CN"/>
              </w:rPr>
              <w:t>（GB 31572-2015），含2024年修改单）</w:t>
            </w:r>
            <w:r>
              <w:rPr>
                <w:rFonts w:hint="default" w:ascii="Times New Roman" w:hAnsi="Times New Roman" w:cs="Times New Roman"/>
                <w:color w:val="auto"/>
                <w:sz w:val="21"/>
                <w:szCs w:val="21"/>
                <w:lang w:val="en-US" w:eastAsia="zh-CN"/>
              </w:rPr>
              <w:t>特别排放限值</w:t>
            </w:r>
            <w:r>
              <w:rPr>
                <w:rFonts w:hint="default" w:ascii="Times New Roman" w:hAnsi="Times New Roman" w:eastAsia="宋体" w:cs="Times New Roman"/>
                <w:color w:val="auto"/>
                <w:sz w:val="21"/>
                <w:szCs w:val="21"/>
                <w:lang w:val="en-US" w:eastAsia="zh-CN"/>
              </w:rPr>
              <w:t>，</w:t>
            </w:r>
            <w:r>
              <w:rPr>
                <w:rFonts w:hint="default" w:ascii="Times New Roman" w:hAnsi="Times New Roman" w:cs="Times New Roman"/>
                <w:b w:val="0"/>
                <w:bCs w:val="0"/>
                <w:color w:val="auto"/>
                <w:kern w:val="0"/>
                <w:sz w:val="21"/>
                <w:szCs w:val="21"/>
                <w:lang w:val="en-US" w:eastAsia="zh-CN" w:bidi="ar"/>
              </w:rPr>
              <w:t>厂区内非甲烷总烃执行《挥发性有机物无组织排放控制标准》（</w:t>
            </w:r>
            <w:r>
              <w:rPr>
                <w:rFonts w:hint="eastAsia" w:cs="Times New Roman"/>
                <w:b w:val="0"/>
                <w:bCs w:val="0"/>
                <w:color w:val="auto"/>
                <w:kern w:val="0"/>
                <w:sz w:val="21"/>
                <w:szCs w:val="21"/>
                <w:lang w:val="en-US" w:eastAsia="zh-CN" w:bidi="ar"/>
              </w:rPr>
              <w:t>GB 37822</w:t>
            </w:r>
            <w:r>
              <w:rPr>
                <w:rFonts w:hint="default" w:ascii="Times New Roman" w:hAnsi="Times New Roman" w:cs="Times New Roman"/>
                <w:b w:val="0"/>
                <w:bCs w:val="0"/>
                <w:color w:val="auto"/>
                <w:kern w:val="0"/>
                <w:sz w:val="21"/>
                <w:szCs w:val="21"/>
                <w:lang w:val="en-US" w:eastAsia="zh-CN" w:bidi="ar"/>
              </w:rPr>
              <w:t>-2019）表A.1特别排放限值标准</w:t>
            </w:r>
            <w:r>
              <w:rPr>
                <w:rFonts w:hint="eastAsia" w:ascii="Times New Roman" w:hAnsi="Times New Roman" w:cs="Times New Roman"/>
                <w:b w:val="0"/>
                <w:bCs w:val="0"/>
                <w:color w:val="auto"/>
                <w:kern w:val="0"/>
                <w:sz w:val="21"/>
                <w:szCs w:val="21"/>
                <w:lang w:val="en-US" w:eastAsia="zh-CN" w:bidi="ar"/>
              </w:rPr>
              <w:t>，</w:t>
            </w:r>
            <w:r>
              <w:rPr>
                <w:rFonts w:hint="default" w:ascii="Times New Roman" w:hAnsi="Times New Roman" w:eastAsia="宋体" w:cs="Times New Roman"/>
                <w:bCs/>
                <w:color w:val="auto"/>
                <w:spacing w:val="-10"/>
                <w:sz w:val="21"/>
                <w:szCs w:val="21"/>
                <w:lang w:eastAsia="zh-CN"/>
              </w:rPr>
              <w:t>项目</w:t>
            </w:r>
            <w:r>
              <w:rPr>
                <w:rFonts w:hint="default" w:ascii="Times New Roman" w:hAnsi="Times New Roman" w:eastAsia="宋体" w:cs="Times New Roman"/>
                <w:bCs/>
                <w:color w:val="auto"/>
                <w:spacing w:val="-10"/>
                <w:sz w:val="21"/>
                <w:szCs w:val="21"/>
                <w:lang w:val="en-US" w:eastAsia="zh-CN"/>
              </w:rPr>
              <w:t>塑料颗粒加热熔化、成型时会产生</w:t>
            </w:r>
            <w:r>
              <w:rPr>
                <w:rFonts w:hint="default" w:ascii="Times New Roman" w:hAnsi="Times New Roman" w:cs="Times New Roman"/>
                <w:bCs/>
                <w:color w:val="auto"/>
                <w:spacing w:val="-10"/>
                <w:sz w:val="21"/>
                <w:szCs w:val="21"/>
                <w:lang w:val="en-US" w:eastAsia="zh-CN"/>
              </w:rPr>
              <w:t>的</w:t>
            </w:r>
            <w:r>
              <w:rPr>
                <w:rFonts w:hint="default" w:ascii="Times New Roman" w:hAnsi="Times New Roman" w:eastAsia="宋体" w:cs="Times New Roman"/>
                <w:bCs/>
                <w:color w:val="auto"/>
                <w:spacing w:val="-10"/>
                <w:sz w:val="21"/>
                <w:szCs w:val="21"/>
                <w:lang w:val="en-US" w:eastAsia="zh-CN"/>
              </w:rPr>
              <w:t>异味</w:t>
            </w:r>
            <w:r>
              <w:rPr>
                <w:rFonts w:hint="default" w:ascii="Times New Roman" w:hAnsi="Times New Roman" w:eastAsia="宋体" w:cs="Times New Roman"/>
                <w:bCs/>
                <w:color w:val="auto"/>
                <w:spacing w:val="-10"/>
                <w:sz w:val="21"/>
                <w:szCs w:val="21"/>
                <w:lang w:eastAsia="zh-CN"/>
              </w:rPr>
              <w:t>执行《恶臭污染物排放标准》（</w:t>
            </w:r>
            <w:r>
              <w:rPr>
                <w:rFonts w:hint="eastAsia" w:cs="Times New Roman"/>
                <w:bCs/>
                <w:color w:val="auto"/>
                <w:spacing w:val="-10"/>
                <w:sz w:val="21"/>
                <w:szCs w:val="21"/>
                <w:lang w:eastAsia="zh-CN"/>
              </w:rPr>
              <w:t>GB 1455</w:t>
            </w:r>
            <w:r>
              <w:rPr>
                <w:rFonts w:hint="default" w:ascii="Times New Roman" w:hAnsi="Times New Roman" w:eastAsia="宋体" w:cs="Times New Roman"/>
                <w:bCs/>
                <w:color w:val="auto"/>
                <w:spacing w:val="-10"/>
                <w:sz w:val="21"/>
                <w:szCs w:val="21"/>
                <w:lang w:eastAsia="zh-CN"/>
              </w:rPr>
              <w:t>4-93）：</w:t>
            </w:r>
            <w:r>
              <w:rPr>
                <w:rFonts w:hint="default" w:ascii="Times New Roman" w:hAnsi="Times New Roman" w:eastAsia="宋体" w:cs="Times New Roman"/>
                <w:bCs/>
                <w:color w:val="auto"/>
                <w:spacing w:val="-10"/>
                <w:sz w:val="21"/>
                <w:szCs w:val="21"/>
                <w:lang w:val="en-US" w:eastAsia="zh-CN"/>
              </w:rPr>
              <w:t>20（无量纲）</w:t>
            </w:r>
          </w:p>
          <w:p w14:paraId="69862E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val="0"/>
                <w:color w:val="auto"/>
                <w:sz w:val="18"/>
                <w:szCs w:val="18"/>
                <w:lang w:eastAsia="zh-CN"/>
              </w:rPr>
            </w:pPr>
            <w:r>
              <w:rPr>
                <w:rFonts w:hint="default" w:ascii="Times New Roman" w:hAnsi="Times New Roman" w:cs="Times New Roman"/>
                <w:b/>
                <w:color w:val="auto"/>
                <w:sz w:val="18"/>
                <w:szCs w:val="18"/>
              </w:rPr>
              <w:t>表</w:t>
            </w:r>
            <w:r>
              <w:rPr>
                <w:rFonts w:hint="default" w:ascii="Times New Roman" w:hAnsi="Times New Roman" w:cs="Times New Roman"/>
                <w:b/>
                <w:bCs/>
                <w:color w:val="auto"/>
                <w:sz w:val="18"/>
                <w:szCs w:val="18"/>
              </w:rPr>
              <w:t>3-</w:t>
            </w:r>
            <w:r>
              <w:rPr>
                <w:rFonts w:hint="eastAsia" w:ascii="Times New Roman" w:hAnsi="Times New Roman" w:cs="Times New Roman"/>
                <w:b/>
                <w:bCs/>
                <w:color w:val="auto"/>
                <w:sz w:val="18"/>
                <w:szCs w:val="18"/>
                <w:lang w:val="en-US" w:eastAsia="zh-CN"/>
              </w:rPr>
              <w:t>4</w:t>
            </w:r>
            <w:r>
              <w:rPr>
                <w:rFonts w:hint="default" w:ascii="Times New Roman" w:hAnsi="Times New Roman" w:cs="Times New Roman"/>
                <w:b/>
                <w:color w:val="auto"/>
                <w:sz w:val="18"/>
                <w:szCs w:val="18"/>
              </w:rPr>
              <w:t xml:space="preserve">  </w:t>
            </w:r>
            <w:r>
              <w:rPr>
                <w:rFonts w:hint="default" w:ascii="Times New Roman" w:hAnsi="Times New Roman" w:cs="Times New Roman"/>
                <w:b/>
                <w:bCs w:val="0"/>
                <w:color w:val="auto"/>
                <w:sz w:val="18"/>
                <w:szCs w:val="18"/>
              </w:rPr>
              <w:t>《合成树脂工业污染排放标准》</w:t>
            </w:r>
            <w:r>
              <w:rPr>
                <w:rFonts w:hint="eastAsia" w:cs="Times New Roman"/>
                <w:b/>
                <w:bCs w:val="0"/>
                <w:color w:val="auto"/>
                <w:sz w:val="18"/>
                <w:szCs w:val="18"/>
                <w:lang w:eastAsia="zh-CN"/>
              </w:rPr>
              <w:t>（GB 31572-2015），含2024年修改单）</w:t>
            </w:r>
          </w:p>
          <w:tbl>
            <w:tblPr>
              <w:tblStyle w:val="30"/>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95"/>
              <w:gridCol w:w="2697"/>
              <w:gridCol w:w="2837"/>
            </w:tblGrid>
            <w:tr w14:paraId="698D8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96" w:type="pct"/>
                  <w:noWrap w:val="0"/>
                  <w:vAlign w:val="center"/>
                </w:tcPr>
                <w:p w14:paraId="68DEDE1B">
                  <w:pPr>
                    <w:pStyle w:val="59"/>
                    <w:widowControl/>
                    <w:spacing w:beforeLines="0" w:afterLines="0" w:line="240" w:lineRule="auto"/>
                    <w:rPr>
                      <w:rFonts w:ascii="Times New Roman" w:hAnsi="Times New Roman" w:cs="Times New Roman"/>
                      <w:bCs/>
                      <w:color w:val="auto"/>
                      <w:sz w:val="18"/>
                      <w:szCs w:val="18"/>
                    </w:rPr>
                  </w:pPr>
                  <w:r>
                    <w:rPr>
                      <w:rFonts w:ascii="Times New Roman" w:hAnsi="Times New Roman" w:cs="Times New Roman"/>
                      <w:bCs/>
                      <w:color w:val="auto"/>
                      <w:sz w:val="18"/>
                      <w:szCs w:val="18"/>
                    </w:rPr>
                    <w:t>污染物</w:t>
                  </w:r>
                </w:p>
              </w:tc>
              <w:tc>
                <w:tcPr>
                  <w:tcW w:w="1658" w:type="pct"/>
                  <w:noWrap w:val="0"/>
                  <w:vAlign w:val="center"/>
                </w:tcPr>
                <w:p w14:paraId="4073A31D">
                  <w:pPr>
                    <w:pStyle w:val="59"/>
                    <w:widowControl/>
                    <w:spacing w:beforeLines="0" w:afterLines="0" w:line="240" w:lineRule="auto"/>
                    <w:rPr>
                      <w:rFonts w:ascii="Times New Roman" w:hAnsi="Times New Roman" w:cs="Times New Roman"/>
                      <w:bCs/>
                      <w:color w:val="auto"/>
                      <w:sz w:val="18"/>
                      <w:szCs w:val="18"/>
                    </w:rPr>
                  </w:pPr>
                  <w:r>
                    <w:rPr>
                      <w:rFonts w:ascii="Times New Roman" w:hAnsi="Times New Roman" w:cs="Times New Roman"/>
                      <w:bCs/>
                      <w:color w:val="auto"/>
                      <w:sz w:val="18"/>
                      <w:szCs w:val="18"/>
                    </w:rPr>
                    <w:t>最高允许排放浓度mg/m</w:t>
                  </w:r>
                  <w:r>
                    <w:rPr>
                      <w:rFonts w:ascii="Times New Roman" w:hAnsi="Times New Roman" w:cs="Times New Roman"/>
                      <w:bCs/>
                      <w:color w:val="auto"/>
                      <w:sz w:val="18"/>
                      <w:szCs w:val="18"/>
                      <w:vertAlign w:val="superscript"/>
                    </w:rPr>
                    <w:t>3</w:t>
                  </w:r>
                </w:p>
              </w:tc>
              <w:tc>
                <w:tcPr>
                  <w:tcW w:w="1744" w:type="pct"/>
                  <w:noWrap w:val="0"/>
                  <w:vAlign w:val="center"/>
                </w:tcPr>
                <w:p w14:paraId="1ED73B11">
                  <w:pPr>
                    <w:pStyle w:val="59"/>
                    <w:widowControl/>
                    <w:spacing w:beforeLines="0" w:afterLines="0" w:line="240" w:lineRule="auto"/>
                    <w:rPr>
                      <w:rFonts w:ascii="Times New Roman" w:hAnsi="Times New Roman" w:cs="Times New Roman"/>
                      <w:bCs/>
                      <w:color w:val="auto"/>
                      <w:sz w:val="18"/>
                      <w:szCs w:val="18"/>
                    </w:rPr>
                  </w:pPr>
                  <w:r>
                    <w:rPr>
                      <w:rFonts w:ascii="Times New Roman" w:hAnsi="Times New Roman" w:cs="Times New Roman"/>
                      <w:bCs/>
                      <w:color w:val="auto"/>
                      <w:sz w:val="18"/>
                      <w:szCs w:val="18"/>
                    </w:rPr>
                    <w:t>污染物排放监控位置</w:t>
                  </w:r>
                </w:p>
              </w:tc>
            </w:tr>
            <w:tr w14:paraId="3AB28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596" w:type="pct"/>
                  <w:noWrap w:val="0"/>
                  <w:vAlign w:val="center"/>
                </w:tcPr>
                <w:p w14:paraId="0A31022F">
                  <w:pPr>
                    <w:pStyle w:val="59"/>
                    <w:widowControl/>
                    <w:spacing w:beforeLines="0" w:afterLines="0" w:line="240" w:lineRule="auto"/>
                    <w:rPr>
                      <w:rFonts w:ascii="Times New Roman" w:hAnsi="Times New Roman" w:cs="Times New Roman"/>
                      <w:color w:val="auto"/>
                      <w:sz w:val="18"/>
                      <w:szCs w:val="18"/>
                    </w:rPr>
                  </w:pPr>
                  <w:r>
                    <w:rPr>
                      <w:rFonts w:ascii="Times New Roman" w:hAnsi="Times New Roman" w:cs="Times New Roman"/>
                      <w:color w:val="auto"/>
                      <w:sz w:val="18"/>
                      <w:szCs w:val="18"/>
                    </w:rPr>
                    <w:t>非甲烷总烃</w:t>
                  </w:r>
                </w:p>
              </w:tc>
              <w:tc>
                <w:tcPr>
                  <w:tcW w:w="1658" w:type="pct"/>
                  <w:noWrap w:val="0"/>
                  <w:vAlign w:val="center"/>
                </w:tcPr>
                <w:p w14:paraId="7D633A9B">
                  <w:pPr>
                    <w:pStyle w:val="59"/>
                    <w:widowControl/>
                    <w:spacing w:beforeLines="0" w:afterLines="0" w:line="240" w:lineRule="auto"/>
                    <w:rPr>
                      <w:rFonts w:ascii="Times New Roman" w:hAnsi="Times New Roman" w:cs="Times New Roman"/>
                      <w:color w:val="auto"/>
                      <w:sz w:val="18"/>
                      <w:szCs w:val="18"/>
                    </w:rPr>
                  </w:pPr>
                  <w:r>
                    <w:rPr>
                      <w:rFonts w:ascii="Times New Roman" w:hAnsi="Times New Roman" w:cs="Times New Roman"/>
                      <w:color w:val="auto"/>
                      <w:sz w:val="18"/>
                      <w:szCs w:val="18"/>
                    </w:rPr>
                    <w:t>60</w:t>
                  </w:r>
                </w:p>
              </w:tc>
              <w:tc>
                <w:tcPr>
                  <w:tcW w:w="1744" w:type="pct"/>
                  <w:vMerge w:val="restart"/>
                  <w:noWrap w:val="0"/>
                  <w:vAlign w:val="center"/>
                </w:tcPr>
                <w:p w14:paraId="105D0036">
                  <w:pPr>
                    <w:widowControl/>
                    <w:jc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车间或生产设施排气</w:t>
                  </w:r>
                  <w:r>
                    <w:rPr>
                      <w:rFonts w:ascii="Times New Roman" w:hAnsi="Times New Roman" w:cs="Times New Roman"/>
                      <w:color w:val="auto"/>
                      <w:sz w:val="18"/>
                      <w:szCs w:val="18"/>
                    </w:rPr>
                    <w:t>筒</w:t>
                  </w:r>
                </w:p>
              </w:tc>
            </w:tr>
            <w:tr w14:paraId="62358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596" w:type="pct"/>
                  <w:noWrap w:val="0"/>
                  <w:vAlign w:val="center"/>
                </w:tcPr>
                <w:p w14:paraId="0A52D2D8">
                  <w:pPr>
                    <w:pStyle w:val="59"/>
                    <w:widowControl/>
                    <w:spacing w:beforeLines="0" w:afterLines="0" w:line="240" w:lineRule="auto"/>
                    <w:rPr>
                      <w:rFonts w:ascii="Times New Roman" w:hAnsi="Times New Roman" w:cs="Times New Roman"/>
                      <w:color w:val="auto"/>
                      <w:sz w:val="18"/>
                      <w:szCs w:val="18"/>
                    </w:rPr>
                  </w:pPr>
                  <w:r>
                    <w:rPr>
                      <w:rFonts w:ascii="Times New Roman" w:hAnsi="Times New Roman" w:cs="Times New Roman"/>
                      <w:color w:val="auto"/>
                      <w:sz w:val="18"/>
                      <w:szCs w:val="18"/>
                    </w:rPr>
                    <w:t>颗粒物</w:t>
                  </w:r>
                </w:p>
              </w:tc>
              <w:tc>
                <w:tcPr>
                  <w:tcW w:w="1658" w:type="pct"/>
                  <w:noWrap w:val="0"/>
                  <w:vAlign w:val="center"/>
                </w:tcPr>
                <w:p w14:paraId="7FC42716">
                  <w:pPr>
                    <w:pStyle w:val="59"/>
                    <w:widowControl/>
                    <w:spacing w:beforeLines="0" w:afterLines="0" w:line="240" w:lineRule="auto"/>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1744" w:type="pct"/>
                  <w:vMerge w:val="continue"/>
                  <w:noWrap w:val="0"/>
                  <w:vAlign w:val="center"/>
                </w:tcPr>
                <w:p w14:paraId="2268E539">
                  <w:pPr>
                    <w:widowControl/>
                    <w:jc w:val="left"/>
                    <w:rPr>
                      <w:rFonts w:ascii="Times New Roman" w:hAnsi="Times New Roman" w:cs="Times New Roman"/>
                      <w:color w:val="auto"/>
                      <w:kern w:val="0"/>
                      <w:sz w:val="18"/>
                      <w:szCs w:val="18"/>
                    </w:rPr>
                  </w:pPr>
                </w:p>
              </w:tc>
            </w:tr>
            <w:tr w14:paraId="5A8B5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596" w:type="pct"/>
                  <w:noWrap w:val="0"/>
                  <w:vAlign w:val="center"/>
                </w:tcPr>
                <w:p w14:paraId="0CA68D2A">
                  <w:pPr>
                    <w:pStyle w:val="59"/>
                    <w:widowControl/>
                    <w:spacing w:beforeLines="0" w:afterLines="0" w:line="240" w:lineRule="auto"/>
                    <w:rPr>
                      <w:rFonts w:ascii="Times New Roman" w:hAnsi="Times New Roman" w:cs="Times New Roman"/>
                      <w:color w:val="auto"/>
                      <w:sz w:val="18"/>
                      <w:szCs w:val="18"/>
                    </w:rPr>
                  </w:pPr>
                  <w:r>
                    <w:rPr>
                      <w:rFonts w:ascii="Times New Roman" w:hAnsi="Times New Roman" w:cs="Times New Roman"/>
                      <w:color w:val="auto"/>
                      <w:sz w:val="18"/>
                      <w:szCs w:val="18"/>
                    </w:rPr>
                    <w:t>苯乙烯</w:t>
                  </w:r>
                </w:p>
              </w:tc>
              <w:tc>
                <w:tcPr>
                  <w:tcW w:w="1658" w:type="pct"/>
                  <w:noWrap w:val="0"/>
                  <w:vAlign w:val="center"/>
                </w:tcPr>
                <w:p w14:paraId="6AB9D3AD">
                  <w:pPr>
                    <w:pStyle w:val="59"/>
                    <w:widowControl/>
                    <w:spacing w:beforeLines="0" w:afterLines="0" w:line="240" w:lineRule="auto"/>
                    <w:rPr>
                      <w:rFonts w:ascii="Times New Roman" w:hAnsi="Times New Roman" w:cs="Times New Roman"/>
                      <w:color w:val="auto"/>
                      <w:sz w:val="18"/>
                      <w:szCs w:val="18"/>
                    </w:rPr>
                  </w:pPr>
                  <w:r>
                    <w:rPr>
                      <w:rFonts w:ascii="Times New Roman" w:hAnsi="Times New Roman" w:cs="Times New Roman"/>
                      <w:color w:val="auto"/>
                      <w:sz w:val="18"/>
                      <w:szCs w:val="18"/>
                    </w:rPr>
                    <w:t>20</w:t>
                  </w:r>
                </w:p>
              </w:tc>
              <w:tc>
                <w:tcPr>
                  <w:tcW w:w="1744" w:type="pct"/>
                  <w:vMerge w:val="continue"/>
                  <w:noWrap w:val="0"/>
                  <w:vAlign w:val="center"/>
                </w:tcPr>
                <w:p w14:paraId="31EB1FF0">
                  <w:pPr>
                    <w:widowControl/>
                    <w:jc w:val="left"/>
                    <w:rPr>
                      <w:rFonts w:ascii="Times New Roman" w:hAnsi="Times New Roman" w:cs="Times New Roman"/>
                      <w:color w:val="auto"/>
                      <w:kern w:val="0"/>
                      <w:sz w:val="18"/>
                      <w:szCs w:val="18"/>
                    </w:rPr>
                  </w:pPr>
                </w:p>
              </w:tc>
            </w:tr>
            <w:tr w14:paraId="0BD7B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596" w:type="pct"/>
                  <w:noWrap w:val="0"/>
                  <w:vAlign w:val="center"/>
                </w:tcPr>
                <w:p w14:paraId="535010DF">
                  <w:pPr>
                    <w:pStyle w:val="59"/>
                    <w:widowControl/>
                    <w:spacing w:beforeLines="0" w:afterLines="0" w:line="240" w:lineRule="auto"/>
                    <w:rPr>
                      <w:rFonts w:ascii="Times New Roman" w:hAnsi="Times New Roman" w:cs="Times New Roman"/>
                      <w:color w:val="auto"/>
                      <w:sz w:val="18"/>
                      <w:szCs w:val="18"/>
                    </w:rPr>
                  </w:pPr>
                  <w:r>
                    <w:rPr>
                      <w:rFonts w:ascii="Times New Roman" w:hAnsi="Times New Roman" w:cs="Times New Roman"/>
                      <w:color w:val="auto"/>
                      <w:sz w:val="18"/>
                      <w:szCs w:val="18"/>
                    </w:rPr>
                    <w:t>丙烯腈</w:t>
                  </w:r>
                </w:p>
              </w:tc>
              <w:tc>
                <w:tcPr>
                  <w:tcW w:w="1658" w:type="pct"/>
                  <w:noWrap w:val="0"/>
                  <w:vAlign w:val="center"/>
                </w:tcPr>
                <w:p w14:paraId="1B74B54A">
                  <w:pPr>
                    <w:pStyle w:val="59"/>
                    <w:widowControl/>
                    <w:spacing w:beforeLines="0" w:afterLines="0" w:line="240" w:lineRule="auto"/>
                    <w:rPr>
                      <w:rFonts w:ascii="Times New Roman" w:hAnsi="Times New Roman" w:cs="Times New Roman"/>
                      <w:color w:val="auto"/>
                      <w:sz w:val="18"/>
                      <w:szCs w:val="18"/>
                    </w:rPr>
                  </w:pPr>
                  <w:r>
                    <w:rPr>
                      <w:rFonts w:ascii="Times New Roman" w:hAnsi="Times New Roman" w:cs="Times New Roman"/>
                      <w:color w:val="auto"/>
                      <w:sz w:val="18"/>
                      <w:szCs w:val="18"/>
                    </w:rPr>
                    <w:t>0.5</w:t>
                  </w:r>
                </w:p>
              </w:tc>
              <w:tc>
                <w:tcPr>
                  <w:tcW w:w="1744" w:type="pct"/>
                  <w:vMerge w:val="continue"/>
                  <w:noWrap w:val="0"/>
                  <w:vAlign w:val="center"/>
                </w:tcPr>
                <w:p w14:paraId="7C43D512">
                  <w:pPr>
                    <w:widowControl/>
                    <w:jc w:val="left"/>
                    <w:rPr>
                      <w:rFonts w:ascii="Times New Roman" w:hAnsi="Times New Roman" w:cs="Times New Roman"/>
                      <w:color w:val="auto"/>
                      <w:kern w:val="0"/>
                      <w:sz w:val="18"/>
                      <w:szCs w:val="18"/>
                    </w:rPr>
                  </w:pPr>
                </w:p>
              </w:tc>
            </w:tr>
            <w:tr w14:paraId="6459E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596" w:type="pct"/>
                  <w:noWrap w:val="0"/>
                  <w:vAlign w:val="center"/>
                </w:tcPr>
                <w:p w14:paraId="5C03E2E8">
                  <w:pPr>
                    <w:pStyle w:val="59"/>
                    <w:widowControl/>
                    <w:spacing w:beforeLines="0" w:afterLines="0" w:line="240" w:lineRule="auto"/>
                    <w:rPr>
                      <w:rFonts w:ascii="Times New Roman" w:hAnsi="Times New Roman" w:cs="Times New Roman"/>
                      <w:color w:val="auto"/>
                      <w:sz w:val="18"/>
                      <w:szCs w:val="18"/>
                    </w:rPr>
                  </w:pPr>
                  <w:r>
                    <w:rPr>
                      <w:rFonts w:ascii="Times New Roman" w:hAnsi="Times New Roman" w:cs="Times New Roman"/>
                      <w:color w:val="auto"/>
                      <w:sz w:val="18"/>
                      <w:szCs w:val="18"/>
                    </w:rPr>
                    <w:t>1,3-丁二烯</w:t>
                  </w:r>
                  <w:r>
                    <w:rPr>
                      <w:rFonts w:hint="eastAsia" w:ascii="Times New Roman" w:hAnsi="Times New Roman" w:cs="Times New Roman"/>
                      <w:color w:val="auto"/>
                      <w:sz w:val="18"/>
                      <w:szCs w:val="18"/>
                    </w:rPr>
                    <w:t>*</w:t>
                  </w:r>
                </w:p>
              </w:tc>
              <w:tc>
                <w:tcPr>
                  <w:tcW w:w="1658" w:type="pct"/>
                  <w:noWrap w:val="0"/>
                  <w:vAlign w:val="center"/>
                </w:tcPr>
                <w:p w14:paraId="26AFEADD">
                  <w:pPr>
                    <w:pStyle w:val="59"/>
                    <w:widowControl/>
                    <w:spacing w:beforeLines="0" w:afterLines="0" w:line="240" w:lineRule="auto"/>
                    <w:rPr>
                      <w:rFonts w:ascii="Times New Roman" w:hAnsi="Times New Roman" w:cs="Times New Roman"/>
                      <w:color w:val="auto"/>
                      <w:sz w:val="18"/>
                      <w:szCs w:val="18"/>
                    </w:rPr>
                  </w:pPr>
                  <w:r>
                    <w:rPr>
                      <w:rFonts w:ascii="Times New Roman" w:hAnsi="Times New Roman" w:cs="Times New Roman"/>
                      <w:color w:val="auto"/>
                      <w:sz w:val="18"/>
                      <w:szCs w:val="18"/>
                    </w:rPr>
                    <w:t>1</w:t>
                  </w:r>
                </w:p>
              </w:tc>
              <w:tc>
                <w:tcPr>
                  <w:tcW w:w="1744" w:type="pct"/>
                  <w:vMerge w:val="continue"/>
                  <w:noWrap w:val="0"/>
                  <w:vAlign w:val="center"/>
                </w:tcPr>
                <w:p w14:paraId="5B67B53C">
                  <w:pPr>
                    <w:widowControl/>
                    <w:jc w:val="left"/>
                    <w:rPr>
                      <w:rFonts w:ascii="Times New Roman" w:hAnsi="Times New Roman" w:cs="Times New Roman"/>
                      <w:color w:val="auto"/>
                      <w:kern w:val="0"/>
                      <w:sz w:val="18"/>
                      <w:szCs w:val="18"/>
                    </w:rPr>
                  </w:pPr>
                </w:p>
              </w:tc>
            </w:tr>
            <w:tr w14:paraId="67602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596" w:type="pct"/>
                  <w:shd w:val="clear" w:color="auto" w:fill="auto"/>
                  <w:noWrap w:val="0"/>
                  <w:vAlign w:val="center"/>
                </w:tcPr>
                <w:p w14:paraId="296CF650">
                  <w:pPr>
                    <w:pStyle w:val="59"/>
                    <w:widowControl/>
                    <w:spacing w:beforeLines="0" w:afterLines="0" w:line="240" w:lineRule="auto"/>
                    <w:ind w:left="780" w:leftChars="200" w:hanging="360" w:hangingChars="200"/>
                    <w:rPr>
                      <w:rFonts w:ascii="Times New Roman" w:hAnsi="Times New Roman" w:eastAsia="宋体" w:cs="Times New Roman"/>
                      <w:color w:val="auto"/>
                      <w:kern w:val="0"/>
                      <w:sz w:val="18"/>
                      <w:szCs w:val="18"/>
                      <w:lang w:val="en-US" w:eastAsia="zh-CN" w:bidi="ar-SA"/>
                    </w:rPr>
                  </w:pPr>
                  <w:r>
                    <w:rPr>
                      <w:rFonts w:ascii="Times New Roman" w:hAnsi="Times New Roman" w:cs="Times New Roman"/>
                      <w:color w:val="auto"/>
                      <w:sz w:val="18"/>
                      <w:szCs w:val="18"/>
                    </w:rPr>
                    <w:t>甲苯</w:t>
                  </w:r>
                </w:p>
              </w:tc>
              <w:tc>
                <w:tcPr>
                  <w:tcW w:w="1658" w:type="pct"/>
                  <w:shd w:val="clear" w:color="auto" w:fill="auto"/>
                  <w:noWrap w:val="0"/>
                  <w:vAlign w:val="center"/>
                </w:tcPr>
                <w:p w14:paraId="1F997EF8">
                  <w:pPr>
                    <w:pStyle w:val="59"/>
                    <w:widowControl/>
                    <w:spacing w:beforeLines="0" w:afterLines="0" w:line="240" w:lineRule="auto"/>
                    <w:ind w:left="780" w:leftChars="200" w:hanging="360" w:hangingChars="200"/>
                    <w:rPr>
                      <w:rFonts w:ascii="Times New Roman" w:hAnsi="Times New Roman" w:eastAsia="宋体" w:cs="Times New Roman"/>
                      <w:color w:val="auto"/>
                      <w:kern w:val="0"/>
                      <w:sz w:val="18"/>
                      <w:szCs w:val="18"/>
                      <w:lang w:val="en-US" w:eastAsia="zh-CN" w:bidi="ar-SA"/>
                    </w:rPr>
                  </w:pPr>
                  <w:r>
                    <w:rPr>
                      <w:rFonts w:ascii="Times New Roman" w:hAnsi="Times New Roman" w:cs="Times New Roman"/>
                      <w:color w:val="auto"/>
                      <w:sz w:val="18"/>
                      <w:szCs w:val="18"/>
                    </w:rPr>
                    <w:t>8</w:t>
                  </w:r>
                </w:p>
              </w:tc>
              <w:tc>
                <w:tcPr>
                  <w:tcW w:w="1744" w:type="pct"/>
                  <w:vMerge w:val="continue"/>
                  <w:noWrap w:val="0"/>
                  <w:vAlign w:val="center"/>
                </w:tcPr>
                <w:p w14:paraId="2EDF5120">
                  <w:pPr>
                    <w:widowControl/>
                    <w:jc w:val="left"/>
                    <w:rPr>
                      <w:rFonts w:ascii="Times New Roman" w:hAnsi="Times New Roman" w:cs="Times New Roman"/>
                      <w:color w:val="auto"/>
                      <w:kern w:val="0"/>
                      <w:sz w:val="18"/>
                      <w:szCs w:val="18"/>
                    </w:rPr>
                  </w:pPr>
                </w:p>
              </w:tc>
            </w:tr>
            <w:tr w14:paraId="6DFF1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596" w:type="pct"/>
                  <w:shd w:val="clear" w:color="auto" w:fill="auto"/>
                  <w:noWrap w:val="0"/>
                  <w:vAlign w:val="center"/>
                </w:tcPr>
                <w:p w14:paraId="268717F2">
                  <w:pPr>
                    <w:pStyle w:val="59"/>
                    <w:widowControl/>
                    <w:spacing w:beforeLines="0" w:afterLines="0" w:line="240" w:lineRule="auto"/>
                    <w:ind w:left="780" w:leftChars="200" w:hanging="360" w:hangingChars="200"/>
                    <w:rPr>
                      <w:rFonts w:ascii="Times New Roman" w:hAnsi="Times New Roman" w:eastAsia="宋体" w:cs="Times New Roman"/>
                      <w:color w:val="auto"/>
                      <w:kern w:val="0"/>
                      <w:sz w:val="18"/>
                      <w:szCs w:val="18"/>
                      <w:lang w:val="en-US" w:eastAsia="zh-CN" w:bidi="ar-SA"/>
                    </w:rPr>
                  </w:pPr>
                  <w:r>
                    <w:rPr>
                      <w:rFonts w:ascii="Times New Roman" w:hAnsi="Times New Roman" w:cs="Times New Roman"/>
                      <w:color w:val="auto"/>
                      <w:sz w:val="18"/>
                      <w:szCs w:val="18"/>
                    </w:rPr>
                    <w:t>乙苯</w:t>
                  </w:r>
                </w:p>
              </w:tc>
              <w:tc>
                <w:tcPr>
                  <w:tcW w:w="1658" w:type="pct"/>
                  <w:shd w:val="clear" w:color="auto" w:fill="auto"/>
                  <w:noWrap w:val="0"/>
                  <w:vAlign w:val="center"/>
                </w:tcPr>
                <w:p w14:paraId="5E0EFFC4">
                  <w:pPr>
                    <w:pStyle w:val="59"/>
                    <w:widowControl/>
                    <w:spacing w:beforeLines="0" w:afterLines="0" w:line="240" w:lineRule="auto"/>
                    <w:ind w:left="780" w:leftChars="200" w:hanging="360" w:hangingChars="200"/>
                    <w:rPr>
                      <w:rFonts w:ascii="Times New Roman" w:hAnsi="Times New Roman" w:eastAsia="宋体" w:cs="Times New Roman"/>
                      <w:color w:val="auto"/>
                      <w:kern w:val="0"/>
                      <w:sz w:val="18"/>
                      <w:szCs w:val="18"/>
                      <w:lang w:val="en-US" w:eastAsia="zh-CN" w:bidi="ar-SA"/>
                    </w:rPr>
                  </w:pPr>
                  <w:r>
                    <w:rPr>
                      <w:rFonts w:ascii="Times New Roman" w:hAnsi="Times New Roman" w:cs="Times New Roman"/>
                      <w:color w:val="auto"/>
                      <w:sz w:val="18"/>
                      <w:szCs w:val="18"/>
                    </w:rPr>
                    <w:t>50</w:t>
                  </w:r>
                </w:p>
              </w:tc>
              <w:tc>
                <w:tcPr>
                  <w:tcW w:w="1744" w:type="pct"/>
                  <w:vMerge w:val="continue"/>
                  <w:noWrap w:val="0"/>
                  <w:vAlign w:val="center"/>
                </w:tcPr>
                <w:p w14:paraId="05361212">
                  <w:pPr>
                    <w:widowControl/>
                    <w:jc w:val="left"/>
                    <w:rPr>
                      <w:rFonts w:ascii="Times New Roman" w:hAnsi="Times New Roman" w:cs="Times New Roman"/>
                      <w:color w:val="auto"/>
                      <w:kern w:val="0"/>
                      <w:sz w:val="18"/>
                      <w:szCs w:val="18"/>
                    </w:rPr>
                  </w:pPr>
                </w:p>
              </w:tc>
            </w:tr>
            <w:tr w14:paraId="1967F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596" w:type="pct"/>
                  <w:noWrap w:val="0"/>
                  <w:vAlign w:val="center"/>
                </w:tcPr>
                <w:p w14:paraId="743450D8">
                  <w:pPr>
                    <w:pStyle w:val="59"/>
                    <w:widowControl/>
                    <w:spacing w:beforeLines="0" w:afterLines="0" w:line="240" w:lineRule="auto"/>
                    <w:rPr>
                      <w:rFonts w:ascii="Times New Roman" w:hAnsi="Times New Roman" w:cs="Times New Roman"/>
                      <w:color w:val="auto"/>
                      <w:sz w:val="18"/>
                      <w:szCs w:val="18"/>
                    </w:rPr>
                  </w:pPr>
                  <w:r>
                    <w:rPr>
                      <w:rFonts w:ascii="Times New Roman" w:hAnsi="Times New Roman" w:cs="Times New Roman"/>
                      <w:color w:val="auto"/>
                      <w:sz w:val="18"/>
                      <w:szCs w:val="18"/>
                    </w:rPr>
                    <w:t>颗粒物</w:t>
                  </w:r>
                </w:p>
              </w:tc>
              <w:tc>
                <w:tcPr>
                  <w:tcW w:w="1658" w:type="pct"/>
                  <w:noWrap w:val="0"/>
                  <w:vAlign w:val="center"/>
                </w:tcPr>
                <w:p w14:paraId="528B464C">
                  <w:pPr>
                    <w:pStyle w:val="59"/>
                    <w:widowControl/>
                    <w:spacing w:beforeLines="0" w:afterLines="0" w:line="240" w:lineRule="auto"/>
                    <w:rPr>
                      <w:rFonts w:ascii="Times New Roman" w:hAnsi="Times New Roman" w:cs="Times New Roman"/>
                      <w:color w:val="auto"/>
                      <w:sz w:val="18"/>
                      <w:szCs w:val="18"/>
                    </w:rPr>
                  </w:pPr>
                  <w:r>
                    <w:rPr>
                      <w:rFonts w:ascii="Times New Roman" w:hAnsi="Times New Roman" w:cs="Times New Roman"/>
                      <w:color w:val="auto"/>
                      <w:sz w:val="18"/>
                      <w:szCs w:val="18"/>
                    </w:rPr>
                    <w:t>1.0</w:t>
                  </w:r>
                </w:p>
              </w:tc>
              <w:tc>
                <w:tcPr>
                  <w:tcW w:w="1744" w:type="pct"/>
                  <w:vMerge w:val="restart"/>
                  <w:noWrap w:val="0"/>
                  <w:vAlign w:val="center"/>
                </w:tcPr>
                <w:p w14:paraId="135AA9AB">
                  <w:pPr>
                    <w:widowControl/>
                    <w:jc w:val="center"/>
                    <w:rPr>
                      <w:rFonts w:ascii="Times New Roman" w:hAnsi="Times New Roman" w:cs="Times New Roman"/>
                      <w:color w:val="auto"/>
                      <w:kern w:val="0"/>
                      <w:sz w:val="18"/>
                      <w:szCs w:val="18"/>
                    </w:rPr>
                  </w:pPr>
                  <w:r>
                    <w:rPr>
                      <w:rFonts w:ascii="Times New Roman" w:hAnsi="Times New Roman" w:cs="Times New Roman"/>
                      <w:color w:val="auto"/>
                      <w:kern w:val="0"/>
                      <w:sz w:val="18"/>
                      <w:szCs w:val="18"/>
                    </w:rPr>
                    <w:t>企业边界</w:t>
                  </w:r>
                </w:p>
              </w:tc>
            </w:tr>
            <w:tr w14:paraId="06AC8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596" w:type="pct"/>
                  <w:noWrap w:val="0"/>
                  <w:vAlign w:val="center"/>
                </w:tcPr>
                <w:p w14:paraId="4B2B95AE">
                  <w:pPr>
                    <w:pStyle w:val="59"/>
                    <w:widowControl/>
                    <w:spacing w:beforeLines="0" w:afterLines="0" w:line="240" w:lineRule="auto"/>
                    <w:rPr>
                      <w:rFonts w:ascii="Times New Roman" w:hAnsi="Times New Roman" w:cs="Times New Roman"/>
                      <w:color w:val="auto"/>
                      <w:sz w:val="18"/>
                      <w:szCs w:val="18"/>
                    </w:rPr>
                  </w:pPr>
                  <w:r>
                    <w:rPr>
                      <w:rFonts w:ascii="Times New Roman" w:hAnsi="Times New Roman" w:cs="Times New Roman"/>
                      <w:color w:val="auto"/>
                      <w:sz w:val="18"/>
                      <w:szCs w:val="18"/>
                    </w:rPr>
                    <w:t>甲苯</w:t>
                  </w:r>
                </w:p>
              </w:tc>
              <w:tc>
                <w:tcPr>
                  <w:tcW w:w="1658" w:type="pct"/>
                  <w:noWrap w:val="0"/>
                  <w:vAlign w:val="center"/>
                </w:tcPr>
                <w:p w14:paraId="382E13E3">
                  <w:pPr>
                    <w:pStyle w:val="59"/>
                    <w:widowControl/>
                    <w:spacing w:beforeLines="0" w:afterLines="0" w:line="240" w:lineRule="auto"/>
                    <w:rPr>
                      <w:rFonts w:hint="default" w:ascii="Times New Roman" w:hAnsi="Times New Roman" w:eastAsia="宋体" w:cs="Times New Roman"/>
                      <w:color w:val="auto"/>
                      <w:sz w:val="18"/>
                      <w:szCs w:val="18"/>
                      <w:lang w:val="en-US" w:eastAsia="zh-CN"/>
                    </w:rPr>
                  </w:pPr>
                  <w:r>
                    <w:rPr>
                      <w:rFonts w:hint="eastAsia" w:ascii="Times New Roman" w:cs="Times New Roman"/>
                      <w:color w:val="auto"/>
                      <w:sz w:val="18"/>
                      <w:szCs w:val="18"/>
                      <w:lang w:val="en-US" w:eastAsia="zh-CN"/>
                    </w:rPr>
                    <w:t>0.8</w:t>
                  </w:r>
                </w:p>
              </w:tc>
              <w:tc>
                <w:tcPr>
                  <w:tcW w:w="1744" w:type="pct"/>
                  <w:vMerge w:val="continue"/>
                  <w:noWrap w:val="0"/>
                  <w:vAlign w:val="center"/>
                </w:tcPr>
                <w:p w14:paraId="1C2EDE91">
                  <w:pPr>
                    <w:widowControl/>
                    <w:jc w:val="left"/>
                    <w:rPr>
                      <w:rFonts w:ascii="Times New Roman" w:hAnsi="Times New Roman" w:cs="Times New Roman"/>
                      <w:color w:val="auto"/>
                      <w:kern w:val="0"/>
                      <w:sz w:val="18"/>
                      <w:szCs w:val="18"/>
                    </w:rPr>
                  </w:pPr>
                </w:p>
              </w:tc>
            </w:tr>
            <w:tr w14:paraId="72998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1596" w:type="pct"/>
                  <w:noWrap w:val="0"/>
                  <w:vAlign w:val="center"/>
                </w:tcPr>
                <w:p w14:paraId="1D4959CE">
                  <w:pPr>
                    <w:pStyle w:val="59"/>
                    <w:widowControl/>
                    <w:spacing w:beforeLines="0" w:afterLines="0" w:line="240" w:lineRule="auto"/>
                    <w:rPr>
                      <w:rFonts w:ascii="Times New Roman" w:hAnsi="Times New Roman" w:cs="Times New Roman"/>
                      <w:color w:val="auto"/>
                      <w:sz w:val="18"/>
                      <w:szCs w:val="18"/>
                    </w:rPr>
                  </w:pPr>
                  <w:r>
                    <w:rPr>
                      <w:rFonts w:ascii="Times New Roman" w:hAnsi="Times New Roman" w:cs="Times New Roman"/>
                      <w:color w:val="auto"/>
                      <w:sz w:val="18"/>
                      <w:szCs w:val="18"/>
                    </w:rPr>
                    <w:t>非甲烷总烃</w:t>
                  </w:r>
                </w:p>
              </w:tc>
              <w:tc>
                <w:tcPr>
                  <w:tcW w:w="1658" w:type="pct"/>
                  <w:noWrap w:val="0"/>
                  <w:vAlign w:val="center"/>
                </w:tcPr>
                <w:p w14:paraId="0CAC356A">
                  <w:pPr>
                    <w:pStyle w:val="59"/>
                    <w:widowControl/>
                    <w:spacing w:beforeLines="0" w:afterLines="0" w:line="240" w:lineRule="auto"/>
                    <w:rPr>
                      <w:rFonts w:ascii="Times New Roman" w:hAnsi="Times New Roman" w:cs="Times New Roman"/>
                      <w:color w:val="auto"/>
                      <w:sz w:val="18"/>
                      <w:szCs w:val="18"/>
                    </w:rPr>
                  </w:pPr>
                  <w:r>
                    <w:rPr>
                      <w:rFonts w:ascii="Times New Roman" w:hAnsi="Times New Roman" w:cs="Times New Roman"/>
                      <w:color w:val="auto"/>
                      <w:sz w:val="18"/>
                      <w:szCs w:val="18"/>
                    </w:rPr>
                    <w:t>4.0</w:t>
                  </w:r>
                </w:p>
              </w:tc>
              <w:tc>
                <w:tcPr>
                  <w:tcW w:w="1744" w:type="pct"/>
                  <w:vMerge w:val="continue"/>
                  <w:noWrap w:val="0"/>
                  <w:vAlign w:val="center"/>
                </w:tcPr>
                <w:p w14:paraId="03F338DC">
                  <w:pPr>
                    <w:widowControl/>
                    <w:jc w:val="left"/>
                    <w:rPr>
                      <w:rFonts w:ascii="Times New Roman" w:hAnsi="Times New Roman" w:cs="Times New Roman"/>
                      <w:color w:val="auto"/>
                      <w:kern w:val="0"/>
                      <w:sz w:val="18"/>
                      <w:szCs w:val="18"/>
                    </w:rPr>
                  </w:pPr>
                </w:p>
              </w:tc>
            </w:tr>
            <w:tr w14:paraId="40C41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5000" w:type="pct"/>
                  <w:gridSpan w:val="3"/>
                  <w:noWrap w:val="0"/>
                  <w:vAlign w:val="center"/>
                </w:tcPr>
                <w:p w14:paraId="418ED739">
                  <w:pPr>
                    <w:widowControl/>
                    <w:jc w:val="left"/>
                    <w:rPr>
                      <w:rFonts w:ascii="Times New Roman" w:hAnsi="Times New Roman" w:cs="Times New Roman"/>
                      <w:color w:val="auto"/>
                      <w:kern w:val="0"/>
                      <w:sz w:val="18"/>
                      <w:szCs w:val="18"/>
                    </w:rPr>
                  </w:pPr>
                  <w:r>
                    <w:rPr>
                      <w:rFonts w:hint="eastAsia" w:cs="Times New Roman"/>
                      <w:color w:val="auto"/>
                      <w:kern w:val="0"/>
                      <w:sz w:val="18"/>
                      <w:szCs w:val="18"/>
                      <w:lang w:val="en-US" w:eastAsia="zh-CN"/>
                    </w:rPr>
                    <w:t>备注：</w:t>
                  </w:r>
                  <w:r>
                    <w:rPr>
                      <w:rFonts w:hint="eastAsia" w:ascii="Times New Roman" w:hAnsi="Times New Roman" w:cs="Times New Roman"/>
                      <w:color w:val="auto"/>
                      <w:sz w:val="18"/>
                      <w:szCs w:val="18"/>
                    </w:rPr>
                    <w:t>*</w:t>
                  </w:r>
                  <w:r>
                    <w:rPr>
                      <w:rFonts w:hint="eastAsia" w:cs="Times New Roman"/>
                      <w:color w:val="auto"/>
                      <w:kern w:val="0"/>
                      <w:sz w:val="18"/>
                      <w:szCs w:val="18"/>
                      <w:lang w:val="en-US" w:eastAsia="zh-CN"/>
                    </w:rPr>
                    <w:t>待国家污染物监测方法标准发布后实施。</w:t>
                  </w:r>
                </w:p>
              </w:tc>
            </w:tr>
          </w:tbl>
          <w:p w14:paraId="6F8679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val="0"/>
                <w:color w:val="auto"/>
                <w:sz w:val="18"/>
                <w:szCs w:val="18"/>
              </w:rPr>
            </w:pPr>
          </w:p>
          <w:p w14:paraId="487CE153">
            <w:pPr>
              <w:adjustRightInd w:val="0"/>
              <w:snapToGrid w:val="0"/>
              <w:ind w:right="238"/>
              <w:jc w:val="center"/>
              <w:rPr>
                <w:rFonts w:hint="default" w:ascii="Times New Roman" w:hAnsi="Times New Roman" w:cs="Times New Roman"/>
                <w:b/>
                <w:color w:val="auto"/>
                <w:szCs w:val="21"/>
              </w:rPr>
            </w:pPr>
            <w:r>
              <w:rPr>
                <w:rFonts w:hint="default" w:ascii="Times New Roman" w:hAnsi="Times New Roman" w:cs="Times New Roman"/>
                <w:b/>
                <w:bCs/>
                <w:caps/>
                <w:color w:val="auto"/>
                <w:kern w:val="0"/>
                <w:szCs w:val="21"/>
                <w:lang w:eastAsia="zh-CN"/>
              </w:rPr>
              <w:t>表</w:t>
            </w:r>
            <w:r>
              <w:rPr>
                <w:rFonts w:hint="default" w:ascii="Times New Roman" w:hAnsi="Times New Roman" w:cs="Times New Roman"/>
                <w:b/>
                <w:bCs/>
                <w:caps/>
                <w:color w:val="auto"/>
                <w:kern w:val="0"/>
                <w:szCs w:val="21"/>
                <w:lang w:val="en-US" w:eastAsia="zh-CN"/>
              </w:rPr>
              <w:t>3-</w:t>
            </w:r>
            <w:r>
              <w:rPr>
                <w:rFonts w:hint="eastAsia" w:ascii="Times New Roman" w:hAnsi="Times New Roman" w:cs="Times New Roman"/>
                <w:b/>
                <w:bCs/>
                <w:caps/>
                <w:color w:val="auto"/>
                <w:kern w:val="0"/>
                <w:szCs w:val="21"/>
                <w:lang w:val="en-US" w:eastAsia="zh-CN"/>
              </w:rPr>
              <w:t>5</w:t>
            </w:r>
            <w:r>
              <w:rPr>
                <w:rFonts w:hint="default" w:ascii="Times New Roman" w:hAnsi="Times New Roman" w:cs="Times New Roman"/>
                <w:b/>
                <w:bCs/>
                <w:caps/>
                <w:color w:val="auto"/>
                <w:kern w:val="0"/>
                <w:szCs w:val="21"/>
                <w:lang w:val="en-US" w:eastAsia="zh-CN"/>
              </w:rPr>
              <w:t xml:space="preserve">  《</w:t>
            </w:r>
            <w:r>
              <w:rPr>
                <w:rFonts w:hint="default" w:ascii="Times New Roman" w:hAnsi="Times New Roman" w:cs="Times New Roman"/>
                <w:b/>
                <w:color w:val="auto"/>
                <w:szCs w:val="21"/>
              </w:rPr>
              <w:t>挥发性有机物无组织排放控制标准》（</w:t>
            </w:r>
            <w:r>
              <w:rPr>
                <w:rFonts w:hint="eastAsia" w:cs="Times New Roman"/>
                <w:b/>
                <w:color w:val="auto"/>
                <w:szCs w:val="21"/>
                <w:lang w:eastAsia="zh-CN"/>
              </w:rPr>
              <w:t>GB 37822</w:t>
            </w:r>
            <w:r>
              <w:rPr>
                <w:rFonts w:hint="default" w:ascii="Times New Roman" w:hAnsi="Times New Roman" w:cs="Times New Roman"/>
                <w:b/>
                <w:color w:val="auto"/>
                <w:szCs w:val="21"/>
              </w:rPr>
              <w:t>-2019）表A.1标准</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7"/>
              <w:gridCol w:w="2050"/>
              <w:gridCol w:w="2434"/>
              <w:gridCol w:w="1982"/>
            </w:tblGrid>
            <w:tr w14:paraId="38B53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24" w:type="pct"/>
                  <w:noWrap w:val="0"/>
                  <w:vAlign w:val="center"/>
                </w:tcPr>
                <w:p w14:paraId="66DD58F4">
                  <w:pPr>
                    <w:pStyle w:val="71"/>
                    <w:adjustRightInd w:val="0"/>
                    <w:snapToGrid w:val="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污染物</w:t>
                  </w:r>
                </w:p>
              </w:tc>
              <w:tc>
                <w:tcPr>
                  <w:tcW w:w="1260" w:type="pct"/>
                  <w:noWrap w:val="0"/>
                  <w:vAlign w:val="center"/>
                </w:tcPr>
                <w:p w14:paraId="73CB5F47">
                  <w:pPr>
                    <w:pStyle w:val="71"/>
                    <w:adjustRightInd w:val="0"/>
                    <w:snapToGrid w:val="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特别排放限值（mg/m</w:t>
                  </w:r>
                  <w:r>
                    <w:rPr>
                      <w:rFonts w:hint="default" w:ascii="Times New Roman" w:hAnsi="Times New Roman" w:eastAsia="宋体" w:cs="Times New Roman"/>
                      <w:color w:val="auto"/>
                      <w:sz w:val="18"/>
                      <w:szCs w:val="18"/>
                      <w:vertAlign w:val="superscript"/>
                      <w:lang w:val="en-US" w:eastAsia="zh-CN"/>
                    </w:rPr>
                    <w:t>3</w:t>
                  </w:r>
                  <w:r>
                    <w:rPr>
                      <w:rFonts w:hint="default" w:ascii="Times New Roman" w:hAnsi="Times New Roman" w:eastAsia="宋体" w:cs="Times New Roman"/>
                      <w:color w:val="auto"/>
                      <w:sz w:val="18"/>
                      <w:szCs w:val="18"/>
                      <w:lang w:val="en-US" w:eastAsia="zh-CN"/>
                    </w:rPr>
                    <w:t>）</w:t>
                  </w:r>
                </w:p>
              </w:tc>
              <w:tc>
                <w:tcPr>
                  <w:tcW w:w="1496" w:type="pct"/>
                  <w:noWrap w:val="0"/>
                  <w:vAlign w:val="center"/>
                </w:tcPr>
                <w:p w14:paraId="7EE9E395">
                  <w:pPr>
                    <w:pStyle w:val="71"/>
                    <w:adjustRightInd w:val="0"/>
                    <w:snapToGrid w:val="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限值含义</w:t>
                  </w:r>
                </w:p>
              </w:tc>
              <w:tc>
                <w:tcPr>
                  <w:tcW w:w="1218" w:type="pct"/>
                  <w:noWrap w:val="0"/>
                  <w:vAlign w:val="center"/>
                </w:tcPr>
                <w:p w14:paraId="18E8D023">
                  <w:pPr>
                    <w:pStyle w:val="71"/>
                    <w:adjustRightInd w:val="0"/>
                    <w:snapToGrid w:val="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无组织排放监控位置</w:t>
                  </w:r>
                </w:p>
              </w:tc>
            </w:tr>
            <w:tr w14:paraId="63E55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5" w:hRule="atLeast"/>
                <w:jc w:val="center"/>
              </w:trPr>
              <w:tc>
                <w:tcPr>
                  <w:tcW w:w="1024" w:type="pct"/>
                  <w:vMerge w:val="restart"/>
                  <w:noWrap w:val="0"/>
                  <w:vAlign w:val="center"/>
                </w:tcPr>
                <w:p w14:paraId="41B26CCD">
                  <w:pPr>
                    <w:pStyle w:val="71"/>
                    <w:adjustRightInd w:val="0"/>
                    <w:snapToGrid w:val="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NMHC</w:t>
                  </w:r>
                </w:p>
                <w:p w14:paraId="2DC316C4">
                  <w:pPr>
                    <w:pStyle w:val="71"/>
                    <w:adjustRightInd w:val="0"/>
                    <w:snapToGrid w:val="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（非甲烷总烃）</w:t>
                  </w:r>
                </w:p>
              </w:tc>
              <w:tc>
                <w:tcPr>
                  <w:tcW w:w="1260" w:type="pct"/>
                  <w:noWrap w:val="0"/>
                  <w:vAlign w:val="center"/>
                </w:tcPr>
                <w:p w14:paraId="3B5BEF64">
                  <w:pPr>
                    <w:pStyle w:val="71"/>
                    <w:adjustRightInd w:val="0"/>
                    <w:snapToGrid w:val="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6</w:t>
                  </w:r>
                </w:p>
              </w:tc>
              <w:tc>
                <w:tcPr>
                  <w:tcW w:w="1496" w:type="pct"/>
                  <w:noWrap w:val="0"/>
                  <w:vAlign w:val="center"/>
                </w:tcPr>
                <w:p w14:paraId="2614365D">
                  <w:pPr>
                    <w:pStyle w:val="71"/>
                    <w:adjustRightInd w:val="0"/>
                    <w:snapToGrid w:val="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监控点处1h平均浓度值</w:t>
                  </w:r>
                </w:p>
              </w:tc>
              <w:tc>
                <w:tcPr>
                  <w:tcW w:w="1218" w:type="pct"/>
                  <w:vMerge w:val="restart"/>
                  <w:noWrap w:val="0"/>
                  <w:vAlign w:val="center"/>
                </w:tcPr>
                <w:p w14:paraId="6C7BED70">
                  <w:pPr>
                    <w:pStyle w:val="71"/>
                    <w:adjustRightInd w:val="0"/>
                    <w:snapToGrid w:val="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在厂房外设置监控点</w:t>
                  </w:r>
                </w:p>
              </w:tc>
            </w:tr>
            <w:tr w14:paraId="23425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8" w:hRule="atLeast"/>
                <w:jc w:val="center"/>
              </w:trPr>
              <w:tc>
                <w:tcPr>
                  <w:tcW w:w="1024" w:type="pct"/>
                  <w:vMerge w:val="continue"/>
                  <w:noWrap w:val="0"/>
                  <w:vAlign w:val="center"/>
                </w:tcPr>
                <w:p w14:paraId="3D067207">
                  <w:pPr>
                    <w:pStyle w:val="89"/>
                    <w:spacing w:line="240" w:lineRule="auto"/>
                    <w:jc w:val="center"/>
                    <w:rPr>
                      <w:rFonts w:hint="default" w:ascii="Times New Roman" w:hAnsi="Times New Roman" w:cs="Times New Roman"/>
                      <w:color w:val="auto"/>
                      <w:sz w:val="18"/>
                      <w:szCs w:val="18"/>
                    </w:rPr>
                  </w:pPr>
                </w:p>
              </w:tc>
              <w:tc>
                <w:tcPr>
                  <w:tcW w:w="1260" w:type="pct"/>
                  <w:noWrap w:val="0"/>
                  <w:vAlign w:val="center"/>
                </w:tcPr>
                <w:p w14:paraId="0AFD0405">
                  <w:pPr>
                    <w:pStyle w:val="71"/>
                    <w:adjustRightInd w:val="0"/>
                    <w:snapToGrid w:val="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20</w:t>
                  </w:r>
                </w:p>
              </w:tc>
              <w:tc>
                <w:tcPr>
                  <w:tcW w:w="1496" w:type="pct"/>
                  <w:noWrap w:val="0"/>
                  <w:vAlign w:val="center"/>
                </w:tcPr>
                <w:p w14:paraId="4AEF67E6">
                  <w:pPr>
                    <w:pStyle w:val="71"/>
                    <w:adjustRightInd w:val="0"/>
                    <w:snapToGrid w:val="0"/>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监控点处任意一次浓度值</w:t>
                  </w:r>
                </w:p>
              </w:tc>
              <w:tc>
                <w:tcPr>
                  <w:tcW w:w="1218" w:type="pct"/>
                  <w:vMerge w:val="continue"/>
                  <w:noWrap w:val="0"/>
                  <w:vAlign w:val="center"/>
                </w:tcPr>
                <w:p w14:paraId="00AFC42C">
                  <w:pPr>
                    <w:pStyle w:val="89"/>
                    <w:spacing w:line="240" w:lineRule="auto"/>
                    <w:jc w:val="center"/>
                    <w:rPr>
                      <w:rFonts w:hint="default" w:ascii="Times New Roman" w:hAnsi="Times New Roman" w:cs="Times New Roman"/>
                      <w:color w:val="auto"/>
                      <w:sz w:val="18"/>
                      <w:szCs w:val="18"/>
                    </w:rPr>
                  </w:pPr>
                </w:p>
              </w:tc>
            </w:tr>
            <w:tr w14:paraId="75FA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8" w:hRule="atLeast"/>
                <w:jc w:val="center"/>
              </w:trPr>
              <w:tc>
                <w:tcPr>
                  <w:tcW w:w="1024" w:type="pct"/>
                  <w:vMerge w:val="continue"/>
                  <w:noWrap w:val="0"/>
                  <w:vAlign w:val="center"/>
                </w:tcPr>
                <w:p w14:paraId="6A983320">
                  <w:pPr>
                    <w:pStyle w:val="89"/>
                    <w:spacing w:line="240" w:lineRule="auto"/>
                    <w:jc w:val="center"/>
                    <w:rPr>
                      <w:rFonts w:hint="default" w:ascii="Times New Roman" w:hAnsi="Times New Roman" w:cs="Times New Roman"/>
                      <w:color w:val="auto"/>
                      <w:sz w:val="18"/>
                      <w:szCs w:val="18"/>
                    </w:rPr>
                  </w:pPr>
                </w:p>
              </w:tc>
              <w:tc>
                <w:tcPr>
                  <w:tcW w:w="1260" w:type="pct"/>
                  <w:noWrap w:val="0"/>
                  <w:vAlign w:val="center"/>
                </w:tcPr>
                <w:p w14:paraId="007CD355">
                  <w:pPr>
                    <w:pStyle w:val="89"/>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20</w:t>
                  </w:r>
                </w:p>
              </w:tc>
              <w:tc>
                <w:tcPr>
                  <w:tcW w:w="1496" w:type="pct"/>
                  <w:noWrap w:val="0"/>
                  <w:vAlign w:val="center"/>
                </w:tcPr>
                <w:p w14:paraId="28C6E616">
                  <w:pPr>
                    <w:pStyle w:val="89"/>
                    <w:spacing w:line="240"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监控点处任意一次浓度值</w:t>
                  </w:r>
                </w:p>
              </w:tc>
              <w:tc>
                <w:tcPr>
                  <w:tcW w:w="1218" w:type="pct"/>
                  <w:vMerge w:val="continue"/>
                  <w:noWrap w:val="0"/>
                  <w:vAlign w:val="center"/>
                </w:tcPr>
                <w:p w14:paraId="234BD674">
                  <w:pPr>
                    <w:pStyle w:val="89"/>
                    <w:spacing w:line="240" w:lineRule="auto"/>
                    <w:jc w:val="center"/>
                    <w:rPr>
                      <w:rFonts w:hint="default" w:ascii="Times New Roman" w:hAnsi="Times New Roman" w:cs="Times New Roman"/>
                      <w:color w:val="auto"/>
                      <w:sz w:val="18"/>
                      <w:szCs w:val="18"/>
                    </w:rPr>
                  </w:pPr>
                </w:p>
              </w:tc>
            </w:tr>
          </w:tbl>
          <w:p w14:paraId="1E2C11F2">
            <w:pPr>
              <w:adjustRightInd w:val="0"/>
              <w:snapToGrid w:val="0"/>
              <w:spacing w:line="240" w:lineRule="auto"/>
              <w:jc w:val="center"/>
              <w:rPr>
                <w:rFonts w:hint="default" w:ascii="Times New Roman" w:hAnsi="Times New Roman" w:eastAsia="宋体" w:cs="Times New Roman"/>
                <w:b/>
                <w:bCs/>
                <w:color w:val="auto"/>
                <w:spacing w:val="-10"/>
                <w:sz w:val="21"/>
                <w:szCs w:val="21"/>
                <w:lang w:eastAsia="zh-CN"/>
              </w:rPr>
            </w:pPr>
            <w:r>
              <w:rPr>
                <w:rFonts w:hint="eastAsia" w:cs="Times New Roman"/>
                <w:b/>
                <w:bCs/>
                <w:caps/>
                <w:color w:val="auto"/>
                <w:kern w:val="0"/>
                <w:szCs w:val="21"/>
                <w:lang w:val="en-US" w:eastAsia="zh-CN"/>
              </w:rPr>
              <w:t xml:space="preserve">表3-6  </w:t>
            </w:r>
            <w:r>
              <w:rPr>
                <w:rFonts w:hint="default" w:ascii="Times New Roman" w:hAnsi="Times New Roman" w:eastAsia="宋体" w:cs="Times New Roman"/>
                <w:b/>
                <w:bCs/>
                <w:color w:val="auto"/>
                <w:spacing w:val="-10"/>
                <w:sz w:val="21"/>
                <w:szCs w:val="21"/>
                <w:lang w:eastAsia="zh-CN"/>
              </w:rPr>
              <w:t>《恶臭污染物排放标准》（</w:t>
            </w:r>
            <w:r>
              <w:rPr>
                <w:rFonts w:hint="eastAsia" w:cs="Times New Roman"/>
                <w:b/>
                <w:bCs/>
                <w:color w:val="auto"/>
                <w:spacing w:val="-10"/>
                <w:sz w:val="21"/>
                <w:szCs w:val="21"/>
                <w:lang w:eastAsia="zh-CN"/>
              </w:rPr>
              <w:t>GB 14554</w:t>
            </w:r>
            <w:r>
              <w:rPr>
                <w:rFonts w:hint="default" w:ascii="Times New Roman" w:hAnsi="Times New Roman" w:eastAsia="宋体" w:cs="Times New Roman"/>
                <w:b/>
                <w:bCs/>
                <w:color w:val="auto"/>
                <w:spacing w:val="-10"/>
                <w:sz w:val="21"/>
                <w:szCs w:val="21"/>
                <w:lang w:eastAsia="zh-CN"/>
              </w:rPr>
              <w:t>-93）</w:t>
            </w:r>
          </w:p>
          <w:tbl>
            <w:tblPr>
              <w:tblStyle w:val="30"/>
              <w:tblW w:w="4999"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3744"/>
              <w:gridCol w:w="4390"/>
            </w:tblGrid>
            <w:tr w14:paraId="1A0C84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9" w:hRule="atLeast"/>
                <w:jc w:val="center"/>
              </w:trPr>
              <w:tc>
                <w:tcPr>
                  <w:tcW w:w="2301" w:type="pct"/>
                  <w:noWrap w:val="0"/>
                  <w:vAlign w:val="center"/>
                </w:tcPr>
                <w:p w14:paraId="44832A03">
                  <w:pPr>
                    <w:pStyle w:val="71"/>
                    <w:adjustRightInd w:val="0"/>
                    <w:snapToGrid w:val="0"/>
                    <w:rPr>
                      <w:rFonts w:hint="default" w:ascii="Times New Roman" w:hAnsi="Times New Roman" w:eastAsia="宋体" w:cs="Times New Roman"/>
                      <w:color w:val="auto"/>
                      <w:lang w:val="en-US" w:eastAsia="zh-CN"/>
                    </w:rPr>
                  </w:pPr>
                  <w:r>
                    <w:rPr>
                      <w:rFonts w:hint="eastAsia" w:cs="Times New Roman"/>
                      <w:color w:val="auto"/>
                      <w:lang w:val="en-US" w:eastAsia="zh-CN"/>
                    </w:rPr>
                    <w:t>污染物</w:t>
                  </w:r>
                </w:p>
              </w:tc>
              <w:tc>
                <w:tcPr>
                  <w:tcW w:w="2698" w:type="pct"/>
                  <w:noWrap w:val="0"/>
                  <w:vAlign w:val="center"/>
                </w:tcPr>
                <w:p w14:paraId="04E4C985">
                  <w:pPr>
                    <w:pStyle w:val="71"/>
                    <w:adjustRightInd w:val="0"/>
                    <w:snapToGrid w:val="0"/>
                    <w:rPr>
                      <w:rFonts w:hint="default" w:ascii="Times New Roman" w:hAnsi="Times New Roman" w:eastAsia="宋体" w:cs="Times New Roman"/>
                      <w:color w:val="auto"/>
                      <w:lang w:val="en-US" w:eastAsia="zh-CN"/>
                    </w:rPr>
                  </w:pPr>
                  <w:r>
                    <w:rPr>
                      <w:rFonts w:hint="eastAsia" w:cs="Times New Roman"/>
                      <w:color w:val="auto"/>
                      <w:lang w:val="en-US" w:eastAsia="zh-CN"/>
                    </w:rPr>
                    <w:t>无组织</w:t>
                  </w:r>
                </w:p>
              </w:tc>
            </w:tr>
            <w:tr w14:paraId="767614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4" w:hRule="atLeast"/>
                <w:jc w:val="center"/>
              </w:trPr>
              <w:tc>
                <w:tcPr>
                  <w:tcW w:w="2301" w:type="pct"/>
                  <w:noWrap w:val="0"/>
                  <w:vAlign w:val="center"/>
                </w:tcPr>
                <w:p w14:paraId="0A1934A5">
                  <w:pPr>
                    <w:pStyle w:val="71"/>
                    <w:adjustRightInd w:val="0"/>
                    <w:snapToGrid w:val="0"/>
                    <w:rPr>
                      <w:rFonts w:hint="default" w:ascii="Times New Roman" w:hAnsi="Times New Roman" w:eastAsia="宋体" w:cs="Times New Roman"/>
                      <w:color w:val="auto"/>
                      <w:lang w:val="en-US" w:eastAsia="zh-CN"/>
                    </w:rPr>
                  </w:pPr>
                  <w:r>
                    <w:rPr>
                      <w:rFonts w:hint="eastAsia" w:cs="Times New Roman"/>
                      <w:color w:val="auto"/>
                      <w:lang w:val="en-US" w:eastAsia="zh-CN"/>
                    </w:rPr>
                    <w:t>臭气浓度</w:t>
                  </w:r>
                </w:p>
              </w:tc>
              <w:tc>
                <w:tcPr>
                  <w:tcW w:w="2698" w:type="pct"/>
                  <w:noWrap w:val="0"/>
                  <w:vAlign w:val="center"/>
                </w:tcPr>
                <w:p w14:paraId="4C8691CD">
                  <w:pPr>
                    <w:pStyle w:val="71"/>
                    <w:adjustRightInd w:val="0"/>
                    <w:snapToGrid w:val="0"/>
                    <w:rPr>
                      <w:rFonts w:hint="default" w:ascii="Times New Roman" w:hAnsi="Times New Roman" w:eastAsia="宋体" w:cs="Times New Roman"/>
                      <w:color w:val="auto"/>
                      <w:lang w:val="en-US" w:eastAsia="zh-CN"/>
                    </w:rPr>
                  </w:pPr>
                  <w:r>
                    <w:rPr>
                      <w:rFonts w:hint="eastAsia" w:cs="Times New Roman"/>
                      <w:color w:val="auto"/>
                      <w:lang w:val="en-US" w:eastAsia="zh-CN"/>
                    </w:rPr>
                    <w:t>20（无量纲）</w:t>
                  </w:r>
                </w:p>
              </w:tc>
            </w:tr>
          </w:tbl>
          <w:p w14:paraId="44671CB3">
            <w:pPr>
              <w:adjustRightInd w:val="0"/>
              <w:snapToGrid w:val="0"/>
              <w:spacing w:line="360" w:lineRule="auto"/>
              <w:rPr>
                <w:rFonts w:hint="default" w:ascii="Times New Roman" w:hAnsi="Times New Roman" w:cs="Times New Roman"/>
                <w:b/>
                <w:bCs/>
                <w:caps/>
                <w:color w:val="auto"/>
                <w:kern w:val="0"/>
                <w:szCs w:val="21"/>
              </w:rPr>
            </w:pPr>
            <w:r>
              <w:rPr>
                <w:rFonts w:hint="default" w:ascii="Times New Roman" w:hAnsi="Times New Roman" w:cs="Times New Roman"/>
                <w:b/>
                <w:bCs/>
                <w:caps/>
                <w:color w:val="auto"/>
                <w:kern w:val="0"/>
                <w:szCs w:val="21"/>
              </w:rPr>
              <w:t>3.7.2废水</w:t>
            </w:r>
          </w:p>
          <w:p w14:paraId="2372909F">
            <w:pPr>
              <w:pStyle w:val="122"/>
              <w:ind w:firstLine="420"/>
              <w:rPr>
                <w:rFonts w:ascii="Times New Roman" w:hAnsi="Times New Roman"/>
                <w:color w:val="auto"/>
              </w:rPr>
            </w:pPr>
            <w:r>
              <w:rPr>
                <w:rFonts w:ascii="Times New Roman" w:hAnsi="Times New Roman"/>
                <w:color w:val="auto"/>
              </w:rPr>
              <w:t>项目排放的水污染物在</w:t>
            </w:r>
            <w:r>
              <w:rPr>
                <w:rFonts w:hint="eastAsia" w:ascii="Times New Roman" w:hAnsi="Times New Roman"/>
                <w:color w:val="auto"/>
                <w:lang w:eastAsia="zh-CN"/>
              </w:rPr>
              <w:t>《合成树脂工业污染排放标准》（GB 31572-2015），含2024年修改单）</w:t>
            </w:r>
            <w:r>
              <w:rPr>
                <w:rFonts w:ascii="Times New Roman" w:hAnsi="Times New Roman"/>
                <w:color w:val="auto"/>
              </w:rPr>
              <w:t>水污染物间接排放标准中无相应限值，按照园区接管要求，项目所识别的污染因子执行园区污水处理厂接管要求，即《污水综合排放标准》（GB8978-1996）三级标准。</w:t>
            </w:r>
          </w:p>
          <w:p w14:paraId="3E5B722E">
            <w:pPr>
              <w:adjustRightInd w:val="0"/>
              <w:snapToGrid w:val="0"/>
              <w:spacing w:line="360" w:lineRule="auto"/>
              <w:ind w:firstLine="420" w:firstLineChars="200"/>
              <w:rPr>
                <w:rFonts w:hint="default" w:ascii="Times New Roman" w:hAnsi="Times New Roman" w:eastAsia="宋体" w:cs="Times New Roman"/>
                <w:b/>
                <w:bCs/>
                <w:caps/>
                <w:color w:val="auto"/>
                <w:kern w:val="0"/>
                <w:szCs w:val="21"/>
              </w:rPr>
            </w:pPr>
            <w:r>
              <w:rPr>
                <w:rFonts w:hint="default" w:ascii="Times New Roman" w:hAnsi="Times New Roman" w:eastAsia="宋体" w:cs="Times New Roman"/>
                <w:color w:val="auto"/>
                <w:szCs w:val="21"/>
              </w:rPr>
              <w:t>本项目所在区域属于</w:t>
            </w:r>
            <w:r>
              <w:rPr>
                <w:rFonts w:hint="eastAsia" w:ascii="Times New Roman" w:hAnsi="Times New Roman" w:cs="Times New Roman"/>
                <w:color w:val="auto"/>
                <w:szCs w:val="21"/>
                <w:lang w:eastAsia="zh-CN"/>
              </w:rPr>
              <w:t>南溪组团A区污水处理厂</w:t>
            </w:r>
            <w:r>
              <w:rPr>
                <w:rFonts w:hint="default" w:ascii="Times New Roman" w:hAnsi="Times New Roman" w:eastAsia="宋体" w:cs="Times New Roman"/>
                <w:color w:val="auto"/>
                <w:szCs w:val="21"/>
              </w:rPr>
              <w:t>服务范围，本项目营运期产生的废水主要</w:t>
            </w:r>
            <w:r>
              <w:rPr>
                <w:rFonts w:hint="default" w:ascii="Times New Roman" w:hAnsi="Times New Roman" w:eastAsia="宋体" w:cs="Times New Roman"/>
                <w:color w:val="auto"/>
                <w:szCs w:val="21"/>
                <w:lang w:eastAsia="zh-CN"/>
              </w:rPr>
              <w:t>为</w:t>
            </w:r>
            <w:r>
              <w:rPr>
                <w:rFonts w:hint="default" w:ascii="Times New Roman" w:hAnsi="Times New Roman" w:eastAsia="宋体" w:cs="Times New Roman"/>
                <w:color w:val="auto"/>
                <w:szCs w:val="21"/>
              </w:rPr>
              <w:t>生活污水</w:t>
            </w:r>
            <w:r>
              <w:rPr>
                <w:rFonts w:hint="eastAsia" w:ascii="Times New Roman" w:hAnsi="Times New Roman" w:cs="Times New Roman"/>
                <w:color w:val="auto"/>
                <w:szCs w:val="21"/>
                <w:lang w:eastAsia="zh-CN"/>
              </w:rPr>
              <w:t>、地面清洁废水等</w:t>
            </w:r>
            <w:r>
              <w:rPr>
                <w:rFonts w:hint="default" w:ascii="Times New Roman" w:hAnsi="Times New Roman" w:eastAsia="宋体" w:cs="Times New Roman"/>
                <w:color w:val="auto"/>
                <w:szCs w:val="21"/>
                <w:lang w:eastAsia="zh-CN"/>
              </w:rPr>
              <w:t>，</w:t>
            </w:r>
            <w:r>
              <w:rPr>
                <w:rFonts w:hint="eastAsia" w:ascii="Times New Roman" w:hAnsi="Times New Roman" w:cs="Times New Roman"/>
                <w:color w:val="auto"/>
                <w:szCs w:val="21"/>
                <w:lang w:eastAsia="zh-CN"/>
              </w:rPr>
              <w:t>废水</w:t>
            </w:r>
            <w:r>
              <w:rPr>
                <w:rFonts w:hint="default" w:ascii="Times New Roman" w:hAnsi="Times New Roman" w:eastAsia="宋体" w:cs="Times New Roman"/>
                <w:color w:val="auto"/>
                <w:szCs w:val="21"/>
                <w:lang w:eastAsia="zh-CN"/>
              </w:rPr>
              <w:t>依托现有生化池</w:t>
            </w:r>
            <w:r>
              <w:rPr>
                <w:rFonts w:hint="default" w:ascii="Times New Roman" w:hAnsi="Times New Roman" w:eastAsia="宋体" w:cs="Times New Roman"/>
                <w:color w:val="auto"/>
                <w:szCs w:val="21"/>
              </w:rPr>
              <w:t>处理达《污水综合排放标准》（GB8978-1996）三级标准后</w:t>
            </w:r>
            <w:r>
              <w:rPr>
                <w:rFonts w:hint="default" w:ascii="Times New Roman" w:hAnsi="Times New Roman" w:eastAsia="宋体" w:cs="Times New Roman"/>
                <w:color w:val="auto"/>
                <w:szCs w:val="21"/>
                <w:lang w:eastAsia="zh-CN"/>
              </w:rPr>
              <w:t>排</w:t>
            </w:r>
            <w:r>
              <w:rPr>
                <w:rFonts w:hint="default" w:ascii="Times New Roman" w:hAnsi="Times New Roman" w:eastAsia="宋体" w:cs="Times New Roman"/>
                <w:color w:val="auto"/>
                <w:szCs w:val="21"/>
              </w:rPr>
              <w:t>入</w:t>
            </w:r>
            <w:r>
              <w:rPr>
                <w:rFonts w:hint="default" w:ascii="Times New Roman" w:hAnsi="Times New Roman" w:eastAsia="宋体" w:cs="Times New Roman"/>
                <w:color w:val="auto"/>
                <w:szCs w:val="21"/>
                <w:lang w:eastAsia="zh-CN"/>
              </w:rPr>
              <w:t>园区</w:t>
            </w:r>
            <w:r>
              <w:rPr>
                <w:rFonts w:hint="default" w:ascii="Times New Roman" w:hAnsi="Times New Roman" w:eastAsia="宋体" w:cs="Times New Roman"/>
                <w:color w:val="auto"/>
                <w:szCs w:val="21"/>
              </w:rPr>
              <w:t>污水管网进入</w:t>
            </w:r>
            <w:r>
              <w:rPr>
                <w:rFonts w:hint="eastAsia" w:ascii="Times New Roman" w:hAnsi="Times New Roman" w:cs="Times New Roman"/>
                <w:color w:val="auto"/>
                <w:szCs w:val="21"/>
                <w:lang w:eastAsia="zh-CN"/>
              </w:rPr>
              <w:t>南溪组团A区污水处理厂</w:t>
            </w:r>
            <w:r>
              <w:rPr>
                <w:rFonts w:hint="default" w:ascii="Times New Roman" w:hAnsi="Times New Roman" w:eastAsia="宋体" w:cs="Times New Roman"/>
                <w:color w:val="auto"/>
                <w:szCs w:val="21"/>
              </w:rPr>
              <w:t>进一步处理</w:t>
            </w:r>
            <w:r>
              <w:rPr>
                <w:rFonts w:hint="eastAsia" w:ascii="Times New Roman" w:hAnsi="Times New Roman" w:cs="Times New Roman"/>
                <w:color w:val="auto"/>
                <w:szCs w:val="21"/>
                <w:lang w:eastAsia="zh-CN"/>
              </w:rPr>
              <w:t>达《城镇污水处理厂污染物排放标准》（GB18918-2002）一级B标后排入建梁河，最后汇入嘉陵江</w:t>
            </w:r>
            <w:r>
              <w:rPr>
                <w:rFonts w:hint="default" w:ascii="Times New Roman" w:hAnsi="Times New Roman" w:eastAsia="宋体" w:cs="Times New Roman"/>
                <w:color w:val="auto"/>
                <w:szCs w:val="21"/>
              </w:rPr>
              <w:t>。见表3-</w:t>
            </w:r>
            <w:r>
              <w:rPr>
                <w:rFonts w:hint="eastAsia" w:cs="Times New Roman"/>
                <w:color w:val="auto"/>
                <w:szCs w:val="21"/>
                <w:lang w:val="en-US" w:eastAsia="zh-CN"/>
              </w:rPr>
              <w:t>7</w:t>
            </w:r>
            <w:r>
              <w:rPr>
                <w:rFonts w:hint="default" w:ascii="Times New Roman" w:hAnsi="Times New Roman" w:eastAsia="宋体" w:cs="Times New Roman"/>
                <w:color w:val="auto"/>
                <w:szCs w:val="21"/>
              </w:rPr>
              <w:t>。</w:t>
            </w:r>
          </w:p>
          <w:p w14:paraId="1EB19D11">
            <w:pPr>
              <w:autoSpaceDE w:val="0"/>
              <w:autoSpaceDN w:val="0"/>
              <w:adjustRightInd w:val="0"/>
              <w:ind w:firstLine="422" w:firstLineChars="20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表3-</w:t>
            </w:r>
            <w:r>
              <w:rPr>
                <w:rFonts w:hint="eastAsia" w:cs="Times New Roman"/>
                <w:b/>
                <w:color w:val="auto"/>
                <w:szCs w:val="21"/>
                <w:lang w:val="en-US" w:eastAsia="zh-CN"/>
              </w:rPr>
              <w:t>7</w:t>
            </w:r>
            <w:r>
              <w:rPr>
                <w:rFonts w:hint="default" w:ascii="Times New Roman" w:hAnsi="Times New Roman" w:cs="Times New Roman"/>
                <w:b/>
                <w:color w:val="auto"/>
                <w:szCs w:val="21"/>
                <w:lang w:val="en-US" w:eastAsia="zh-CN"/>
              </w:rPr>
              <w:t xml:space="preserve">  </w:t>
            </w:r>
            <w:r>
              <w:rPr>
                <w:rFonts w:hint="default" w:ascii="Times New Roman" w:hAnsi="Times New Roman" w:eastAsia="宋体" w:cs="Times New Roman"/>
                <w:b/>
                <w:color w:val="auto"/>
                <w:szCs w:val="21"/>
              </w:rPr>
              <w:t>污水排放标准   单位：mg/L</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
              <w:gridCol w:w="3336"/>
              <w:gridCol w:w="955"/>
              <w:gridCol w:w="957"/>
              <w:gridCol w:w="957"/>
              <w:gridCol w:w="971"/>
              <w:gridCol w:w="953"/>
              <w:gridCol w:w="4"/>
            </w:tblGrid>
            <w:tr w14:paraId="705A3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51" w:type="pct"/>
                  <w:gridSpan w:val="2"/>
                  <w:noWrap w:val="0"/>
                  <w:vAlign w:val="center"/>
                </w:tcPr>
                <w:p w14:paraId="6EF40B79">
                  <w:pPr>
                    <w:ind w:left="-105" w:leftChars="-50" w:right="-105" w:rightChars="-50"/>
                    <w:jc w:val="center"/>
                    <w:rPr>
                      <w:rFonts w:ascii="Times New Roman" w:hAnsi="Times New Roman" w:cs="Times New Roman"/>
                      <w:color w:val="auto"/>
                      <w:szCs w:val="21"/>
                    </w:rPr>
                  </w:pPr>
                  <w:r>
                    <w:rPr>
                      <w:rFonts w:ascii="Times New Roman" w:hAnsi="Times New Roman" w:cs="Times New Roman"/>
                      <w:color w:val="auto"/>
                      <w:szCs w:val="21"/>
                    </w:rPr>
                    <w:t>指标</w:t>
                  </w:r>
                </w:p>
              </w:tc>
              <w:tc>
                <w:tcPr>
                  <w:tcW w:w="586" w:type="pct"/>
                  <w:noWrap w:val="0"/>
                  <w:vAlign w:val="center"/>
                </w:tcPr>
                <w:p w14:paraId="376AD949">
                  <w:pPr>
                    <w:ind w:left="-105" w:leftChars="-50" w:right="-105" w:rightChars="-50"/>
                    <w:jc w:val="center"/>
                    <w:rPr>
                      <w:rFonts w:ascii="Times New Roman" w:hAnsi="Times New Roman" w:cs="Times New Roman"/>
                      <w:color w:val="auto"/>
                      <w:szCs w:val="21"/>
                    </w:rPr>
                  </w:pPr>
                  <w:r>
                    <w:rPr>
                      <w:rFonts w:ascii="Times New Roman" w:hAnsi="Times New Roman" w:cs="Times New Roman"/>
                      <w:color w:val="auto"/>
                      <w:szCs w:val="21"/>
                    </w:rPr>
                    <w:t>COD</w:t>
                  </w:r>
                </w:p>
              </w:tc>
              <w:tc>
                <w:tcPr>
                  <w:tcW w:w="588" w:type="pct"/>
                  <w:noWrap w:val="0"/>
                  <w:vAlign w:val="center"/>
                </w:tcPr>
                <w:p w14:paraId="5C45B3FD">
                  <w:pPr>
                    <w:ind w:left="-105" w:leftChars="-50" w:right="-105" w:rightChars="-50"/>
                    <w:jc w:val="center"/>
                    <w:rPr>
                      <w:rFonts w:ascii="Times New Roman" w:hAnsi="Times New Roman" w:cs="Times New Roman"/>
                      <w:color w:val="auto"/>
                      <w:szCs w:val="21"/>
                    </w:rPr>
                  </w:pPr>
                  <w:r>
                    <w:rPr>
                      <w:rFonts w:ascii="Times New Roman" w:hAnsi="Times New Roman" w:cs="Times New Roman"/>
                      <w:color w:val="auto"/>
                      <w:szCs w:val="21"/>
                    </w:rPr>
                    <w:t>BOD</w:t>
                  </w:r>
                  <w:r>
                    <w:rPr>
                      <w:rFonts w:ascii="Times New Roman" w:hAnsi="Times New Roman" w:cs="Times New Roman"/>
                      <w:color w:val="auto"/>
                      <w:szCs w:val="21"/>
                      <w:vertAlign w:val="subscript"/>
                    </w:rPr>
                    <w:t>5</w:t>
                  </w:r>
                </w:p>
              </w:tc>
              <w:tc>
                <w:tcPr>
                  <w:tcW w:w="588" w:type="pct"/>
                  <w:noWrap w:val="0"/>
                  <w:vAlign w:val="center"/>
                </w:tcPr>
                <w:p w14:paraId="7773F489">
                  <w:pPr>
                    <w:ind w:left="-105" w:leftChars="-50" w:right="-105" w:rightChars="-50"/>
                    <w:jc w:val="center"/>
                    <w:rPr>
                      <w:rFonts w:ascii="Times New Roman" w:hAnsi="Times New Roman" w:cs="Times New Roman"/>
                      <w:color w:val="auto"/>
                      <w:szCs w:val="21"/>
                    </w:rPr>
                  </w:pPr>
                  <w:r>
                    <w:rPr>
                      <w:rFonts w:ascii="Times New Roman" w:hAnsi="Times New Roman" w:cs="Times New Roman"/>
                      <w:color w:val="auto"/>
                      <w:szCs w:val="21"/>
                    </w:rPr>
                    <w:t>SS</w:t>
                  </w:r>
                </w:p>
              </w:tc>
              <w:tc>
                <w:tcPr>
                  <w:tcW w:w="596" w:type="pct"/>
                  <w:noWrap w:val="0"/>
                  <w:vAlign w:val="center"/>
                </w:tcPr>
                <w:p w14:paraId="74B98B92">
                  <w:pPr>
                    <w:ind w:left="-105" w:leftChars="-50" w:right="-105" w:rightChars="-50"/>
                    <w:jc w:val="center"/>
                    <w:rPr>
                      <w:rFonts w:ascii="Times New Roman" w:hAnsi="Times New Roman" w:cs="Times New Roman"/>
                      <w:color w:val="auto"/>
                      <w:szCs w:val="21"/>
                    </w:rPr>
                  </w:pPr>
                  <w:r>
                    <w:rPr>
                      <w:rFonts w:ascii="Times New Roman" w:hAnsi="Times New Roman" w:cs="Times New Roman"/>
                      <w:color w:val="auto"/>
                      <w:szCs w:val="21"/>
                    </w:rPr>
                    <w:t>NH</w:t>
                  </w:r>
                  <w:r>
                    <w:rPr>
                      <w:rFonts w:ascii="Times New Roman" w:hAnsi="Times New Roman" w:cs="Times New Roman"/>
                      <w:color w:val="auto"/>
                      <w:szCs w:val="21"/>
                      <w:vertAlign w:val="subscript"/>
                    </w:rPr>
                    <w:t>3</w:t>
                  </w:r>
                  <w:r>
                    <w:rPr>
                      <w:rFonts w:ascii="Times New Roman" w:hAnsi="Times New Roman" w:cs="Times New Roman"/>
                      <w:color w:val="auto"/>
                      <w:szCs w:val="21"/>
                    </w:rPr>
                    <w:t>-N</w:t>
                  </w:r>
                </w:p>
              </w:tc>
              <w:tc>
                <w:tcPr>
                  <w:tcW w:w="588" w:type="pct"/>
                  <w:gridSpan w:val="2"/>
                  <w:noWrap w:val="0"/>
                  <w:vAlign w:val="center"/>
                </w:tcPr>
                <w:p w14:paraId="5904E88C">
                  <w:pPr>
                    <w:ind w:left="-105" w:leftChars="-50" w:right="-105" w:rightChars="-50"/>
                    <w:jc w:val="center"/>
                    <w:rPr>
                      <w:rFonts w:ascii="Times New Roman" w:hAnsi="Times New Roman" w:cs="Times New Roman"/>
                      <w:color w:val="auto"/>
                      <w:szCs w:val="21"/>
                    </w:rPr>
                  </w:pPr>
                  <w:r>
                    <w:rPr>
                      <w:rFonts w:ascii="Times New Roman" w:hAnsi="Times New Roman" w:cs="Times New Roman"/>
                      <w:color w:val="auto"/>
                      <w:szCs w:val="21"/>
                    </w:rPr>
                    <w:t>石油类</w:t>
                  </w:r>
                </w:p>
              </w:tc>
            </w:tr>
            <w:tr w14:paraId="41773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51" w:type="pct"/>
                  <w:gridSpan w:val="2"/>
                  <w:noWrap w:val="0"/>
                  <w:vAlign w:val="center"/>
                </w:tcPr>
                <w:p w14:paraId="1C6372BB">
                  <w:pPr>
                    <w:ind w:left="-105" w:leftChars="-50" w:right="-105" w:rightChars="-50"/>
                    <w:rPr>
                      <w:rFonts w:ascii="Times New Roman" w:hAnsi="Times New Roman" w:cs="Times New Roman"/>
                      <w:color w:val="auto"/>
                      <w:szCs w:val="21"/>
                    </w:rPr>
                  </w:pPr>
                  <w:r>
                    <w:rPr>
                      <w:rFonts w:ascii="Times New Roman" w:hAnsi="Times New Roman" w:cs="Times New Roman"/>
                      <w:color w:val="auto"/>
                      <w:szCs w:val="21"/>
                    </w:rPr>
                    <w:t>《污水综合排放标准》（GB8978-1996）三级标准</w:t>
                  </w:r>
                </w:p>
              </w:tc>
              <w:tc>
                <w:tcPr>
                  <w:tcW w:w="586" w:type="pct"/>
                  <w:noWrap w:val="0"/>
                  <w:vAlign w:val="center"/>
                </w:tcPr>
                <w:p w14:paraId="620F78F0">
                  <w:pPr>
                    <w:ind w:left="-105" w:leftChars="-50" w:right="-105" w:rightChars="-50"/>
                    <w:jc w:val="center"/>
                    <w:rPr>
                      <w:rFonts w:ascii="Times New Roman" w:hAnsi="Times New Roman" w:cs="Times New Roman"/>
                      <w:color w:val="auto"/>
                      <w:szCs w:val="21"/>
                    </w:rPr>
                  </w:pPr>
                  <w:r>
                    <w:rPr>
                      <w:rFonts w:ascii="Times New Roman" w:hAnsi="Times New Roman" w:cs="Times New Roman"/>
                      <w:color w:val="auto"/>
                      <w:szCs w:val="21"/>
                    </w:rPr>
                    <w:t>500</w:t>
                  </w:r>
                </w:p>
              </w:tc>
              <w:tc>
                <w:tcPr>
                  <w:tcW w:w="588" w:type="pct"/>
                  <w:noWrap w:val="0"/>
                  <w:vAlign w:val="center"/>
                </w:tcPr>
                <w:p w14:paraId="11ADF538">
                  <w:pPr>
                    <w:ind w:left="-105" w:leftChars="-50" w:right="-105" w:rightChars="-50"/>
                    <w:jc w:val="center"/>
                    <w:rPr>
                      <w:rFonts w:ascii="Times New Roman" w:hAnsi="Times New Roman" w:cs="Times New Roman"/>
                      <w:color w:val="auto"/>
                      <w:szCs w:val="21"/>
                    </w:rPr>
                  </w:pPr>
                  <w:r>
                    <w:rPr>
                      <w:rFonts w:ascii="Times New Roman" w:hAnsi="Times New Roman" w:cs="Times New Roman"/>
                      <w:color w:val="auto"/>
                      <w:szCs w:val="21"/>
                    </w:rPr>
                    <w:t>300</w:t>
                  </w:r>
                </w:p>
              </w:tc>
              <w:tc>
                <w:tcPr>
                  <w:tcW w:w="588" w:type="pct"/>
                  <w:noWrap w:val="0"/>
                  <w:vAlign w:val="center"/>
                </w:tcPr>
                <w:p w14:paraId="60954EAD">
                  <w:pPr>
                    <w:ind w:left="-105" w:leftChars="-50" w:right="-105" w:rightChars="-50"/>
                    <w:jc w:val="center"/>
                    <w:rPr>
                      <w:rFonts w:ascii="Times New Roman" w:hAnsi="Times New Roman" w:cs="Times New Roman"/>
                      <w:color w:val="auto"/>
                      <w:szCs w:val="21"/>
                    </w:rPr>
                  </w:pPr>
                  <w:r>
                    <w:rPr>
                      <w:rFonts w:ascii="Times New Roman" w:hAnsi="Times New Roman" w:cs="Times New Roman"/>
                      <w:color w:val="auto"/>
                      <w:szCs w:val="21"/>
                    </w:rPr>
                    <w:t>400</w:t>
                  </w:r>
                </w:p>
              </w:tc>
              <w:tc>
                <w:tcPr>
                  <w:tcW w:w="596" w:type="pct"/>
                  <w:noWrap w:val="0"/>
                  <w:vAlign w:val="center"/>
                </w:tcPr>
                <w:p w14:paraId="32512913">
                  <w:pPr>
                    <w:ind w:left="-105" w:leftChars="-50" w:right="-105" w:rightChars="-50"/>
                    <w:jc w:val="center"/>
                    <w:rPr>
                      <w:rFonts w:ascii="Times New Roman" w:hAnsi="Times New Roman" w:cs="Times New Roman"/>
                      <w:color w:val="auto"/>
                      <w:szCs w:val="21"/>
                    </w:rPr>
                  </w:pPr>
                  <w:r>
                    <w:rPr>
                      <w:rFonts w:ascii="Times New Roman" w:hAnsi="Times New Roman" w:cs="Times New Roman"/>
                      <w:color w:val="auto"/>
                      <w:szCs w:val="21"/>
                    </w:rPr>
                    <w:t>45</w:t>
                  </w:r>
                  <w:r>
                    <w:rPr>
                      <w:rFonts w:ascii="Times New Roman" w:hAnsi="Times New Roman" w:cs="Times New Roman"/>
                      <w:color w:val="auto"/>
                      <w:kern w:val="0"/>
                      <w:szCs w:val="18"/>
                      <w:vertAlign w:val="superscript"/>
                    </w:rPr>
                    <w:fldChar w:fldCharType="begin"/>
                  </w:r>
                  <w:r>
                    <w:rPr>
                      <w:rFonts w:ascii="Times New Roman" w:hAnsi="Times New Roman" w:cs="Times New Roman"/>
                      <w:color w:val="auto"/>
                      <w:kern w:val="0"/>
                      <w:szCs w:val="18"/>
                      <w:vertAlign w:val="superscript"/>
                    </w:rPr>
                    <w:instrText xml:space="preserve"> = 1 \* GB3 </w:instrText>
                  </w:r>
                  <w:r>
                    <w:rPr>
                      <w:rFonts w:ascii="Times New Roman" w:hAnsi="Times New Roman" w:cs="Times New Roman"/>
                      <w:color w:val="auto"/>
                      <w:kern w:val="0"/>
                      <w:szCs w:val="18"/>
                      <w:vertAlign w:val="superscript"/>
                    </w:rPr>
                    <w:fldChar w:fldCharType="separate"/>
                  </w:r>
                  <w:r>
                    <w:rPr>
                      <w:rFonts w:hint="eastAsia" w:ascii="宋体" w:hAnsi="宋体" w:cs="宋体"/>
                      <w:color w:val="auto"/>
                      <w:kern w:val="0"/>
                      <w:szCs w:val="18"/>
                      <w:vertAlign w:val="superscript"/>
                    </w:rPr>
                    <w:t>①</w:t>
                  </w:r>
                  <w:r>
                    <w:rPr>
                      <w:rFonts w:ascii="Times New Roman" w:hAnsi="Times New Roman" w:cs="Times New Roman"/>
                      <w:color w:val="auto"/>
                      <w:kern w:val="0"/>
                      <w:szCs w:val="18"/>
                      <w:vertAlign w:val="superscript"/>
                    </w:rPr>
                    <w:fldChar w:fldCharType="end"/>
                  </w:r>
                </w:p>
              </w:tc>
              <w:tc>
                <w:tcPr>
                  <w:tcW w:w="588" w:type="pct"/>
                  <w:gridSpan w:val="2"/>
                  <w:noWrap w:val="0"/>
                  <w:vAlign w:val="center"/>
                </w:tcPr>
                <w:p w14:paraId="2E989C1A">
                  <w:pPr>
                    <w:ind w:left="-105" w:leftChars="-50" w:right="-105" w:rightChars="-50"/>
                    <w:jc w:val="center"/>
                    <w:rPr>
                      <w:rFonts w:ascii="Times New Roman" w:hAnsi="Times New Roman" w:cs="Times New Roman"/>
                      <w:color w:val="auto"/>
                      <w:szCs w:val="21"/>
                    </w:rPr>
                  </w:pPr>
                  <w:r>
                    <w:rPr>
                      <w:rFonts w:ascii="Times New Roman" w:hAnsi="Times New Roman" w:cs="Times New Roman"/>
                      <w:color w:val="auto"/>
                      <w:szCs w:val="21"/>
                    </w:rPr>
                    <w:t>20</w:t>
                  </w:r>
                </w:p>
              </w:tc>
            </w:tr>
            <w:tr w14:paraId="669C9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51" w:type="pct"/>
                  <w:gridSpan w:val="2"/>
                  <w:noWrap w:val="0"/>
                  <w:vAlign w:val="center"/>
                </w:tcPr>
                <w:p w14:paraId="7E866B71">
                  <w:pPr>
                    <w:ind w:left="-105" w:leftChars="-50" w:right="-105" w:rightChars="-50"/>
                    <w:rPr>
                      <w:rFonts w:ascii="Times New Roman" w:hAnsi="Times New Roman" w:cs="Times New Roman"/>
                      <w:color w:val="auto"/>
                      <w:szCs w:val="21"/>
                    </w:rPr>
                  </w:pPr>
                  <w:r>
                    <w:rPr>
                      <w:rFonts w:ascii="Times New Roman" w:hAnsi="Times New Roman" w:cs="Times New Roman"/>
                      <w:color w:val="auto"/>
                      <w:szCs w:val="21"/>
                    </w:rPr>
                    <w:t>《城镇污水处理厂污染物排放标准》（GB18918-2002）一级B标准</w:t>
                  </w:r>
                </w:p>
              </w:tc>
              <w:tc>
                <w:tcPr>
                  <w:tcW w:w="586" w:type="pct"/>
                  <w:noWrap w:val="0"/>
                  <w:vAlign w:val="center"/>
                </w:tcPr>
                <w:p w14:paraId="3C5525C4">
                  <w:pPr>
                    <w:ind w:left="-105" w:leftChars="-50" w:right="-105" w:rightChars="-50"/>
                    <w:jc w:val="center"/>
                    <w:rPr>
                      <w:rFonts w:ascii="Times New Roman" w:hAnsi="Times New Roman" w:cs="Times New Roman"/>
                      <w:color w:val="auto"/>
                      <w:szCs w:val="21"/>
                    </w:rPr>
                  </w:pPr>
                  <w:r>
                    <w:rPr>
                      <w:rFonts w:ascii="Times New Roman" w:hAnsi="Times New Roman" w:cs="Times New Roman"/>
                      <w:color w:val="auto"/>
                      <w:szCs w:val="21"/>
                    </w:rPr>
                    <w:t>60</w:t>
                  </w:r>
                </w:p>
              </w:tc>
              <w:tc>
                <w:tcPr>
                  <w:tcW w:w="588" w:type="pct"/>
                  <w:noWrap w:val="0"/>
                  <w:vAlign w:val="center"/>
                </w:tcPr>
                <w:p w14:paraId="3A892D7F">
                  <w:pPr>
                    <w:ind w:left="-105" w:leftChars="-50" w:right="-105" w:rightChars="-50"/>
                    <w:jc w:val="center"/>
                    <w:rPr>
                      <w:rFonts w:ascii="Times New Roman" w:hAnsi="Times New Roman" w:cs="Times New Roman"/>
                      <w:color w:val="auto"/>
                      <w:szCs w:val="21"/>
                    </w:rPr>
                  </w:pPr>
                  <w:r>
                    <w:rPr>
                      <w:rFonts w:ascii="Times New Roman" w:hAnsi="Times New Roman" w:cs="Times New Roman"/>
                      <w:color w:val="auto"/>
                      <w:szCs w:val="21"/>
                    </w:rPr>
                    <w:t>20</w:t>
                  </w:r>
                </w:p>
              </w:tc>
              <w:tc>
                <w:tcPr>
                  <w:tcW w:w="588" w:type="pct"/>
                  <w:noWrap w:val="0"/>
                  <w:vAlign w:val="center"/>
                </w:tcPr>
                <w:p w14:paraId="76384F02">
                  <w:pPr>
                    <w:ind w:left="-105" w:leftChars="-50" w:right="-105" w:rightChars="-50"/>
                    <w:jc w:val="center"/>
                    <w:rPr>
                      <w:rFonts w:ascii="Times New Roman" w:hAnsi="Times New Roman" w:cs="Times New Roman"/>
                      <w:color w:val="auto"/>
                      <w:szCs w:val="21"/>
                    </w:rPr>
                  </w:pPr>
                  <w:r>
                    <w:rPr>
                      <w:rFonts w:ascii="Times New Roman" w:hAnsi="Times New Roman" w:cs="Times New Roman"/>
                      <w:color w:val="auto"/>
                      <w:szCs w:val="21"/>
                    </w:rPr>
                    <w:t>20</w:t>
                  </w:r>
                </w:p>
              </w:tc>
              <w:tc>
                <w:tcPr>
                  <w:tcW w:w="596" w:type="pct"/>
                  <w:noWrap w:val="0"/>
                  <w:vAlign w:val="center"/>
                </w:tcPr>
                <w:p w14:paraId="411A4323">
                  <w:pPr>
                    <w:ind w:left="-105" w:leftChars="-50" w:right="-105" w:rightChars="-50"/>
                    <w:jc w:val="center"/>
                    <w:rPr>
                      <w:rFonts w:ascii="Times New Roman" w:hAnsi="Times New Roman" w:cs="Times New Roman"/>
                      <w:color w:val="auto"/>
                      <w:szCs w:val="21"/>
                    </w:rPr>
                  </w:pPr>
                  <w:r>
                    <w:rPr>
                      <w:rFonts w:ascii="Times New Roman" w:hAnsi="Times New Roman" w:cs="Times New Roman"/>
                      <w:color w:val="auto"/>
                    </w:rPr>
                    <w:t>8</w:t>
                  </w:r>
                  <w:r>
                    <w:rPr>
                      <w:rFonts w:hint="eastAsia" w:cs="Times New Roman"/>
                      <w:color w:val="auto"/>
                      <w:lang w:eastAsia="zh-CN"/>
                    </w:rPr>
                    <w:t>(</w:t>
                  </w:r>
                  <w:r>
                    <w:rPr>
                      <w:rFonts w:ascii="Times New Roman" w:hAnsi="Times New Roman" w:cs="Times New Roman"/>
                      <w:color w:val="auto"/>
                    </w:rPr>
                    <w:t>15</w:t>
                  </w:r>
                  <w:r>
                    <w:rPr>
                      <w:rFonts w:hint="eastAsia" w:cs="Times New Roman"/>
                      <w:color w:val="auto"/>
                      <w:lang w:eastAsia="zh-CN"/>
                    </w:rPr>
                    <w:t>)</w:t>
                  </w:r>
                  <w:r>
                    <w:rPr>
                      <w:rFonts w:ascii="Times New Roman" w:hAnsi="Times New Roman" w:cs="Times New Roman"/>
                      <w:color w:val="auto"/>
                      <w:kern w:val="0"/>
                      <w:szCs w:val="18"/>
                      <w:vertAlign w:val="superscript"/>
                    </w:rPr>
                    <w:fldChar w:fldCharType="begin"/>
                  </w:r>
                  <w:r>
                    <w:rPr>
                      <w:rFonts w:ascii="Times New Roman" w:hAnsi="Times New Roman" w:cs="Times New Roman"/>
                      <w:color w:val="auto"/>
                      <w:kern w:val="0"/>
                      <w:szCs w:val="18"/>
                      <w:vertAlign w:val="superscript"/>
                    </w:rPr>
                    <w:instrText xml:space="preserve"> = 2 \* GB3 </w:instrText>
                  </w:r>
                  <w:r>
                    <w:rPr>
                      <w:rFonts w:ascii="Times New Roman" w:hAnsi="Times New Roman" w:cs="Times New Roman"/>
                      <w:color w:val="auto"/>
                      <w:kern w:val="0"/>
                      <w:szCs w:val="18"/>
                      <w:vertAlign w:val="superscript"/>
                    </w:rPr>
                    <w:fldChar w:fldCharType="separate"/>
                  </w:r>
                  <w:r>
                    <w:rPr>
                      <w:rFonts w:hint="eastAsia" w:ascii="宋体" w:hAnsi="宋体" w:cs="宋体"/>
                      <w:color w:val="auto"/>
                      <w:kern w:val="0"/>
                      <w:szCs w:val="18"/>
                      <w:vertAlign w:val="superscript"/>
                    </w:rPr>
                    <w:t>②</w:t>
                  </w:r>
                  <w:r>
                    <w:rPr>
                      <w:rFonts w:ascii="Times New Roman" w:hAnsi="Times New Roman" w:cs="Times New Roman"/>
                      <w:color w:val="auto"/>
                      <w:kern w:val="0"/>
                      <w:szCs w:val="18"/>
                      <w:vertAlign w:val="superscript"/>
                    </w:rPr>
                    <w:fldChar w:fldCharType="end"/>
                  </w:r>
                </w:p>
              </w:tc>
              <w:tc>
                <w:tcPr>
                  <w:tcW w:w="588" w:type="pct"/>
                  <w:gridSpan w:val="2"/>
                  <w:noWrap w:val="0"/>
                  <w:vAlign w:val="center"/>
                </w:tcPr>
                <w:p w14:paraId="671F9897">
                  <w:pPr>
                    <w:ind w:left="-105" w:leftChars="-50" w:right="-105" w:rightChars="-50"/>
                    <w:jc w:val="center"/>
                    <w:rPr>
                      <w:rFonts w:ascii="Times New Roman" w:hAnsi="Times New Roman" w:cs="Times New Roman"/>
                      <w:color w:val="auto"/>
                      <w:szCs w:val="21"/>
                    </w:rPr>
                  </w:pPr>
                  <w:r>
                    <w:rPr>
                      <w:rFonts w:ascii="Times New Roman" w:hAnsi="Times New Roman" w:cs="Times New Roman"/>
                      <w:color w:val="auto"/>
                      <w:szCs w:val="21"/>
                    </w:rPr>
                    <w:t>3</w:t>
                  </w:r>
                </w:p>
              </w:tc>
            </w:tr>
            <w:tr w14:paraId="39EB43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Before w:val="1"/>
                <w:gridAfter w:val="1"/>
                <w:wBefore w:w="1" w:type="pct"/>
                <w:wAfter w:w="2" w:type="pct"/>
                <w:trHeight w:val="122" w:hRule="atLeast"/>
                <w:jc w:val="center"/>
              </w:trPr>
              <w:tc>
                <w:tcPr>
                  <w:tcW w:w="4995" w:type="pct"/>
                  <w:gridSpan w:val="6"/>
                  <w:noWrap w:val="0"/>
                  <w:vAlign w:val="center"/>
                </w:tcPr>
                <w:p w14:paraId="20C80569">
                  <w:pPr>
                    <w:jc w:val="left"/>
                    <w:rPr>
                      <w:rFonts w:hint="eastAsia" w:cs="Times New Roman"/>
                      <w:color w:val="auto"/>
                      <w:sz w:val="18"/>
                      <w:szCs w:val="18"/>
                      <w:lang w:eastAsia="zh-CN"/>
                    </w:rPr>
                  </w:pPr>
                  <w:r>
                    <w:rPr>
                      <w:rFonts w:hint="default" w:ascii="Times New Roman" w:hAnsi="Times New Roman" w:eastAsia="宋体" w:cs="Times New Roman"/>
                      <w:color w:val="auto"/>
                      <w:sz w:val="18"/>
                      <w:szCs w:val="18"/>
                    </w:rPr>
                    <w:t>备注：</w:t>
                  </w:r>
                  <w:r>
                    <w:rPr>
                      <w:rFonts w:hint="eastAsia" w:cs="Times New Roman"/>
                      <w:color w:val="auto"/>
                      <w:sz w:val="18"/>
                      <w:szCs w:val="18"/>
                      <w:lang w:val="en-US" w:eastAsia="zh-CN"/>
                    </w:rPr>
                    <w:t>①</w:t>
                  </w:r>
                  <w:r>
                    <w:rPr>
                      <w:rFonts w:hint="default" w:ascii="Times New Roman" w:hAnsi="Times New Roman" w:eastAsia="宋体" w:cs="Times New Roman"/>
                      <w:color w:val="auto"/>
                      <w:sz w:val="18"/>
                      <w:szCs w:val="18"/>
                    </w:rPr>
                    <w:t>根据《国家环境保护总局关于纳污管排污单位氨氮执行标准的复函》（环函</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2005</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454号），氨氮执行《污水排入城镇下水道水质标准》（GB/T31962-2015）。</w:t>
                  </w:r>
                </w:p>
                <w:p w14:paraId="0162127C">
                  <w:pPr>
                    <w:jc w:val="left"/>
                    <w:rPr>
                      <w:rFonts w:hint="default" w:ascii="Times New Roman" w:hAnsi="Times New Roman" w:eastAsia="宋体" w:cs="Times New Roman"/>
                      <w:color w:val="auto"/>
                      <w:sz w:val="18"/>
                      <w:szCs w:val="18"/>
                    </w:rPr>
                  </w:pPr>
                  <w:r>
                    <w:rPr>
                      <w:rFonts w:hint="eastAsia" w:cs="Times New Roman"/>
                      <w:color w:val="auto"/>
                      <w:sz w:val="18"/>
                      <w:szCs w:val="18"/>
                      <w:lang w:val="en-US" w:eastAsia="zh-CN"/>
                    </w:rPr>
                    <w:t>②</w:t>
                  </w:r>
                  <w:r>
                    <w:rPr>
                      <w:color w:val="auto"/>
                      <w:kern w:val="0"/>
                      <w:sz w:val="18"/>
                      <w:szCs w:val="21"/>
                    </w:rPr>
                    <w:t>括号外数值为水温&gt;12℃时的控制指标，括号内数值为水温≤12℃时的控制指标</w:t>
                  </w:r>
                </w:p>
              </w:tc>
            </w:tr>
          </w:tbl>
          <w:p w14:paraId="0E657F25">
            <w:pPr>
              <w:pStyle w:val="20"/>
              <w:spacing w:line="440" w:lineRule="exact"/>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bCs w:val="0"/>
                <w:caps w:val="0"/>
                <w:color w:val="auto"/>
                <w:kern w:val="0"/>
                <w:sz w:val="21"/>
                <w:szCs w:val="21"/>
              </w:rPr>
              <w:t>3.7.3</w:t>
            </w:r>
            <w:r>
              <w:rPr>
                <w:rFonts w:hint="default" w:ascii="Times New Roman" w:hAnsi="Times New Roman" w:eastAsia="宋体" w:cs="Times New Roman"/>
                <w:color w:val="auto"/>
                <w:sz w:val="21"/>
                <w:szCs w:val="21"/>
              </w:rPr>
              <w:t>噪声</w:t>
            </w:r>
          </w:p>
          <w:p w14:paraId="1A0BBFAA">
            <w:pPr>
              <w:pStyle w:val="7"/>
              <w:spacing w:line="440" w:lineRule="exac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项目营运期厂界噪声执行《工业企业厂界环境噪声排放标准》（GB12348-2008）中3类区标准，详见表3-</w:t>
            </w:r>
            <w:r>
              <w:rPr>
                <w:rFonts w:hint="eastAsia" w:cs="Times New Roman"/>
                <w:color w:val="auto"/>
                <w:szCs w:val="21"/>
                <w:lang w:val="en-US" w:eastAsia="zh-CN"/>
              </w:rPr>
              <w:t>8</w:t>
            </w:r>
            <w:r>
              <w:rPr>
                <w:rFonts w:hint="default" w:ascii="Times New Roman" w:hAnsi="Times New Roman" w:eastAsia="宋体" w:cs="Times New Roman"/>
                <w:color w:val="auto"/>
                <w:szCs w:val="21"/>
                <w:lang w:val="en-US" w:eastAsia="zh-CN"/>
              </w:rPr>
              <w:t>。</w:t>
            </w:r>
          </w:p>
          <w:p w14:paraId="651E3BF3">
            <w:pPr>
              <w:pStyle w:val="65"/>
              <w:spacing w:before="72" w:after="60"/>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val="en-US" w:eastAsia="zh-CN"/>
              </w:rPr>
              <w:t>表3-</w:t>
            </w:r>
            <w:r>
              <w:rPr>
                <w:rFonts w:hint="eastAsia" w:ascii="Times New Roman" w:hAnsi="Times New Roman" w:cs="Times New Roman"/>
                <w:b/>
                <w:color w:val="auto"/>
                <w:szCs w:val="21"/>
                <w:lang w:val="en-US" w:eastAsia="zh-CN"/>
              </w:rPr>
              <w:t>8</w:t>
            </w:r>
            <w:r>
              <w:rPr>
                <w:rFonts w:hint="default" w:ascii="Times New Roman" w:hAnsi="Times New Roman" w:cs="Times New Roman"/>
                <w:b/>
                <w:color w:val="auto"/>
                <w:szCs w:val="21"/>
                <w:lang w:val="en-US" w:eastAsia="zh-CN"/>
              </w:rPr>
              <w:t xml:space="preserve"> </w:t>
            </w:r>
            <w:r>
              <w:rPr>
                <w:rFonts w:hint="default" w:ascii="Times New Roman" w:hAnsi="Times New Roman" w:eastAsia="宋体" w:cs="Times New Roman"/>
                <w:b/>
                <w:color w:val="auto"/>
                <w:szCs w:val="21"/>
                <w:lang w:val="en-US" w:eastAsia="zh-CN"/>
              </w:rPr>
              <w:t xml:space="preserve"> 工业企业厂界环境噪声排放标准   单位：dB(A)</w:t>
            </w:r>
          </w:p>
          <w:tbl>
            <w:tblPr>
              <w:tblStyle w:val="30"/>
              <w:tblW w:w="4999"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578"/>
              <w:gridCol w:w="3024"/>
              <w:gridCol w:w="2532"/>
            </w:tblGrid>
            <w:tr w14:paraId="217B29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99" w:hRule="atLeast"/>
                <w:jc w:val="center"/>
              </w:trPr>
              <w:tc>
                <w:tcPr>
                  <w:tcW w:w="1584" w:type="pct"/>
                  <w:noWrap w:val="0"/>
                  <w:vAlign w:val="center"/>
                </w:tcPr>
                <w:p w14:paraId="46703750">
                  <w:pPr>
                    <w:pStyle w:val="71"/>
                    <w:adjustRightInd w:val="0"/>
                    <w:snapToGrid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类别</w:t>
                  </w:r>
                </w:p>
              </w:tc>
              <w:tc>
                <w:tcPr>
                  <w:tcW w:w="1858" w:type="pct"/>
                  <w:noWrap w:val="0"/>
                  <w:vAlign w:val="center"/>
                </w:tcPr>
                <w:p w14:paraId="25BE3BCB">
                  <w:pPr>
                    <w:pStyle w:val="71"/>
                    <w:adjustRightInd w:val="0"/>
                    <w:snapToGrid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昼间</w:t>
                  </w:r>
                </w:p>
              </w:tc>
              <w:tc>
                <w:tcPr>
                  <w:tcW w:w="1556" w:type="pct"/>
                  <w:noWrap w:val="0"/>
                  <w:vAlign w:val="center"/>
                </w:tcPr>
                <w:p w14:paraId="403C965E">
                  <w:pPr>
                    <w:pStyle w:val="71"/>
                    <w:adjustRightInd w:val="0"/>
                    <w:snapToGrid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夜间</w:t>
                  </w:r>
                </w:p>
              </w:tc>
            </w:tr>
            <w:tr w14:paraId="4C26F7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4" w:hRule="atLeast"/>
                <w:jc w:val="center"/>
              </w:trPr>
              <w:tc>
                <w:tcPr>
                  <w:tcW w:w="1584" w:type="pct"/>
                  <w:noWrap w:val="0"/>
                  <w:vAlign w:val="center"/>
                </w:tcPr>
                <w:p w14:paraId="4F65F4A3">
                  <w:pPr>
                    <w:pStyle w:val="71"/>
                    <w:adjustRightInd w:val="0"/>
                    <w:snapToGrid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3类</w:t>
                  </w:r>
                </w:p>
              </w:tc>
              <w:tc>
                <w:tcPr>
                  <w:tcW w:w="1858" w:type="pct"/>
                  <w:noWrap w:val="0"/>
                  <w:vAlign w:val="center"/>
                </w:tcPr>
                <w:p w14:paraId="043853CE">
                  <w:pPr>
                    <w:pStyle w:val="71"/>
                    <w:adjustRightInd w:val="0"/>
                    <w:snapToGrid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65</w:t>
                  </w:r>
                </w:p>
              </w:tc>
              <w:tc>
                <w:tcPr>
                  <w:tcW w:w="1556" w:type="pct"/>
                  <w:noWrap w:val="0"/>
                  <w:vAlign w:val="center"/>
                </w:tcPr>
                <w:p w14:paraId="59D0B07D">
                  <w:pPr>
                    <w:pStyle w:val="71"/>
                    <w:adjustRightInd w:val="0"/>
                    <w:snapToGrid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55</w:t>
                  </w:r>
                </w:p>
              </w:tc>
            </w:tr>
          </w:tbl>
          <w:p w14:paraId="691A29F3">
            <w:pPr>
              <w:pStyle w:val="20"/>
              <w:outlineLvl w:val="1"/>
              <w:rPr>
                <w:rFonts w:hint="default" w:ascii="Times New Roman" w:hAnsi="Times New Roman" w:cs="Times New Roman"/>
                <w:color w:val="auto"/>
                <w:sz w:val="21"/>
                <w:szCs w:val="21"/>
              </w:rPr>
            </w:pPr>
            <w:r>
              <w:rPr>
                <w:rFonts w:hint="default" w:ascii="Times New Roman" w:hAnsi="Times New Roman" w:cs="Times New Roman"/>
                <w:bCs w:val="0"/>
                <w:caps w:val="0"/>
                <w:color w:val="auto"/>
                <w:kern w:val="0"/>
                <w:sz w:val="21"/>
                <w:szCs w:val="21"/>
              </w:rPr>
              <w:t>3.7.4</w:t>
            </w:r>
            <w:r>
              <w:rPr>
                <w:rFonts w:hint="default" w:ascii="Times New Roman" w:hAnsi="Times New Roman" w:cs="Times New Roman"/>
                <w:color w:val="auto"/>
                <w:sz w:val="21"/>
                <w:szCs w:val="21"/>
              </w:rPr>
              <w:t>固废</w:t>
            </w:r>
          </w:p>
          <w:p w14:paraId="16528396">
            <w:pPr>
              <w:tabs>
                <w:tab w:val="left" w:pos="980"/>
              </w:tabs>
              <w:spacing w:line="360" w:lineRule="auto"/>
              <w:ind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项目设置的一般工业固体废物暂存间，即为采用库房或包装工具贮存一般工业固体废物过程的污染控制，不适用于《一般工业固体废物贮存和填埋污染控制标准》（GB 18599-2020），其贮存过程应满足相应防渗漏、防雨淋、防扬尘等环境保护要求。</w:t>
            </w:r>
          </w:p>
          <w:p w14:paraId="45D6BB33">
            <w:pPr>
              <w:tabs>
                <w:tab w:val="left" w:pos="980"/>
              </w:tabs>
              <w:spacing w:line="360" w:lineRule="auto"/>
              <w:ind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危险废物执行《危险废物贮存污染控制标准》</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GB18597-2023</w:t>
            </w:r>
            <w:r>
              <w:rPr>
                <w:rFonts w:hint="eastAsia" w:ascii="Times New Roman" w:hAnsi="Times New Roman"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w:t>
            </w:r>
          </w:p>
        </w:tc>
      </w:tr>
      <w:tr w14:paraId="03ECAC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374" w:type="pct"/>
            <w:noWrap w:val="0"/>
            <w:vAlign w:val="center"/>
          </w:tcPr>
          <w:p w14:paraId="44BC85FC">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总量</w:t>
            </w:r>
          </w:p>
          <w:p w14:paraId="6DDD2DFF">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控制</w:t>
            </w:r>
          </w:p>
          <w:p w14:paraId="1F0EF63E">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指标</w:t>
            </w:r>
          </w:p>
        </w:tc>
        <w:tc>
          <w:tcPr>
            <w:tcW w:w="4625" w:type="pct"/>
            <w:noWrap w:val="0"/>
            <w:vAlign w:val="center"/>
          </w:tcPr>
          <w:p w14:paraId="68DC9705">
            <w:pPr>
              <w:pStyle w:val="6"/>
              <w:rPr>
                <w:rFonts w:hint="default" w:ascii="Times New Roman" w:hAnsi="Times New Roman" w:eastAsia="宋体" w:cs="Times New Roman"/>
                <w:bCs/>
                <w:snapToGrid w:val="0"/>
                <w:color w:val="auto"/>
                <w:sz w:val="21"/>
                <w:szCs w:val="21"/>
              </w:rPr>
            </w:pPr>
          </w:p>
          <w:p w14:paraId="25DFB820">
            <w:pPr>
              <w:rPr>
                <w:rFonts w:hint="default" w:ascii="Times New Roman" w:hAnsi="Times New Roman" w:eastAsia="宋体" w:cs="Times New Roman"/>
                <w:bCs/>
                <w:snapToGrid w:val="0"/>
                <w:color w:val="auto"/>
                <w:sz w:val="21"/>
                <w:szCs w:val="21"/>
              </w:rPr>
            </w:pPr>
          </w:p>
          <w:p w14:paraId="085191BF">
            <w:pPr>
              <w:rPr>
                <w:rFonts w:hint="default" w:ascii="Times New Roman" w:hAnsi="Times New Roman" w:eastAsia="宋体" w:cs="Times New Roman"/>
                <w:bCs/>
                <w:snapToGrid w:val="0"/>
                <w:color w:val="auto"/>
                <w:sz w:val="21"/>
                <w:szCs w:val="21"/>
              </w:rPr>
            </w:pPr>
          </w:p>
          <w:p w14:paraId="0AFD9808">
            <w:pPr>
              <w:spacing w:line="360" w:lineRule="auto"/>
              <w:ind w:firstLine="422" w:firstLineChars="200"/>
              <w:rPr>
                <w:rFonts w:hint="default" w:ascii="Times New Roman" w:hAnsi="Times New Roman" w:cs="Times New Roman"/>
                <w:bCs/>
                <w:snapToGrid w:val="0"/>
                <w:color w:val="auto"/>
                <w:sz w:val="21"/>
                <w:szCs w:val="21"/>
              </w:rPr>
            </w:pPr>
            <w:r>
              <w:rPr>
                <w:rFonts w:hint="default" w:ascii="Times New Roman" w:hAnsi="Times New Roman" w:cs="Times New Roman"/>
                <w:b/>
                <w:color w:val="auto"/>
                <w:sz w:val="21"/>
                <w:szCs w:val="21"/>
              </w:rPr>
              <w:t>废气：</w:t>
            </w:r>
            <w:r>
              <w:rPr>
                <w:rFonts w:hint="default" w:ascii="Times New Roman" w:hAnsi="Times New Roman" w:cs="Times New Roman"/>
                <w:bCs/>
                <w:snapToGrid w:val="0"/>
                <w:color w:val="auto"/>
                <w:sz w:val="21"/>
                <w:szCs w:val="21"/>
              </w:rPr>
              <w:t>非甲烷总烃</w:t>
            </w:r>
            <w:r>
              <w:rPr>
                <w:rFonts w:hint="eastAsia" w:ascii="Times New Roman" w:hAnsi="Times New Roman" w:cs="Times New Roman"/>
                <w:bCs/>
                <w:snapToGrid w:val="0"/>
                <w:color w:val="auto"/>
                <w:sz w:val="21"/>
                <w:szCs w:val="21"/>
                <w:lang w:val="en-US" w:eastAsia="zh-CN"/>
              </w:rPr>
              <w:t>0.228</w:t>
            </w:r>
            <w:r>
              <w:rPr>
                <w:rFonts w:hint="default" w:ascii="Times New Roman" w:hAnsi="Times New Roman" w:cs="Times New Roman"/>
                <w:bCs/>
                <w:snapToGrid w:val="0"/>
                <w:color w:val="auto"/>
                <w:sz w:val="21"/>
                <w:szCs w:val="21"/>
              </w:rPr>
              <w:t>t/a</w:t>
            </w:r>
          </w:p>
          <w:p w14:paraId="2F5EDB64">
            <w:pPr>
              <w:pStyle w:val="54"/>
              <w:spacing w:line="360" w:lineRule="auto"/>
              <w:ind w:firstLine="422" w:firstLineChars="200"/>
              <w:rPr>
                <w:rFonts w:hint="default" w:ascii="Times New Roman" w:hAnsi="Times New Roman" w:eastAsia="宋体" w:cs="Times New Roman"/>
                <w:bCs/>
                <w:snapToGrid w:val="0"/>
                <w:color w:val="auto"/>
                <w:sz w:val="21"/>
                <w:szCs w:val="21"/>
              </w:rPr>
            </w:pPr>
            <w:r>
              <w:rPr>
                <w:rFonts w:hint="default" w:ascii="Times New Roman" w:hAnsi="Times New Roman" w:eastAsia="宋体" w:cs="Times New Roman"/>
                <w:b/>
                <w:bCs/>
                <w:color w:val="auto"/>
                <w:sz w:val="21"/>
                <w:szCs w:val="21"/>
                <w:lang w:val="en-US" w:eastAsia="zh-CN"/>
              </w:rPr>
              <w:t>废水：</w:t>
            </w:r>
            <w:r>
              <w:rPr>
                <w:rFonts w:hint="default" w:ascii="Times New Roman" w:hAnsi="Times New Roman" w:eastAsia="宋体" w:cs="Times New Roman"/>
                <w:color w:val="auto"/>
                <w:sz w:val="21"/>
                <w:szCs w:val="21"/>
              </w:rPr>
              <w:t>COD</w:t>
            </w:r>
            <w:r>
              <w:rPr>
                <w:rFonts w:hint="eastAsia" w:ascii="Times New Roman" w:hAnsi="Times New Roman" w:eastAsia="宋体" w:cs="Times New Roman"/>
                <w:i w:val="0"/>
                <w:iCs w:val="0"/>
                <w:color w:val="auto"/>
                <w:kern w:val="0"/>
                <w:sz w:val="21"/>
                <w:szCs w:val="21"/>
                <w:u w:val="none"/>
                <w:lang w:val="en-US" w:eastAsia="zh-CN" w:bidi="ar"/>
              </w:rPr>
              <w:t>0.009</w:t>
            </w:r>
            <w:r>
              <w:rPr>
                <w:rFonts w:hint="default" w:ascii="Times New Roman" w:hAnsi="Times New Roman" w:eastAsia="宋体" w:cs="Times New Roman"/>
                <w:bCs/>
                <w:snapToGrid w:val="0"/>
                <w:color w:val="auto"/>
                <w:sz w:val="21"/>
                <w:szCs w:val="21"/>
              </w:rPr>
              <w:t>t/a</w:t>
            </w:r>
            <w:r>
              <w:rPr>
                <w:rFonts w:hint="default" w:ascii="Times New Roman" w:hAnsi="Times New Roman" w:eastAsia="宋体" w:cs="Times New Roman"/>
                <w:bCs/>
                <w:snapToGrid w:val="0"/>
                <w:color w:val="auto"/>
                <w:sz w:val="21"/>
                <w:szCs w:val="21"/>
                <w:lang w:eastAsia="zh-CN"/>
              </w:rPr>
              <w:t>、</w:t>
            </w: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w:t>
            </w:r>
            <w:r>
              <w:rPr>
                <w:rFonts w:hint="eastAsia" w:ascii="Times New Roman" w:hAnsi="Times New Roman" w:eastAsia="宋体" w:cs="Times New Roman"/>
                <w:color w:val="auto"/>
                <w:sz w:val="21"/>
                <w:szCs w:val="21"/>
                <w:lang w:val="en-US" w:eastAsia="zh-CN"/>
              </w:rPr>
              <w:t>0.001</w:t>
            </w:r>
            <w:r>
              <w:rPr>
                <w:rFonts w:hint="default" w:ascii="Times New Roman" w:hAnsi="Times New Roman" w:eastAsia="宋体" w:cs="Times New Roman"/>
                <w:color w:val="auto"/>
                <w:sz w:val="21"/>
                <w:szCs w:val="21"/>
                <w:lang w:val="en-US" w:eastAsia="zh-CN"/>
              </w:rPr>
              <w:t>t</w:t>
            </w:r>
            <w:r>
              <w:rPr>
                <w:rFonts w:hint="default" w:ascii="Times New Roman" w:hAnsi="Times New Roman" w:eastAsia="宋体" w:cs="Times New Roman"/>
                <w:bCs/>
                <w:snapToGrid w:val="0"/>
                <w:color w:val="auto"/>
                <w:sz w:val="21"/>
                <w:szCs w:val="21"/>
              </w:rPr>
              <w:t>/a</w:t>
            </w:r>
          </w:p>
          <w:p w14:paraId="3F16B9E6">
            <w:pPr>
              <w:rPr>
                <w:rFonts w:hint="default" w:ascii="Times New Roman" w:hAnsi="Times New Roman" w:eastAsia="宋体" w:cs="Times New Roman"/>
                <w:bCs/>
                <w:snapToGrid w:val="0"/>
                <w:color w:val="auto"/>
                <w:sz w:val="21"/>
                <w:szCs w:val="21"/>
              </w:rPr>
            </w:pPr>
          </w:p>
          <w:p w14:paraId="6626270D">
            <w:pPr>
              <w:rPr>
                <w:rFonts w:hint="default" w:ascii="Times New Roman" w:hAnsi="Times New Roman" w:eastAsia="宋体" w:cs="Times New Roman"/>
                <w:bCs/>
                <w:snapToGrid w:val="0"/>
                <w:color w:val="auto"/>
                <w:sz w:val="21"/>
                <w:szCs w:val="21"/>
              </w:rPr>
            </w:pPr>
          </w:p>
          <w:p w14:paraId="76679645">
            <w:pPr>
              <w:rPr>
                <w:rFonts w:hint="default" w:ascii="Times New Roman" w:hAnsi="Times New Roman" w:eastAsia="宋体" w:cs="Times New Roman"/>
                <w:bCs/>
                <w:snapToGrid w:val="0"/>
                <w:color w:val="auto"/>
                <w:sz w:val="21"/>
                <w:szCs w:val="21"/>
              </w:rPr>
            </w:pPr>
          </w:p>
          <w:p w14:paraId="37E87C29">
            <w:pPr>
              <w:rPr>
                <w:rFonts w:hint="default" w:ascii="Times New Roman" w:hAnsi="Times New Roman" w:eastAsia="宋体" w:cs="Times New Roman"/>
                <w:bCs/>
                <w:snapToGrid w:val="0"/>
                <w:color w:val="auto"/>
                <w:sz w:val="21"/>
                <w:szCs w:val="21"/>
              </w:rPr>
            </w:pPr>
          </w:p>
          <w:p w14:paraId="6C21271D">
            <w:pPr>
              <w:rPr>
                <w:rFonts w:hint="default" w:ascii="Times New Roman" w:hAnsi="Times New Roman" w:eastAsia="宋体" w:cs="Times New Roman"/>
                <w:bCs/>
                <w:snapToGrid w:val="0"/>
                <w:color w:val="auto"/>
                <w:sz w:val="21"/>
                <w:szCs w:val="21"/>
              </w:rPr>
            </w:pPr>
          </w:p>
          <w:p w14:paraId="2C7441A8">
            <w:pPr>
              <w:rPr>
                <w:rFonts w:hint="default" w:ascii="Times New Roman" w:hAnsi="Times New Roman" w:eastAsia="宋体" w:cs="Times New Roman"/>
                <w:bCs/>
                <w:snapToGrid w:val="0"/>
                <w:color w:val="auto"/>
                <w:sz w:val="21"/>
                <w:szCs w:val="21"/>
              </w:rPr>
            </w:pPr>
          </w:p>
          <w:p w14:paraId="5F2398B5">
            <w:pPr>
              <w:rPr>
                <w:rFonts w:hint="default" w:ascii="Times New Roman" w:hAnsi="Times New Roman" w:eastAsia="宋体" w:cs="Times New Roman"/>
                <w:bCs/>
                <w:snapToGrid w:val="0"/>
                <w:color w:val="auto"/>
                <w:sz w:val="21"/>
                <w:szCs w:val="21"/>
              </w:rPr>
            </w:pPr>
          </w:p>
          <w:p w14:paraId="7B683945">
            <w:pPr>
              <w:rPr>
                <w:rFonts w:hint="default" w:ascii="Times New Roman" w:hAnsi="Times New Roman" w:eastAsia="宋体" w:cs="Times New Roman"/>
                <w:bCs/>
                <w:snapToGrid w:val="0"/>
                <w:color w:val="auto"/>
                <w:sz w:val="21"/>
                <w:szCs w:val="21"/>
              </w:rPr>
            </w:pPr>
          </w:p>
        </w:tc>
      </w:tr>
    </w:tbl>
    <w:p w14:paraId="03E0898B">
      <w:pPr>
        <w:pStyle w:val="26"/>
        <w:jc w:val="center"/>
        <w:outlineLvl w:val="0"/>
        <w:rPr>
          <w:rFonts w:hint="default" w:ascii="Times New Roman" w:hAnsi="Times New Roman" w:cs="Times New Roman"/>
          <w:snapToGrid w:val="0"/>
          <w:color w:val="auto"/>
          <w:sz w:val="30"/>
          <w:szCs w:val="30"/>
        </w:rPr>
      </w:pPr>
      <w:r>
        <w:rPr>
          <w:rFonts w:hint="default" w:ascii="Times New Roman" w:hAnsi="Times New Roman" w:cs="Times New Roman"/>
          <w:snapToGrid w:val="0"/>
          <w:color w:val="auto"/>
          <w:sz w:val="36"/>
          <w:szCs w:val="36"/>
        </w:rPr>
        <w:br w:type="page"/>
      </w:r>
      <w:r>
        <w:rPr>
          <w:rFonts w:hint="default" w:ascii="Times New Roman" w:hAnsi="Times New Roman" w:cs="Times New Roman"/>
          <w:snapToGrid w:val="0"/>
          <w:color w:val="auto"/>
          <w:sz w:val="30"/>
          <w:szCs w:val="30"/>
        </w:rPr>
        <w:t>四、主要环境影响和保护措施</w:t>
      </w:r>
    </w:p>
    <w:tbl>
      <w:tblPr>
        <w:tblStyle w:val="30"/>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8335"/>
      </w:tblGrid>
      <w:tr w14:paraId="7CB6A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573" w:type="dxa"/>
            <w:noWrap w:val="0"/>
            <w:tcMar>
              <w:left w:w="28" w:type="dxa"/>
              <w:right w:w="28" w:type="dxa"/>
            </w:tcMar>
            <w:vAlign w:val="center"/>
          </w:tcPr>
          <w:p w14:paraId="01B7DF47">
            <w:pPr>
              <w:pStyle w:val="26"/>
              <w:adjustRightInd w:val="0"/>
              <w:snapToGrid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施工</w:t>
            </w:r>
          </w:p>
          <w:p w14:paraId="022D4571">
            <w:pPr>
              <w:pStyle w:val="26"/>
              <w:adjustRightInd w:val="0"/>
              <w:snapToGrid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期环</w:t>
            </w:r>
          </w:p>
          <w:p w14:paraId="7BE51553">
            <w:pPr>
              <w:pStyle w:val="26"/>
              <w:adjustRightInd w:val="0"/>
              <w:snapToGrid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境保</w:t>
            </w:r>
          </w:p>
          <w:p w14:paraId="62C704CB">
            <w:pPr>
              <w:pStyle w:val="26"/>
              <w:adjustRightInd w:val="0"/>
              <w:snapToGrid w:val="0"/>
              <w:spacing w:before="0" w:beforeAutospacing="0" w:after="0" w:afterAutospacing="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护措</w:t>
            </w:r>
          </w:p>
          <w:p w14:paraId="5670C162">
            <w:pPr>
              <w:pStyle w:val="26"/>
              <w:adjustRightInd w:val="0"/>
              <w:snapToGrid w:val="0"/>
              <w:spacing w:before="0" w:beforeAutospacing="0" w:after="0" w:afterAutospacing="0"/>
              <w:jc w:val="center"/>
              <w:rPr>
                <w:rFonts w:hint="default" w:ascii="Times New Roman" w:hAnsi="Times New Roman" w:cs="Times New Roman"/>
                <w:bCs/>
                <w:color w:val="auto"/>
                <w:kern w:val="2"/>
                <w:sz w:val="21"/>
                <w:szCs w:val="21"/>
              </w:rPr>
            </w:pPr>
            <w:r>
              <w:rPr>
                <w:rFonts w:hint="default" w:ascii="Times New Roman" w:hAnsi="Times New Roman" w:cs="Times New Roman"/>
                <w:color w:val="auto"/>
                <w:kern w:val="2"/>
                <w:sz w:val="21"/>
                <w:szCs w:val="21"/>
              </w:rPr>
              <w:t>施</w:t>
            </w:r>
          </w:p>
        </w:tc>
        <w:tc>
          <w:tcPr>
            <w:tcW w:w="8335" w:type="dxa"/>
            <w:noWrap w:val="0"/>
            <w:vAlign w:val="center"/>
          </w:tcPr>
          <w:p w14:paraId="03DFA876">
            <w:pPr>
              <w:adjustRightInd w:val="0"/>
              <w:snapToGrid w:val="0"/>
              <w:spacing w:line="360" w:lineRule="auto"/>
              <w:rPr>
                <w:rFonts w:hint="default" w:ascii="Times New Roman" w:hAnsi="Times New Roman" w:cs="Times New Roman"/>
                <w:b/>
                <w:bCs/>
                <w:color w:val="auto"/>
                <w:spacing w:val="-10"/>
                <w:szCs w:val="21"/>
              </w:rPr>
            </w:pPr>
            <w:r>
              <w:rPr>
                <w:rFonts w:hint="default" w:ascii="Times New Roman" w:hAnsi="Times New Roman" w:cs="Times New Roman"/>
                <w:b/>
                <w:bCs/>
                <w:color w:val="auto"/>
                <w:spacing w:val="-10"/>
                <w:szCs w:val="21"/>
              </w:rPr>
              <w:t>4.1施工期环境影响及保护措施</w:t>
            </w:r>
          </w:p>
          <w:p w14:paraId="12344661">
            <w:pPr>
              <w:adjustRightInd w:val="0"/>
              <w:snapToGrid w:val="0"/>
              <w:spacing w:line="360" w:lineRule="auto"/>
              <w:ind w:firstLine="420" w:firstLineChars="200"/>
              <w:rPr>
                <w:rFonts w:hint="default" w:ascii="Times New Roman" w:hAnsi="Times New Roman" w:cs="Times New Roman"/>
                <w:b/>
                <w:bCs/>
                <w:color w:val="auto"/>
                <w:szCs w:val="21"/>
              </w:rPr>
            </w:pPr>
            <w:r>
              <w:rPr>
                <w:rFonts w:hint="default" w:ascii="Times New Roman" w:hAnsi="Times New Roman" w:cs="Times New Roman"/>
                <w:color w:val="auto"/>
                <w:szCs w:val="21"/>
              </w:rPr>
              <w:t>本项目在</w:t>
            </w:r>
            <w:r>
              <w:rPr>
                <w:rFonts w:hint="eastAsia" w:cs="Times New Roman"/>
                <w:color w:val="auto"/>
                <w:szCs w:val="21"/>
                <w:lang w:eastAsia="zh-CN"/>
              </w:rPr>
              <w:t>重庆市合川区南津街街道龙阳路10号1楼B区、C区厂房（南溪组团A区）</w:t>
            </w:r>
            <w:r>
              <w:rPr>
                <w:rFonts w:hint="default" w:ascii="Times New Roman" w:hAnsi="Times New Roman" w:cs="Times New Roman"/>
                <w:color w:val="auto"/>
                <w:szCs w:val="21"/>
              </w:rPr>
              <w:t>进行布置生产，其厂房已建设完成，施工期主要为设备安装，不涉及土建及厂房修建等工程，施工期较短，且影响较小，故本次评价不对施工期进行分析。</w:t>
            </w:r>
          </w:p>
        </w:tc>
      </w:tr>
      <w:tr w14:paraId="34C8C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3" w:type="dxa"/>
            <w:noWrap w:val="0"/>
            <w:tcMar>
              <w:left w:w="28" w:type="dxa"/>
              <w:right w:w="28" w:type="dxa"/>
            </w:tcMar>
            <w:vAlign w:val="center"/>
          </w:tcPr>
          <w:p w14:paraId="777ADC82">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运营</w:t>
            </w:r>
          </w:p>
          <w:p w14:paraId="405689D8">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期环</w:t>
            </w:r>
          </w:p>
          <w:p w14:paraId="7C920B72">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境影</w:t>
            </w:r>
          </w:p>
          <w:p w14:paraId="7E2E6067">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响和</w:t>
            </w:r>
          </w:p>
          <w:p w14:paraId="3ED3D088">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保护</w:t>
            </w:r>
          </w:p>
          <w:p w14:paraId="2DCFDD2C">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措施</w:t>
            </w:r>
          </w:p>
        </w:tc>
        <w:tc>
          <w:tcPr>
            <w:tcW w:w="8335" w:type="dxa"/>
            <w:noWrap w:val="0"/>
            <w:vAlign w:val="center"/>
          </w:tcPr>
          <w:p w14:paraId="17B24B1B">
            <w:pPr>
              <w:adjustRightInd w:val="0"/>
              <w:snapToGrid w:val="0"/>
              <w:spacing w:line="360" w:lineRule="auto"/>
              <w:rPr>
                <w:rFonts w:hint="default" w:ascii="Times New Roman" w:hAnsi="Times New Roman" w:cs="Times New Roman"/>
                <w:b/>
                <w:bCs/>
                <w:color w:val="auto"/>
                <w:spacing w:val="-10"/>
                <w:szCs w:val="21"/>
              </w:rPr>
            </w:pPr>
            <w:r>
              <w:rPr>
                <w:rFonts w:hint="default" w:ascii="Times New Roman" w:hAnsi="Times New Roman" w:cs="Times New Roman"/>
                <w:b/>
                <w:bCs/>
                <w:color w:val="auto"/>
                <w:spacing w:val="-10"/>
                <w:szCs w:val="21"/>
              </w:rPr>
              <w:t>4.2废气环境影响及保护措施</w:t>
            </w:r>
          </w:p>
          <w:p w14:paraId="17DD601E">
            <w:pPr>
              <w:adjustRightInd w:val="0"/>
              <w:snapToGrid w:val="0"/>
              <w:spacing w:line="360" w:lineRule="auto"/>
              <w:ind w:firstLine="382" w:firstLineChars="200"/>
              <w:rPr>
                <w:rFonts w:hint="default" w:ascii="Times New Roman" w:hAnsi="Times New Roman" w:cs="Times New Roman"/>
                <w:b/>
                <w:bCs/>
                <w:color w:val="auto"/>
                <w:spacing w:val="-10"/>
                <w:szCs w:val="21"/>
              </w:rPr>
            </w:pPr>
            <w:r>
              <w:rPr>
                <w:rFonts w:hint="default" w:ascii="Times New Roman" w:hAnsi="Times New Roman" w:cs="Times New Roman"/>
                <w:b/>
                <w:bCs/>
                <w:color w:val="auto"/>
                <w:spacing w:val="-10"/>
                <w:szCs w:val="21"/>
                <w:lang w:val="en-US" w:eastAsia="zh-CN"/>
              </w:rPr>
              <w:t>4.2.1</w:t>
            </w:r>
            <w:r>
              <w:rPr>
                <w:rFonts w:hint="default" w:ascii="Times New Roman" w:hAnsi="Times New Roman" w:cs="Times New Roman"/>
                <w:b/>
                <w:bCs/>
                <w:color w:val="auto"/>
                <w:spacing w:val="-10"/>
                <w:szCs w:val="21"/>
              </w:rPr>
              <w:t>源强核算</w:t>
            </w:r>
          </w:p>
          <w:p w14:paraId="44759821">
            <w:pPr>
              <w:adjustRightInd w:val="0"/>
              <w:snapToGrid w:val="0"/>
              <w:spacing w:line="360" w:lineRule="auto"/>
              <w:ind w:firstLine="420" w:firstLineChars="200"/>
              <w:rPr>
                <w:rFonts w:hint="default" w:ascii="Times New Roman" w:hAnsi="Times New Roman" w:cs="Times New Roman"/>
                <w:b/>
                <w:bCs w:val="0"/>
                <w:color w:val="auto"/>
                <w:szCs w:val="21"/>
                <w:lang w:val="en-US" w:eastAsia="zh-CN"/>
              </w:rPr>
            </w:pPr>
            <w:r>
              <w:rPr>
                <w:rFonts w:hint="default" w:ascii="Times New Roman" w:hAnsi="Times New Roman" w:cs="Times New Roman"/>
                <w:color w:val="auto"/>
                <w:szCs w:val="21"/>
              </w:rPr>
              <w:t>本项目营运期废气主要为</w:t>
            </w:r>
            <w:r>
              <w:rPr>
                <w:rFonts w:hint="eastAsia" w:ascii="Times New Roman" w:hAnsi="Times New Roman" w:cs="Times New Roman"/>
                <w:color w:val="auto"/>
                <w:szCs w:val="21"/>
                <w:lang w:val="en-US" w:eastAsia="zh-CN"/>
              </w:rPr>
              <w:t>注塑废气G1、破碎粉尘G2</w:t>
            </w:r>
            <w:r>
              <w:rPr>
                <w:rFonts w:hint="default" w:ascii="Times New Roman" w:hAnsi="Times New Roman" w:cs="Times New Roman"/>
                <w:bCs/>
                <w:color w:val="auto"/>
                <w:szCs w:val="21"/>
              </w:rPr>
              <w:t>。</w:t>
            </w:r>
          </w:p>
          <w:p w14:paraId="7D5C0236">
            <w:pPr>
              <w:adjustRightInd w:val="0"/>
              <w:snapToGrid w:val="0"/>
              <w:spacing w:line="360" w:lineRule="auto"/>
              <w:ind w:firstLine="422" w:firstLineChars="200"/>
              <w:rPr>
                <w:rFonts w:hint="default" w:ascii="Times New Roman" w:hAnsi="Times New Roman" w:cs="Times New Roman"/>
                <w:bCs/>
                <w:color w:val="auto"/>
                <w:spacing w:val="-10"/>
                <w:szCs w:val="21"/>
                <w:lang w:val="en-US"/>
              </w:rPr>
            </w:pPr>
            <w:r>
              <w:rPr>
                <w:rFonts w:hint="default" w:ascii="Times New Roman" w:hAnsi="Times New Roman" w:cs="Times New Roman"/>
                <w:b/>
                <w:bCs w:val="0"/>
                <w:color w:val="auto"/>
                <w:szCs w:val="21"/>
                <w:lang w:val="en-US" w:eastAsia="zh-CN"/>
              </w:rPr>
              <w:t>（1）注塑废气G</w:t>
            </w:r>
            <w:r>
              <w:rPr>
                <w:rFonts w:hint="eastAsia" w:ascii="Times New Roman" w:hAnsi="Times New Roman" w:cs="Times New Roman"/>
                <w:b/>
                <w:bCs w:val="0"/>
                <w:color w:val="auto"/>
                <w:szCs w:val="21"/>
                <w:lang w:val="en-US" w:eastAsia="zh-CN"/>
              </w:rPr>
              <w:t>1</w:t>
            </w:r>
          </w:p>
          <w:p w14:paraId="1B07A4A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本项目</w:t>
            </w:r>
            <w:r>
              <w:rPr>
                <w:rFonts w:hint="default" w:ascii="Times New Roman" w:hAnsi="Times New Roman" w:eastAsia="宋体" w:cs="Times New Roman"/>
                <w:color w:val="auto"/>
                <w:sz w:val="21"/>
                <w:szCs w:val="21"/>
                <w:lang w:val="en-US" w:eastAsia="zh-CN"/>
              </w:rPr>
              <w:t>所使用塑料</w:t>
            </w:r>
            <w:r>
              <w:rPr>
                <w:rFonts w:hint="eastAsia" w:ascii="Times New Roman" w:hAnsi="Times New Roman" w:cs="Times New Roman"/>
                <w:color w:val="auto"/>
                <w:sz w:val="21"/>
                <w:szCs w:val="21"/>
                <w:lang w:val="en-US" w:eastAsia="zh-CN"/>
              </w:rPr>
              <w:t>的</w:t>
            </w:r>
            <w:r>
              <w:rPr>
                <w:rFonts w:hint="default" w:ascii="Times New Roman" w:hAnsi="Times New Roman" w:eastAsia="宋体" w:cs="Times New Roman"/>
                <w:color w:val="auto"/>
                <w:sz w:val="21"/>
                <w:szCs w:val="21"/>
                <w:lang w:val="en-US" w:eastAsia="zh-CN"/>
              </w:rPr>
              <w:t>颗粒为ABS颗粒，为外购的新料，不涉及废旧再生塑料。</w:t>
            </w:r>
          </w:p>
          <w:p w14:paraId="5E9B73F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根据《合成树脂工业污染物排放标准》</w:t>
            </w:r>
            <w:r>
              <w:rPr>
                <w:rFonts w:hint="eastAsia" w:cs="Times New Roman"/>
                <w:b w:val="0"/>
                <w:bCs w:val="0"/>
                <w:color w:val="auto"/>
                <w:sz w:val="21"/>
                <w:szCs w:val="21"/>
                <w:lang w:val="en-US" w:eastAsia="zh-CN"/>
              </w:rPr>
              <w:t>（GB 31572-2015），含2024年修改单）</w:t>
            </w:r>
            <w:r>
              <w:rPr>
                <w:rFonts w:hint="default" w:ascii="Times New Roman" w:hAnsi="Times New Roman" w:eastAsia="宋体" w:cs="Times New Roman"/>
                <w:b w:val="0"/>
                <w:bCs w:val="0"/>
                <w:color w:val="auto"/>
                <w:sz w:val="21"/>
                <w:szCs w:val="21"/>
                <w:lang w:val="en-US" w:eastAsia="zh-CN"/>
              </w:rPr>
              <w:t>：ABS的废气污染物种类为非甲烷总烃、丙烯腈、丁二烯、苯乙烯、甲苯、乙苯</w:t>
            </w:r>
            <w:r>
              <w:rPr>
                <w:rFonts w:hint="default" w:ascii="Times New Roman" w:hAnsi="Times New Roman" w:cs="Times New Roman"/>
                <w:color w:val="auto"/>
                <w:sz w:val="21"/>
                <w:szCs w:val="21"/>
                <w:lang w:val="en-US" w:eastAsia="zh-CN"/>
              </w:rPr>
              <w:t>。</w:t>
            </w:r>
          </w:p>
          <w:p w14:paraId="15387DC9">
            <w:pPr>
              <w:adjustRightInd w:val="0"/>
              <w:snapToGrid w:val="0"/>
              <w:spacing w:line="360" w:lineRule="auto"/>
              <w:ind w:firstLine="420" w:firstLineChars="200"/>
              <w:rPr>
                <w:rFonts w:hint="default" w:ascii="Times New Roman" w:hAnsi="Times New Roman" w:eastAsia="宋体" w:cs="Times New Roman"/>
                <w:b/>
                <w:bCs w:val="0"/>
                <w:color w:val="auto"/>
                <w:sz w:val="21"/>
                <w:szCs w:val="21"/>
              </w:rPr>
            </w:pPr>
            <w:r>
              <w:rPr>
                <w:rFonts w:hint="default" w:ascii="Times New Roman" w:hAnsi="Times New Roman" w:cs="Times New Roman"/>
                <w:b w:val="0"/>
                <w:bCs w:val="0"/>
                <w:color w:val="auto"/>
                <w:lang w:val="en-US" w:eastAsia="zh-CN"/>
              </w:rPr>
              <w:t>根据</w:t>
            </w:r>
            <w:r>
              <w:rPr>
                <w:rFonts w:hint="default" w:ascii="Times New Roman" w:hAnsi="Times New Roman" w:eastAsia="宋体" w:cs="Times New Roman"/>
                <w:b w:val="0"/>
                <w:bCs w:val="0"/>
                <w:color w:val="auto"/>
                <w:spacing w:val="-10"/>
                <w:sz w:val="21"/>
                <w:szCs w:val="21"/>
              </w:rPr>
              <w:t>《合成树脂工业污染物排放标准》</w:t>
            </w:r>
            <w:r>
              <w:rPr>
                <w:rFonts w:hint="eastAsia" w:cs="Times New Roman"/>
                <w:b w:val="0"/>
                <w:bCs w:val="0"/>
                <w:color w:val="auto"/>
                <w:spacing w:val="-10"/>
                <w:sz w:val="21"/>
                <w:szCs w:val="21"/>
                <w:lang w:eastAsia="zh-CN"/>
              </w:rPr>
              <w:t>（GB 31572-2015），含2024年修改单）</w:t>
            </w:r>
            <w:r>
              <w:rPr>
                <w:rFonts w:hint="default" w:ascii="Times New Roman" w:hAnsi="Times New Roman" w:eastAsia="宋体" w:cs="Times New Roman"/>
                <w:b w:val="0"/>
                <w:bCs w:val="0"/>
                <w:color w:val="auto"/>
                <w:spacing w:val="-10"/>
                <w:sz w:val="21"/>
                <w:szCs w:val="21"/>
                <w:lang w:eastAsia="zh-CN"/>
              </w:rPr>
              <w:t>，</w:t>
            </w:r>
            <w:r>
              <w:rPr>
                <w:rFonts w:hint="default" w:ascii="Times New Roman" w:hAnsi="Times New Roman" w:eastAsia="宋体" w:cs="Times New Roman"/>
                <w:b w:val="0"/>
                <w:bCs w:val="0"/>
                <w:color w:val="auto"/>
                <w:spacing w:val="-10"/>
                <w:sz w:val="21"/>
                <w:szCs w:val="21"/>
                <w:lang w:val="en-US" w:eastAsia="zh-CN"/>
              </w:rPr>
              <w:t>注塑废气中可能会含有少量的颗粒物，但结合业主实际生产经验，注塑时加热挤出过程中产生的颗粒物量极少，且《排放源统计调查产排污核算方法和系数手册》中的292塑料制品行业系数手册中塑料零件及其他塑料制品制造行业系数表（续表1）中无颗粒物产排污系数，因此本次环评不对</w:t>
            </w:r>
            <w:r>
              <w:rPr>
                <w:rFonts w:hint="default" w:ascii="Times New Roman" w:hAnsi="Times New Roman" w:cs="Times New Roman"/>
                <w:b w:val="0"/>
                <w:bCs w:val="0"/>
                <w:color w:val="auto"/>
                <w:szCs w:val="21"/>
                <w:lang w:val="en-US" w:eastAsia="zh-CN"/>
              </w:rPr>
              <w:t>加热挤出过程中产生的颗粒物</w:t>
            </w:r>
            <w:r>
              <w:rPr>
                <w:rFonts w:hint="default" w:ascii="Times New Roman" w:hAnsi="Times New Roman" w:eastAsia="宋体" w:cs="Times New Roman"/>
                <w:b w:val="0"/>
                <w:bCs w:val="0"/>
                <w:color w:val="auto"/>
                <w:spacing w:val="-10"/>
                <w:sz w:val="21"/>
                <w:szCs w:val="21"/>
                <w:lang w:val="en-US" w:eastAsia="zh-CN"/>
              </w:rPr>
              <w:t>进行定量分析，只将其纳入验收监测中，因此本次评价注塑过程中只考虑产生的有机废气。</w:t>
            </w:r>
          </w:p>
          <w:p w14:paraId="0B3B583A">
            <w:pPr>
              <w:adjustRightInd w:val="0"/>
              <w:snapToGrid w:val="0"/>
              <w:spacing w:line="360" w:lineRule="auto"/>
              <w:ind w:firstLine="422" w:firstLineChars="200"/>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①</w:t>
            </w:r>
            <w:r>
              <w:rPr>
                <w:rFonts w:hint="default" w:ascii="Times New Roman" w:hAnsi="Times New Roman" w:eastAsia="宋体" w:cs="Times New Roman"/>
                <w:b/>
                <w:bCs w:val="0"/>
                <w:color w:val="auto"/>
                <w:sz w:val="21"/>
                <w:szCs w:val="21"/>
                <w:lang w:val="en-US" w:eastAsia="zh-CN"/>
              </w:rPr>
              <w:t>非甲烷总烃</w:t>
            </w:r>
          </w:p>
          <w:p w14:paraId="58907534">
            <w:pPr>
              <w:pStyle w:val="56"/>
              <w:spacing w:line="360" w:lineRule="auto"/>
              <w:ind w:firstLine="38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color w:val="auto"/>
                <w:spacing w:val="-10"/>
                <w:sz w:val="21"/>
                <w:szCs w:val="21"/>
                <w:lang w:eastAsia="zh-CN"/>
              </w:rPr>
              <w:t>根据</w:t>
            </w:r>
            <w:r>
              <w:rPr>
                <w:rFonts w:hint="default" w:ascii="Times New Roman" w:hAnsi="Times New Roman" w:eastAsia="宋体" w:cs="Times New Roman"/>
                <w:bCs/>
                <w:color w:val="auto"/>
                <w:spacing w:val="-10"/>
                <w:sz w:val="21"/>
                <w:szCs w:val="21"/>
              </w:rPr>
              <w:t>《排放源统计调查产排污核算方法和系数手册》中的292塑料制品行业系数手册中</w:t>
            </w:r>
            <w:r>
              <w:rPr>
                <w:rFonts w:hint="default" w:ascii="Times New Roman" w:hAnsi="Times New Roman" w:eastAsia="宋体" w:cs="Times New Roman"/>
                <w:bCs/>
                <w:color w:val="auto"/>
                <w:spacing w:val="-10"/>
                <w:sz w:val="21"/>
                <w:szCs w:val="21"/>
                <w:lang w:eastAsia="zh-CN"/>
              </w:rPr>
              <w:t>塑料零件及其他塑料制品制造行业系数表（续表1）中废气（</w:t>
            </w:r>
            <w:r>
              <w:rPr>
                <w:rFonts w:hint="default" w:ascii="Times New Roman" w:hAnsi="Times New Roman" w:eastAsia="宋体" w:cs="Times New Roman"/>
                <w:color w:val="auto"/>
                <w:sz w:val="21"/>
                <w:szCs w:val="21"/>
              </w:rPr>
              <w:t>以非甲烷总烃计</w:t>
            </w:r>
            <w:r>
              <w:rPr>
                <w:rFonts w:hint="default" w:ascii="Times New Roman" w:hAnsi="Times New Roman" w:eastAsia="宋体" w:cs="Times New Roman"/>
                <w:bCs/>
                <w:color w:val="auto"/>
                <w:spacing w:val="-10"/>
                <w:sz w:val="21"/>
                <w:szCs w:val="21"/>
                <w:lang w:eastAsia="zh-CN"/>
              </w:rPr>
              <w:t>）</w:t>
            </w:r>
            <w:r>
              <w:rPr>
                <w:rFonts w:hint="default" w:ascii="Times New Roman" w:hAnsi="Times New Roman" w:eastAsia="宋体" w:cs="Times New Roman"/>
                <w:bCs/>
                <w:color w:val="auto"/>
                <w:spacing w:val="-10"/>
                <w:sz w:val="21"/>
                <w:szCs w:val="21"/>
              </w:rPr>
              <w:t>产排污系数</w:t>
            </w:r>
            <w:r>
              <w:rPr>
                <w:rFonts w:hint="default" w:ascii="Times New Roman" w:hAnsi="Times New Roman" w:eastAsia="宋体" w:cs="Times New Roman"/>
                <w:bCs/>
                <w:color w:val="auto"/>
                <w:spacing w:val="-10"/>
                <w:sz w:val="21"/>
                <w:szCs w:val="21"/>
                <w:lang w:eastAsia="zh-CN"/>
              </w:rPr>
              <w:t>为</w:t>
            </w:r>
            <w:r>
              <w:rPr>
                <w:rFonts w:hint="default" w:ascii="Times New Roman" w:hAnsi="Times New Roman" w:eastAsia="宋体" w:cs="Times New Roman"/>
                <w:bCs/>
                <w:color w:val="auto"/>
                <w:spacing w:val="-10"/>
                <w:sz w:val="21"/>
                <w:szCs w:val="21"/>
                <w:lang w:val="en-US" w:eastAsia="zh-CN"/>
              </w:rPr>
              <w:t>2.7kg/吨－产品</w:t>
            </w:r>
            <w:r>
              <w:rPr>
                <w:rFonts w:hint="default" w:ascii="Times New Roman" w:hAnsi="Times New Roman" w:eastAsia="宋体" w:cs="Times New Roman"/>
                <w:bCs/>
                <w:color w:val="auto"/>
                <w:spacing w:val="-10"/>
                <w:sz w:val="21"/>
                <w:szCs w:val="21"/>
              </w:rPr>
              <w:t>，</w:t>
            </w:r>
            <w:r>
              <w:rPr>
                <w:rFonts w:hint="default" w:ascii="Times New Roman" w:hAnsi="Times New Roman" w:eastAsia="宋体" w:cs="Times New Roman"/>
                <w:bCs/>
                <w:color w:val="auto"/>
                <w:spacing w:val="-10"/>
                <w:sz w:val="21"/>
                <w:szCs w:val="21"/>
                <w:lang w:eastAsia="zh-CN"/>
              </w:rPr>
              <w:t>本项目</w:t>
            </w:r>
            <w:r>
              <w:rPr>
                <w:rFonts w:hint="default" w:ascii="Times New Roman" w:hAnsi="Times New Roman" w:eastAsia="宋体" w:cs="Times New Roman"/>
                <w:bCs/>
                <w:color w:val="auto"/>
                <w:spacing w:val="-10"/>
                <w:sz w:val="21"/>
                <w:szCs w:val="21"/>
                <w:lang w:val="en-US" w:eastAsia="zh-CN"/>
              </w:rPr>
              <w:t>塑料产品合计重量为</w:t>
            </w:r>
            <w:r>
              <w:rPr>
                <w:rFonts w:hint="eastAsia" w:ascii="Times New Roman" w:hAnsi="Times New Roman" w:cs="Times New Roman"/>
                <w:bCs/>
                <w:color w:val="auto"/>
                <w:spacing w:val="-10"/>
                <w:sz w:val="21"/>
                <w:szCs w:val="21"/>
                <w:lang w:val="en-US" w:eastAsia="zh-CN"/>
              </w:rPr>
              <w:t>440</w:t>
            </w:r>
            <w:r>
              <w:rPr>
                <w:rFonts w:hint="default" w:ascii="Times New Roman" w:hAnsi="Times New Roman" w:eastAsia="宋体" w:cs="Times New Roman"/>
                <w:color w:val="auto"/>
                <w:sz w:val="21"/>
                <w:szCs w:val="21"/>
              </w:rPr>
              <w:t>t</w:t>
            </w:r>
            <w:r>
              <w:rPr>
                <w:rFonts w:hint="default" w:ascii="Times New Roman" w:hAnsi="Times New Roman" w:eastAsia="宋体" w:cs="Times New Roman"/>
                <w:color w:val="auto"/>
                <w:sz w:val="21"/>
                <w:szCs w:val="21"/>
                <w:lang w:eastAsia="zh-CN"/>
              </w:rPr>
              <w:t>，则非甲烷总烃产生总量为</w:t>
            </w:r>
            <w:r>
              <w:rPr>
                <w:rFonts w:hint="eastAsia" w:ascii="Times New Roman" w:hAnsi="Times New Roman" w:cs="Times New Roman"/>
                <w:color w:val="auto"/>
                <w:sz w:val="21"/>
                <w:szCs w:val="21"/>
                <w:lang w:val="en-US" w:eastAsia="zh-CN"/>
              </w:rPr>
              <w:t>1.188t</w:t>
            </w:r>
            <w:r>
              <w:rPr>
                <w:rFonts w:hint="default" w:ascii="Times New Roman" w:hAnsi="Times New Roman" w:eastAsia="宋体" w:cs="Times New Roman"/>
                <w:color w:val="auto"/>
                <w:sz w:val="21"/>
                <w:szCs w:val="21"/>
                <w:lang w:val="en-US" w:eastAsia="zh-CN"/>
              </w:rPr>
              <w:t>/a。</w:t>
            </w:r>
          </w:p>
          <w:p w14:paraId="51E95424">
            <w:pPr>
              <w:pageBreakBefore w:val="0"/>
              <w:kinsoku/>
              <w:wordWrap/>
              <w:overflowPunct/>
              <w:topLinePunct w:val="0"/>
              <w:bidi w:val="0"/>
              <w:spacing w:line="360" w:lineRule="auto"/>
              <w:ind w:firstLine="422" w:firstLineChars="200"/>
              <w:contextualSpacing/>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kern w:val="2"/>
                <w:sz w:val="21"/>
                <w:szCs w:val="21"/>
                <w:lang w:val="en-US" w:eastAsia="zh-CN" w:bidi="ar-SA"/>
              </w:rPr>
              <w:t>②</w:t>
            </w:r>
            <w:r>
              <w:rPr>
                <w:rFonts w:hint="default" w:ascii="Times New Roman" w:hAnsi="Times New Roman" w:eastAsia="宋体" w:cs="Times New Roman"/>
                <w:b/>
                <w:bCs/>
                <w:color w:val="auto"/>
                <w:sz w:val="21"/>
                <w:szCs w:val="21"/>
                <w:lang w:val="en-US" w:eastAsia="zh-CN"/>
              </w:rPr>
              <w:t>苯乙烯、丙烯腈（ABS产生）</w:t>
            </w:r>
          </w:p>
          <w:p w14:paraId="14B76F26">
            <w:pPr>
              <w:spacing w:line="360" w:lineRule="auto"/>
              <w:ind w:firstLine="420" w:firstLineChars="200"/>
              <w:rPr>
                <w:rFonts w:ascii="Times New Roman" w:hAnsi="Times New Roman" w:cs="Times New Roman"/>
                <w:bCs/>
                <w:color w:val="auto"/>
                <w:sz w:val="21"/>
                <w:szCs w:val="21"/>
              </w:rPr>
            </w:pPr>
            <w:r>
              <w:rPr>
                <w:rFonts w:ascii="Times New Roman" w:hAnsi="Times New Roman" w:cs="Times New Roman"/>
                <w:bCs/>
                <w:color w:val="auto"/>
                <w:sz w:val="21"/>
                <w:szCs w:val="21"/>
              </w:rPr>
              <w:t>ABS材料在高温状态下热分解产生甲苯、乙苯、苯乙烯、丙烯腈、1,3-丁二烯，根据《阻燃ABS复合材料的制备及热分解性能》（复合材料学报，2013年第30卷第3期），ABS在380</w:t>
            </w:r>
            <w:r>
              <w:rPr>
                <w:rFonts w:hint="eastAsia" w:ascii="宋体" w:hAnsi="宋体" w:cs="宋体"/>
                <w:bCs/>
                <w:color w:val="auto"/>
                <w:sz w:val="21"/>
                <w:szCs w:val="21"/>
              </w:rPr>
              <w:t>℃</w:t>
            </w:r>
            <w:r>
              <w:rPr>
                <w:rFonts w:ascii="Times New Roman" w:hAnsi="Times New Roman" w:cs="Times New Roman"/>
                <w:bCs/>
                <w:color w:val="auto"/>
                <w:sz w:val="21"/>
                <w:szCs w:val="21"/>
              </w:rPr>
              <w:t>以上时，ABS大分子链才大量分解，ABS在200</w:t>
            </w:r>
            <w:r>
              <w:rPr>
                <w:rFonts w:hint="eastAsia" w:ascii="宋体" w:hAnsi="宋体" w:cs="宋体"/>
                <w:bCs/>
                <w:color w:val="auto"/>
                <w:sz w:val="21"/>
                <w:szCs w:val="21"/>
              </w:rPr>
              <w:t>℃</w:t>
            </w:r>
            <w:r>
              <w:rPr>
                <w:rFonts w:ascii="Times New Roman" w:hAnsi="Times New Roman" w:cs="Times New Roman"/>
                <w:bCs/>
                <w:color w:val="auto"/>
                <w:sz w:val="21"/>
                <w:szCs w:val="21"/>
              </w:rPr>
              <w:t>时，基本无失重现象，但在加工过程中ABS树脂仍可能会逸散少量的苯乙烯、丙烯腈、乙苯、甲苯和1,3-丁二烯。根据“李丽.丙烯腈一丁二烯一苯乙烯塑料残留单体含量的研究[J].炼油与化工</w:t>
            </w:r>
            <w:r>
              <w:rPr>
                <w:rFonts w:hint="eastAsia" w:ascii="Times New Roman" w:hAnsi="Times New Roman" w:cs="Times New Roman"/>
                <w:bCs/>
                <w:color w:val="auto"/>
                <w:sz w:val="21"/>
                <w:szCs w:val="21"/>
              </w:rPr>
              <w:t>，</w:t>
            </w:r>
            <w:r>
              <w:rPr>
                <w:rFonts w:ascii="Times New Roman" w:hAnsi="Times New Roman" w:cs="Times New Roman"/>
                <w:bCs/>
                <w:color w:val="auto"/>
                <w:sz w:val="21"/>
                <w:szCs w:val="21"/>
              </w:rPr>
              <w:t>2016</w:t>
            </w:r>
            <w:r>
              <w:rPr>
                <w:rFonts w:hint="eastAsia" w:ascii="Times New Roman" w:hAnsi="Times New Roman" w:cs="Times New Roman"/>
                <w:bCs/>
                <w:color w:val="auto"/>
                <w:sz w:val="21"/>
                <w:szCs w:val="21"/>
              </w:rPr>
              <w:t>，</w:t>
            </w:r>
            <w:r>
              <w:rPr>
                <w:rFonts w:ascii="Times New Roman" w:hAnsi="Times New Roman" w:cs="Times New Roman"/>
                <w:bCs/>
                <w:color w:val="auto"/>
                <w:sz w:val="21"/>
                <w:szCs w:val="21"/>
              </w:rPr>
              <w:t>27(6):62-63.DOI:10.3969/j.issn.1671-4962.2016.06.023.”，</w:t>
            </w:r>
            <w:r>
              <w:rPr>
                <w:rFonts w:hint="eastAsia" w:ascii="Times New Roman" w:hAnsi="Times New Roman" w:cs="Times New Roman"/>
                <w:bCs/>
                <w:color w:val="auto"/>
                <w:sz w:val="21"/>
                <w:szCs w:val="21"/>
              </w:rPr>
              <w:t>本项目</w:t>
            </w:r>
            <w:r>
              <w:rPr>
                <w:rFonts w:ascii="Times New Roman" w:hAnsi="Times New Roman" w:cs="Times New Roman"/>
                <w:bCs/>
                <w:color w:val="auto"/>
                <w:sz w:val="21"/>
                <w:szCs w:val="21"/>
              </w:rPr>
              <w:t>ABS熔融挥发的乙苯、苯乙烯、丙烯腈分别为15.34mg/kg、25.55mg/kg、10.63mg/kg；根据“《丙烯腈-丁二烯-苯乙烯（ABS）塑料中残留单体的溶解沉淀-气相色谱法测定》（袁丽凤，邬蓓蕾等，分析测试学报[J].2008(27</w:t>
            </w:r>
            <w:r>
              <w:rPr>
                <w:rFonts w:hint="eastAsia" w:ascii="Times New Roman" w:hAnsi="Times New Roman" w:cs="Times New Roman"/>
                <w:bCs/>
                <w:color w:val="auto"/>
                <w:sz w:val="21"/>
                <w:szCs w:val="21"/>
                <w:lang w:eastAsia="zh-CN"/>
              </w:rPr>
              <w:t>）</w:t>
            </w:r>
            <w:r>
              <w:rPr>
                <w:rFonts w:ascii="Times New Roman" w:hAnsi="Times New Roman" w:cs="Times New Roman"/>
                <w:bCs/>
                <w:color w:val="auto"/>
                <w:sz w:val="21"/>
                <w:szCs w:val="21"/>
              </w:rPr>
              <w:t>：1095-1098）”，</w:t>
            </w:r>
            <w:r>
              <w:rPr>
                <w:rFonts w:hint="eastAsia" w:ascii="Times New Roman" w:hAnsi="Times New Roman" w:cs="Times New Roman"/>
                <w:bCs/>
                <w:color w:val="auto"/>
                <w:sz w:val="21"/>
                <w:szCs w:val="21"/>
              </w:rPr>
              <w:t>本项目</w:t>
            </w:r>
            <w:r>
              <w:rPr>
                <w:rFonts w:ascii="Times New Roman" w:hAnsi="Times New Roman" w:cs="Times New Roman"/>
                <w:bCs/>
                <w:color w:val="auto"/>
                <w:sz w:val="21"/>
                <w:szCs w:val="21"/>
              </w:rPr>
              <w:t>ABS熔融挥发的甲苯为32.9mg/kg；根据“陈旭明</w:t>
            </w:r>
            <w:r>
              <w:rPr>
                <w:rFonts w:hint="eastAsia" w:ascii="Times New Roman" w:hAnsi="Times New Roman" w:cs="Times New Roman"/>
                <w:bCs/>
                <w:color w:val="auto"/>
                <w:sz w:val="21"/>
                <w:szCs w:val="21"/>
                <w:lang w:eastAsia="zh-CN"/>
              </w:rPr>
              <w:t>，</w:t>
            </w:r>
            <w:r>
              <w:rPr>
                <w:rFonts w:ascii="Times New Roman" w:hAnsi="Times New Roman" w:cs="Times New Roman"/>
                <w:bCs/>
                <w:color w:val="auto"/>
                <w:sz w:val="21"/>
                <w:szCs w:val="21"/>
              </w:rPr>
              <w:t>刘贵深</w:t>
            </w:r>
            <w:r>
              <w:rPr>
                <w:rFonts w:hint="eastAsia" w:ascii="Times New Roman" w:hAnsi="Times New Roman" w:cs="Times New Roman"/>
                <w:bCs/>
                <w:color w:val="auto"/>
                <w:sz w:val="21"/>
                <w:szCs w:val="21"/>
                <w:lang w:eastAsia="zh-CN"/>
              </w:rPr>
              <w:t>，</w:t>
            </w:r>
            <w:r>
              <w:rPr>
                <w:rFonts w:ascii="Times New Roman" w:hAnsi="Times New Roman" w:cs="Times New Roman"/>
                <w:bCs/>
                <w:color w:val="auto"/>
                <w:sz w:val="21"/>
                <w:szCs w:val="21"/>
              </w:rPr>
              <w:t>候晓东.PS和ABS制品中1,3-丁二烯残留量的测定[J].塑料包装,2018,28(03):29-32.”，</w:t>
            </w:r>
            <w:r>
              <w:rPr>
                <w:rFonts w:hint="eastAsia" w:ascii="Times New Roman" w:hAnsi="Times New Roman" w:cs="Times New Roman"/>
                <w:bCs/>
                <w:color w:val="auto"/>
                <w:sz w:val="21"/>
                <w:szCs w:val="21"/>
              </w:rPr>
              <w:t>本项目</w:t>
            </w:r>
            <w:r>
              <w:rPr>
                <w:rFonts w:ascii="Times New Roman" w:hAnsi="Times New Roman" w:cs="Times New Roman"/>
                <w:bCs/>
                <w:color w:val="auto"/>
                <w:sz w:val="21"/>
                <w:szCs w:val="21"/>
              </w:rPr>
              <w:t>ABS熔融挥发的1,3-丁二烯为4.31mg/kg。</w:t>
            </w:r>
          </w:p>
          <w:p w14:paraId="1E32EAF7">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根据</w:t>
            </w:r>
            <w:r>
              <w:rPr>
                <w:rFonts w:ascii="宋体" w:hAnsi="宋体" w:cs="宋体"/>
                <w:color w:val="auto"/>
                <w:sz w:val="21"/>
                <w:szCs w:val="21"/>
              </w:rPr>
              <w:t>原辅材料消耗情况，以及上述污染物</w:t>
            </w:r>
            <w:r>
              <w:rPr>
                <w:rFonts w:hint="eastAsia" w:ascii="宋体" w:hAnsi="宋体" w:cs="宋体"/>
                <w:color w:val="auto"/>
                <w:sz w:val="21"/>
                <w:szCs w:val="21"/>
              </w:rPr>
              <w:t>产生</w:t>
            </w:r>
            <w:r>
              <w:rPr>
                <w:rFonts w:ascii="宋体" w:hAnsi="宋体" w:cs="宋体"/>
                <w:color w:val="auto"/>
                <w:sz w:val="21"/>
                <w:szCs w:val="21"/>
              </w:rPr>
              <w:t>情况，</w:t>
            </w:r>
            <w:r>
              <w:rPr>
                <w:rFonts w:hint="eastAsia" w:ascii="宋体" w:hAnsi="宋体" w:cs="宋体"/>
                <w:color w:val="auto"/>
                <w:sz w:val="21"/>
                <w:szCs w:val="21"/>
              </w:rPr>
              <w:t>本项目生产过程</w:t>
            </w:r>
            <w:r>
              <w:rPr>
                <w:rFonts w:ascii="宋体" w:hAnsi="宋体" w:cs="宋体"/>
                <w:color w:val="auto"/>
                <w:sz w:val="21"/>
                <w:szCs w:val="21"/>
              </w:rPr>
              <w:t>污染物的</w:t>
            </w:r>
            <w:r>
              <w:rPr>
                <w:rFonts w:hint="eastAsia" w:ascii="宋体" w:hAnsi="宋体" w:cs="宋体"/>
                <w:color w:val="auto"/>
                <w:sz w:val="21"/>
                <w:szCs w:val="21"/>
              </w:rPr>
              <w:t>产生</w:t>
            </w:r>
            <w:r>
              <w:rPr>
                <w:rFonts w:ascii="宋体" w:hAnsi="宋体" w:cs="宋体"/>
                <w:color w:val="auto"/>
                <w:sz w:val="21"/>
                <w:szCs w:val="21"/>
              </w:rPr>
              <w:t>情况见</w:t>
            </w:r>
            <w:r>
              <w:rPr>
                <w:rFonts w:hint="eastAsia" w:ascii="宋体" w:hAnsi="宋体" w:cs="宋体"/>
                <w:color w:val="auto"/>
                <w:sz w:val="21"/>
                <w:szCs w:val="21"/>
              </w:rPr>
              <w:t>下表</w:t>
            </w:r>
            <w:r>
              <w:rPr>
                <w:rFonts w:ascii="宋体" w:hAnsi="宋体" w:cs="宋体"/>
                <w:color w:val="auto"/>
                <w:sz w:val="21"/>
                <w:szCs w:val="21"/>
              </w:rPr>
              <w:t>。</w:t>
            </w:r>
          </w:p>
          <w:p w14:paraId="459547E1">
            <w:pPr>
              <w:pStyle w:val="63"/>
              <w:widowControl/>
              <w:adjustRightInd w:val="0"/>
              <w:snapToGrid w:val="0"/>
              <w:spacing w:before="156" w:beforeLines="50" w:line="240" w:lineRule="auto"/>
              <w:ind w:firstLine="0" w:firstLineChars="0"/>
              <w:jc w:val="center"/>
              <w:rPr>
                <w:rFonts w:ascii="Times New Roman" w:hAnsi="Times New Roman" w:cs="Times New Roman"/>
                <w:b/>
                <w:bCs/>
                <w:color w:val="auto"/>
                <w:kern w:val="0"/>
                <w:sz w:val="21"/>
                <w:szCs w:val="21"/>
              </w:rPr>
            </w:pPr>
            <w:r>
              <w:rPr>
                <w:rFonts w:ascii="Times New Roman" w:hAnsi="Times New Roman" w:cs="Times New Roman"/>
                <w:b/>
                <w:bCs/>
                <w:color w:val="auto"/>
                <w:kern w:val="0"/>
                <w:sz w:val="21"/>
                <w:szCs w:val="21"/>
              </w:rPr>
              <w:t>表4-</w:t>
            </w:r>
            <w:r>
              <w:rPr>
                <w:rFonts w:hint="eastAsia" w:ascii="Times New Roman" w:hAnsi="Times New Roman" w:cs="Times New Roman"/>
                <w:b/>
                <w:bCs/>
                <w:color w:val="auto"/>
                <w:kern w:val="0"/>
                <w:sz w:val="21"/>
                <w:szCs w:val="21"/>
                <w:lang w:val="en-US" w:eastAsia="zh-CN"/>
              </w:rPr>
              <w:t>1</w:t>
            </w:r>
            <w:r>
              <w:rPr>
                <w:rFonts w:ascii="Times New Roman" w:hAnsi="Times New Roman" w:cs="Times New Roman"/>
                <w:b/>
                <w:bCs/>
                <w:color w:val="auto"/>
                <w:kern w:val="0"/>
                <w:sz w:val="21"/>
                <w:szCs w:val="21"/>
              </w:rPr>
              <w:t xml:space="preserve"> </w:t>
            </w:r>
            <w:r>
              <w:rPr>
                <w:rFonts w:hint="eastAsia" w:ascii="Times New Roman" w:hAnsi="Times New Roman" w:cs="Times New Roman"/>
                <w:b/>
                <w:bCs/>
                <w:color w:val="auto"/>
                <w:kern w:val="0"/>
                <w:sz w:val="21"/>
                <w:szCs w:val="21"/>
                <w:lang w:val="en-US" w:eastAsia="zh-CN"/>
              </w:rPr>
              <w:t xml:space="preserve"> </w:t>
            </w:r>
            <w:r>
              <w:rPr>
                <w:rFonts w:hint="eastAsia" w:ascii="Times New Roman" w:hAnsi="Times New Roman" w:cs="Times New Roman"/>
                <w:b/>
                <w:bCs/>
                <w:color w:val="auto"/>
                <w:kern w:val="0"/>
                <w:sz w:val="21"/>
                <w:szCs w:val="21"/>
              </w:rPr>
              <w:t>项目</w:t>
            </w:r>
            <w:r>
              <w:rPr>
                <w:rFonts w:ascii="Times New Roman" w:hAnsi="Times New Roman" w:cs="Times New Roman"/>
                <w:b/>
                <w:bCs/>
                <w:color w:val="auto"/>
                <w:kern w:val="0"/>
                <w:sz w:val="21"/>
                <w:szCs w:val="21"/>
              </w:rPr>
              <w:t>污染物产生情况表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37"/>
              <w:gridCol w:w="2567"/>
              <w:gridCol w:w="1759"/>
              <w:gridCol w:w="1826"/>
            </w:tblGrid>
            <w:tr w14:paraId="17230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3" w:hRule="atLeast"/>
                <w:jc w:val="center"/>
              </w:trPr>
              <w:tc>
                <w:tcPr>
                  <w:tcW w:w="1197" w:type="pct"/>
                  <w:noWrap w:val="0"/>
                  <w:vAlign w:val="center"/>
                </w:tcPr>
                <w:p w14:paraId="0352CADA">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污染物</w:t>
                  </w:r>
                  <w:r>
                    <w:rPr>
                      <w:rFonts w:ascii="Times New Roman" w:hAnsi="Times New Roman" w:eastAsia="宋体" w:cs="Times New Roman"/>
                      <w:bCs/>
                      <w:color w:val="auto"/>
                      <w:kern w:val="0"/>
                      <w:sz w:val="18"/>
                      <w:szCs w:val="18"/>
                      <w:lang w:val="en-US" w:eastAsia="zh-CN" w:bidi="ar-SA"/>
                    </w:rPr>
                    <w:t>种类</w:t>
                  </w:r>
                </w:p>
              </w:tc>
              <w:tc>
                <w:tcPr>
                  <w:tcW w:w="1586" w:type="pct"/>
                  <w:noWrap w:val="0"/>
                  <w:vAlign w:val="center"/>
                </w:tcPr>
                <w:p w14:paraId="125778C7">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来源</w:t>
                  </w:r>
                </w:p>
              </w:tc>
              <w:tc>
                <w:tcPr>
                  <w:tcW w:w="1087" w:type="pct"/>
                  <w:noWrap w:val="0"/>
                  <w:vAlign w:val="center"/>
                </w:tcPr>
                <w:p w14:paraId="7AF1CF84">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污染物产生</w:t>
                  </w:r>
                  <w:r>
                    <w:rPr>
                      <w:rFonts w:ascii="Times New Roman" w:hAnsi="Times New Roman" w:eastAsia="宋体" w:cs="Times New Roman"/>
                      <w:bCs/>
                      <w:color w:val="auto"/>
                      <w:kern w:val="0"/>
                      <w:sz w:val="18"/>
                      <w:szCs w:val="18"/>
                      <w:lang w:val="en-US" w:eastAsia="zh-CN" w:bidi="ar-SA"/>
                    </w:rPr>
                    <w:t>系数</w:t>
                  </w:r>
                </w:p>
              </w:tc>
              <w:tc>
                <w:tcPr>
                  <w:tcW w:w="1128" w:type="pct"/>
                  <w:noWrap w:val="0"/>
                  <w:vAlign w:val="center"/>
                </w:tcPr>
                <w:p w14:paraId="7D0483E4">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污染物</w:t>
                  </w:r>
                  <w:r>
                    <w:rPr>
                      <w:rFonts w:ascii="Times New Roman" w:hAnsi="Times New Roman" w:eastAsia="宋体" w:cs="Times New Roman"/>
                      <w:bCs/>
                      <w:color w:val="auto"/>
                      <w:kern w:val="0"/>
                      <w:sz w:val="18"/>
                      <w:szCs w:val="18"/>
                      <w:lang w:val="en-US" w:eastAsia="zh-CN" w:bidi="ar-SA"/>
                    </w:rPr>
                    <w:t>产生量</w:t>
                  </w:r>
                  <w:r>
                    <w:rPr>
                      <w:rFonts w:hint="eastAsia" w:ascii="Times New Roman" w:hAnsi="Times New Roman" w:eastAsia="宋体" w:cs="Times New Roman"/>
                      <w:bCs/>
                      <w:color w:val="auto"/>
                      <w:kern w:val="0"/>
                      <w:sz w:val="18"/>
                      <w:szCs w:val="18"/>
                      <w:lang w:val="en-US" w:eastAsia="zh-CN" w:bidi="ar-SA"/>
                    </w:rPr>
                    <w:t>t/a</w:t>
                  </w:r>
                </w:p>
              </w:tc>
            </w:tr>
            <w:tr w14:paraId="20061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3" w:hRule="atLeast"/>
                <w:jc w:val="center"/>
              </w:trPr>
              <w:tc>
                <w:tcPr>
                  <w:tcW w:w="1197" w:type="pct"/>
                  <w:noWrap w:val="0"/>
                  <w:vAlign w:val="center"/>
                </w:tcPr>
                <w:p w14:paraId="7BE7F4C0">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非甲烷</w:t>
                  </w:r>
                  <w:r>
                    <w:rPr>
                      <w:rFonts w:ascii="Times New Roman" w:hAnsi="Times New Roman" w:eastAsia="宋体" w:cs="Times New Roman"/>
                      <w:bCs/>
                      <w:color w:val="auto"/>
                      <w:kern w:val="0"/>
                      <w:sz w:val="18"/>
                      <w:szCs w:val="18"/>
                      <w:lang w:val="en-US" w:eastAsia="zh-CN" w:bidi="ar-SA"/>
                    </w:rPr>
                    <w:t>总烃</w:t>
                  </w:r>
                </w:p>
              </w:tc>
              <w:tc>
                <w:tcPr>
                  <w:tcW w:w="1586" w:type="pct"/>
                  <w:noWrap w:val="0"/>
                  <w:vAlign w:val="center"/>
                </w:tcPr>
                <w:p w14:paraId="36E8B80E">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ascii="Times New Roman" w:hAnsi="Times New Roman" w:eastAsia="宋体" w:cs="Times New Roman"/>
                      <w:bCs/>
                      <w:color w:val="auto"/>
                      <w:kern w:val="0"/>
                      <w:sz w:val="18"/>
                      <w:szCs w:val="18"/>
                      <w:lang w:val="en-US" w:eastAsia="zh-CN" w:bidi="ar-SA"/>
                    </w:rPr>
                    <w:t>ABS</w:t>
                  </w:r>
                </w:p>
              </w:tc>
              <w:tc>
                <w:tcPr>
                  <w:tcW w:w="1087" w:type="pct"/>
                  <w:noWrap w:val="0"/>
                  <w:vAlign w:val="center"/>
                </w:tcPr>
                <w:p w14:paraId="7B29243D">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2.7</w:t>
                  </w:r>
                  <w:r>
                    <w:rPr>
                      <w:rFonts w:ascii="Times New Roman" w:hAnsi="Times New Roman" w:eastAsia="宋体" w:cs="Times New Roman"/>
                      <w:bCs/>
                      <w:color w:val="auto"/>
                      <w:kern w:val="0"/>
                      <w:sz w:val="18"/>
                      <w:szCs w:val="18"/>
                      <w:lang w:val="en-US" w:eastAsia="zh-CN" w:bidi="ar-SA"/>
                    </w:rPr>
                    <w:t>kg/t-</w:t>
                  </w:r>
                  <w:r>
                    <w:rPr>
                      <w:rFonts w:hint="eastAsia" w:ascii="Times New Roman" w:hAnsi="Times New Roman" w:eastAsia="宋体" w:cs="Times New Roman"/>
                      <w:bCs/>
                      <w:color w:val="auto"/>
                      <w:kern w:val="0"/>
                      <w:sz w:val="18"/>
                      <w:szCs w:val="18"/>
                      <w:lang w:val="en-US" w:eastAsia="zh-CN" w:bidi="ar-SA"/>
                    </w:rPr>
                    <w:t>产品</w:t>
                  </w:r>
                </w:p>
              </w:tc>
              <w:tc>
                <w:tcPr>
                  <w:tcW w:w="1826" w:type="dxa"/>
                  <w:noWrap w:val="0"/>
                  <w:vAlign w:val="center"/>
                </w:tcPr>
                <w:p w14:paraId="310183BF">
                  <w:pPr>
                    <w:widowControl/>
                    <w:adjustRightInd w:val="0"/>
                    <w:snapToGrid w:val="0"/>
                    <w:spacing w:beforeLines="0" w:afterLines="0" w:line="240" w:lineRule="auto"/>
                    <w:jc w:val="center"/>
                    <w:rPr>
                      <w:rFonts w:hint="default"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1.188</w:t>
                  </w:r>
                </w:p>
              </w:tc>
            </w:tr>
            <w:tr w14:paraId="17B42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3" w:hRule="atLeast"/>
                <w:jc w:val="center"/>
              </w:trPr>
              <w:tc>
                <w:tcPr>
                  <w:tcW w:w="1197" w:type="pct"/>
                  <w:noWrap w:val="0"/>
                  <w:vAlign w:val="center"/>
                </w:tcPr>
                <w:p w14:paraId="6BC3E265">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甲苯</w:t>
                  </w:r>
                </w:p>
              </w:tc>
              <w:tc>
                <w:tcPr>
                  <w:tcW w:w="1586" w:type="pct"/>
                  <w:vMerge w:val="restart"/>
                  <w:noWrap w:val="0"/>
                  <w:vAlign w:val="center"/>
                </w:tcPr>
                <w:p w14:paraId="14E6B231">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ABS</w:t>
                  </w:r>
                </w:p>
              </w:tc>
              <w:tc>
                <w:tcPr>
                  <w:tcW w:w="1087" w:type="pct"/>
                  <w:noWrap w:val="0"/>
                  <w:vAlign w:val="center"/>
                </w:tcPr>
                <w:p w14:paraId="2EDD74BD">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32.9</w:t>
                  </w:r>
                  <w:r>
                    <w:rPr>
                      <w:rFonts w:ascii="Times New Roman" w:hAnsi="Times New Roman" w:eastAsia="宋体" w:cs="Times New Roman"/>
                      <w:bCs/>
                      <w:color w:val="auto"/>
                      <w:kern w:val="0"/>
                      <w:sz w:val="18"/>
                      <w:szCs w:val="18"/>
                      <w:lang w:val="en-US" w:eastAsia="zh-CN" w:bidi="ar-SA"/>
                    </w:rPr>
                    <w:t>mg/kg</w:t>
                  </w:r>
                  <w:r>
                    <w:rPr>
                      <w:rFonts w:hint="eastAsia" w:ascii="Times New Roman" w:hAnsi="Times New Roman" w:eastAsia="宋体" w:cs="Times New Roman"/>
                      <w:bCs/>
                      <w:color w:val="auto"/>
                      <w:kern w:val="0"/>
                      <w:sz w:val="18"/>
                      <w:szCs w:val="18"/>
                      <w:lang w:val="en-US" w:eastAsia="zh-CN" w:bidi="ar-SA"/>
                    </w:rPr>
                    <w:t>－</w:t>
                  </w:r>
                  <w:r>
                    <w:rPr>
                      <w:rFonts w:ascii="Times New Roman" w:hAnsi="Times New Roman" w:eastAsia="宋体" w:cs="Times New Roman"/>
                      <w:bCs/>
                      <w:color w:val="auto"/>
                      <w:kern w:val="0"/>
                      <w:sz w:val="18"/>
                      <w:szCs w:val="18"/>
                      <w:lang w:val="en-US" w:eastAsia="zh-CN" w:bidi="ar-SA"/>
                    </w:rPr>
                    <w:t>原料</w:t>
                  </w:r>
                </w:p>
              </w:tc>
              <w:tc>
                <w:tcPr>
                  <w:tcW w:w="1826" w:type="dxa"/>
                  <w:noWrap w:val="0"/>
                  <w:vAlign w:val="center"/>
                </w:tcPr>
                <w:p w14:paraId="405B687C">
                  <w:pPr>
                    <w:widowControl/>
                    <w:adjustRightInd w:val="0"/>
                    <w:snapToGrid w:val="0"/>
                    <w:spacing w:beforeLines="0" w:afterLines="0" w:line="240" w:lineRule="auto"/>
                    <w:jc w:val="center"/>
                    <w:rPr>
                      <w:rFonts w:hint="eastAsia"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0.014</w:t>
                  </w:r>
                </w:p>
              </w:tc>
            </w:tr>
            <w:tr w14:paraId="6D1FE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3" w:hRule="atLeast"/>
                <w:jc w:val="center"/>
              </w:trPr>
              <w:tc>
                <w:tcPr>
                  <w:tcW w:w="1197" w:type="pct"/>
                  <w:noWrap w:val="0"/>
                  <w:vAlign w:val="center"/>
                </w:tcPr>
                <w:p w14:paraId="6A07CFC7">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乙苯</w:t>
                  </w:r>
                </w:p>
              </w:tc>
              <w:tc>
                <w:tcPr>
                  <w:tcW w:w="1586" w:type="pct"/>
                  <w:vMerge w:val="continue"/>
                  <w:noWrap w:val="0"/>
                  <w:vAlign w:val="center"/>
                </w:tcPr>
                <w:p w14:paraId="66652592">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p>
              </w:tc>
              <w:tc>
                <w:tcPr>
                  <w:tcW w:w="1087" w:type="pct"/>
                  <w:noWrap w:val="0"/>
                  <w:vAlign w:val="center"/>
                </w:tcPr>
                <w:p w14:paraId="18C2517C">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15.34</w:t>
                  </w:r>
                  <w:r>
                    <w:rPr>
                      <w:rFonts w:ascii="Times New Roman" w:hAnsi="Times New Roman" w:eastAsia="宋体" w:cs="Times New Roman"/>
                      <w:bCs/>
                      <w:color w:val="auto"/>
                      <w:kern w:val="0"/>
                      <w:sz w:val="18"/>
                      <w:szCs w:val="18"/>
                      <w:lang w:val="en-US" w:eastAsia="zh-CN" w:bidi="ar-SA"/>
                    </w:rPr>
                    <w:t>mg/kg</w:t>
                  </w:r>
                  <w:r>
                    <w:rPr>
                      <w:rFonts w:hint="eastAsia" w:ascii="Times New Roman" w:hAnsi="Times New Roman" w:eastAsia="宋体" w:cs="Times New Roman"/>
                      <w:bCs/>
                      <w:color w:val="auto"/>
                      <w:kern w:val="0"/>
                      <w:sz w:val="18"/>
                      <w:szCs w:val="18"/>
                      <w:lang w:val="en-US" w:eastAsia="zh-CN" w:bidi="ar-SA"/>
                    </w:rPr>
                    <w:t>－</w:t>
                  </w:r>
                  <w:r>
                    <w:rPr>
                      <w:rFonts w:ascii="Times New Roman" w:hAnsi="Times New Roman" w:eastAsia="宋体" w:cs="Times New Roman"/>
                      <w:bCs/>
                      <w:color w:val="auto"/>
                      <w:kern w:val="0"/>
                      <w:sz w:val="18"/>
                      <w:szCs w:val="18"/>
                      <w:lang w:val="en-US" w:eastAsia="zh-CN" w:bidi="ar-SA"/>
                    </w:rPr>
                    <w:t>原料</w:t>
                  </w:r>
                </w:p>
              </w:tc>
              <w:tc>
                <w:tcPr>
                  <w:tcW w:w="1826" w:type="dxa"/>
                  <w:noWrap w:val="0"/>
                  <w:vAlign w:val="center"/>
                </w:tcPr>
                <w:p w14:paraId="5E1D04F8">
                  <w:pPr>
                    <w:widowControl/>
                    <w:adjustRightInd w:val="0"/>
                    <w:snapToGrid w:val="0"/>
                    <w:spacing w:beforeLines="0" w:afterLines="0" w:line="240" w:lineRule="auto"/>
                    <w:jc w:val="center"/>
                    <w:rPr>
                      <w:rFonts w:hint="eastAsia"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0.007</w:t>
                  </w:r>
                </w:p>
              </w:tc>
            </w:tr>
            <w:tr w14:paraId="1CCC2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3" w:hRule="atLeast"/>
                <w:jc w:val="center"/>
              </w:trPr>
              <w:tc>
                <w:tcPr>
                  <w:tcW w:w="1197" w:type="pct"/>
                  <w:noWrap w:val="0"/>
                  <w:vAlign w:val="center"/>
                </w:tcPr>
                <w:p w14:paraId="2ED174C0">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苯乙烯</w:t>
                  </w:r>
                </w:p>
              </w:tc>
              <w:tc>
                <w:tcPr>
                  <w:tcW w:w="1586" w:type="pct"/>
                  <w:vMerge w:val="continue"/>
                  <w:noWrap w:val="0"/>
                  <w:vAlign w:val="center"/>
                </w:tcPr>
                <w:p w14:paraId="1FA7E6A2">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p>
              </w:tc>
              <w:tc>
                <w:tcPr>
                  <w:tcW w:w="1087" w:type="pct"/>
                  <w:noWrap w:val="0"/>
                  <w:vAlign w:val="center"/>
                </w:tcPr>
                <w:p w14:paraId="4412FD66">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25.55</w:t>
                  </w:r>
                  <w:r>
                    <w:rPr>
                      <w:rFonts w:ascii="Times New Roman" w:hAnsi="Times New Roman" w:eastAsia="宋体" w:cs="Times New Roman"/>
                      <w:bCs/>
                      <w:color w:val="auto"/>
                      <w:kern w:val="0"/>
                      <w:sz w:val="18"/>
                      <w:szCs w:val="18"/>
                      <w:lang w:val="en-US" w:eastAsia="zh-CN" w:bidi="ar-SA"/>
                    </w:rPr>
                    <w:t>mg/kg</w:t>
                  </w:r>
                  <w:r>
                    <w:rPr>
                      <w:rFonts w:hint="eastAsia" w:ascii="Times New Roman" w:hAnsi="Times New Roman" w:eastAsia="宋体" w:cs="Times New Roman"/>
                      <w:bCs/>
                      <w:color w:val="auto"/>
                      <w:kern w:val="0"/>
                      <w:sz w:val="18"/>
                      <w:szCs w:val="18"/>
                      <w:lang w:val="en-US" w:eastAsia="zh-CN" w:bidi="ar-SA"/>
                    </w:rPr>
                    <w:t>－</w:t>
                  </w:r>
                  <w:r>
                    <w:rPr>
                      <w:rFonts w:ascii="Times New Roman" w:hAnsi="Times New Roman" w:eastAsia="宋体" w:cs="Times New Roman"/>
                      <w:bCs/>
                      <w:color w:val="auto"/>
                      <w:kern w:val="0"/>
                      <w:sz w:val="18"/>
                      <w:szCs w:val="18"/>
                      <w:lang w:val="en-US" w:eastAsia="zh-CN" w:bidi="ar-SA"/>
                    </w:rPr>
                    <w:t>原料</w:t>
                  </w:r>
                </w:p>
              </w:tc>
              <w:tc>
                <w:tcPr>
                  <w:tcW w:w="1826" w:type="dxa"/>
                  <w:noWrap w:val="0"/>
                  <w:vAlign w:val="center"/>
                </w:tcPr>
                <w:p w14:paraId="5BD4F1D5">
                  <w:pPr>
                    <w:widowControl/>
                    <w:adjustRightInd w:val="0"/>
                    <w:snapToGrid w:val="0"/>
                    <w:spacing w:beforeLines="0" w:afterLines="0" w:line="240" w:lineRule="auto"/>
                    <w:jc w:val="center"/>
                    <w:rPr>
                      <w:rFonts w:hint="eastAsia"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0.011</w:t>
                  </w:r>
                </w:p>
              </w:tc>
            </w:tr>
            <w:tr w14:paraId="30CD4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3" w:hRule="atLeast"/>
                <w:jc w:val="center"/>
              </w:trPr>
              <w:tc>
                <w:tcPr>
                  <w:tcW w:w="1197" w:type="pct"/>
                  <w:noWrap w:val="0"/>
                  <w:vAlign w:val="center"/>
                </w:tcPr>
                <w:p w14:paraId="344833D9">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丙烯腈</w:t>
                  </w:r>
                </w:p>
              </w:tc>
              <w:tc>
                <w:tcPr>
                  <w:tcW w:w="1586" w:type="pct"/>
                  <w:vMerge w:val="continue"/>
                  <w:noWrap w:val="0"/>
                  <w:vAlign w:val="center"/>
                </w:tcPr>
                <w:p w14:paraId="40EB57F8">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p>
              </w:tc>
              <w:tc>
                <w:tcPr>
                  <w:tcW w:w="1087" w:type="pct"/>
                  <w:noWrap w:val="0"/>
                  <w:vAlign w:val="center"/>
                </w:tcPr>
                <w:p w14:paraId="1B2BE232">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10.63</w:t>
                  </w:r>
                  <w:r>
                    <w:rPr>
                      <w:rFonts w:ascii="Times New Roman" w:hAnsi="Times New Roman" w:eastAsia="宋体" w:cs="Times New Roman"/>
                      <w:bCs/>
                      <w:color w:val="auto"/>
                      <w:kern w:val="0"/>
                      <w:sz w:val="18"/>
                      <w:szCs w:val="18"/>
                      <w:lang w:val="en-US" w:eastAsia="zh-CN" w:bidi="ar-SA"/>
                    </w:rPr>
                    <w:t>mg/kg</w:t>
                  </w:r>
                  <w:r>
                    <w:rPr>
                      <w:rFonts w:hint="eastAsia" w:ascii="Times New Roman" w:hAnsi="Times New Roman" w:eastAsia="宋体" w:cs="Times New Roman"/>
                      <w:bCs/>
                      <w:color w:val="auto"/>
                      <w:kern w:val="0"/>
                      <w:sz w:val="18"/>
                      <w:szCs w:val="18"/>
                      <w:lang w:val="en-US" w:eastAsia="zh-CN" w:bidi="ar-SA"/>
                    </w:rPr>
                    <w:t>－</w:t>
                  </w:r>
                  <w:r>
                    <w:rPr>
                      <w:rFonts w:ascii="Times New Roman" w:hAnsi="Times New Roman" w:eastAsia="宋体" w:cs="Times New Roman"/>
                      <w:bCs/>
                      <w:color w:val="auto"/>
                      <w:kern w:val="0"/>
                      <w:sz w:val="18"/>
                      <w:szCs w:val="18"/>
                      <w:lang w:val="en-US" w:eastAsia="zh-CN" w:bidi="ar-SA"/>
                    </w:rPr>
                    <w:t>原料</w:t>
                  </w:r>
                </w:p>
              </w:tc>
              <w:tc>
                <w:tcPr>
                  <w:tcW w:w="1826" w:type="dxa"/>
                  <w:noWrap w:val="0"/>
                  <w:vAlign w:val="center"/>
                </w:tcPr>
                <w:p w14:paraId="3B024825">
                  <w:pPr>
                    <w:widowControl/>
                    <w:adjustRightInd w:val="0"/>
                    <w:snapToGrid w:val="0"/>
                    <w:spacing w:beforeLines="0" w:afterLines="0" w:line="240" w:lineRule="auto"/>
                    <w:jc w:val="center"/>
                    <w:rPr>
                      <w:rFonts w:hint="eastAsia"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0.005</w:t>
                  </w:r>
                </w:p>
              </w:tc>
            </w:tr>
            <w:tr w14:paraId="6813F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3" w:hRule="atLeast"/>
                <w:jc w:val="center"/>
              </w:trPr>
              <w:tc>
                <w:tcPr>
                  <w:tcW w:w="1197" w:type="pct"/>
                  <w:noWrap w:val="0"/>
                  <w:vAlign w:val="center"/>
                </w:tcPr>
                <w:p w14:paraId="4E919B60">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ascii="Times New Roman" w:hAnsi="Times New Roman" w:eastAsia="宋体" w:cs="Times New Roman"/>
                      <w:bCs/>
                      <w:color w:val="auto"/>
                      <w:kern w:val="0"/>
                      <w:sz w:val="18"/>
                      <w:szCs w:val="18"/>
                      <w:lang w:val="en-US" w:eastAsia="zh-CN" w:bidi="ar-SA"/>
                    </w:rPr>
                    <w:t>1,3-丁二烯</w:t>
                  </w:r>
                </w:p>
              </w:tc>
              <w:tc>
                <w:tcPr>
                  <w:tcW w:w="1586" w:type="pct"/>
                  <w:vMerge w:val="continue"/>
                  <w:noWrap w:val="0"/>
                  <w:vAlign w:val="center"/>
                </w:tcPr>
                <w:p w14:paraId="5025FABF">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p>
              </w:tc>
              <w:tc>
                <w:tcPr>
                  <w:tcW w:w="1087" w:type="pct"/>
                  <w:noWrap w:val="0"/>
                  <w:vAlign w:val="center"/>
                </w:tcPr>
                <w:p w14:paraId="6ECBC1C6">
                  <w:pPr>
                    <w:widowControl/>
                    <w:adjustRightInd w:val="0"/>
                    <w:snapToGrid w:val="0"/>
                    <w:spacing w:beforeLines="0" w:afterLines="0" w:line="240" w:lineRule="auto"/>
                    <w:jc w:val="center"/>
                    <w:rPr>
                      <w:rFonts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4.31</w:t>
                  </w:r>
                  <w:r>
                    <w:rPr>
                      <w:rFonts w:ascii="Times New Roman" w:hAnsi="Times New Roman" w:eastAsia="宋体" w:cs="Times New Roman"/>
                      <w:bCs/>
                      <w:color w:val="auto"/>
                      <w:kern w:val="0"/>
                      <w:sz w:val="18"/>
                      <w:szCs w:val="18"/>
                      <w:lang w:val="en-US" w:eastAsia="zh-CN" w:bidi="ar-SA"/>
                    </w:rPr>
                    <w:t>mg/kg</w:t>
                  </w:r>
                  <w:r>
                    <w:rPr>
                      <w:rFonts w:hint="eastAsia" w:ascii="Times New Roman" w:hAnsi="Times New Roman" w:eastAsia="宋体" w:cs="Times New Roman"/>
                      <w:bCs/>
                      <w:color w:val="auto"/>
                      <w:kern w:val="0"/>
                      <w:sz w:val="18"/>
                      <w:szCs w:val="18"/>
                      <w:lang w:val="en-US" w:eastAsia="zh-CN" w:bidi="ar-SA"/>
                    </w:rPr>
                    <w:t>－</w:t>
                  </w:r>
                  <w:r>
                    <w:rPr>
                      <w:rFonts w:ascii="Times New Roman" w:hAnsi="Times New Roman" w:eastAsia="宋体" w:cs="Times New Roman"/>
                      <w:bCs/>
                      <w:color w:val="auto"/>
                      <w:kern w:val="0"/>
                      <w:sz w:val="18"/>
                      <w:szCs w:val="18"/>
                      <w:lang w:val="en-US" w:eastAsia="zh-CN" w:bidi="ar-SA"/>
                    </w:rPr>
                    <w:t>原料</w:t>
                  </w:r>
                </w:p>
              </w:tc>
              <w:tc>
                <w:tcPr>
                  <w:tcW w:w="1826" w:type="dxa"/>
                  <w:noWrap w:val="0"/>
                  <w:vAlign w:val="center"/>
                </w:tcPr>
                <w:p w14:paraId="0698CEC3">
                  <w:pPr>
                    <w:widowControl/>
                    <w:adjustRightInd w:val="0"/>
                    <w:snapToGrid w:val="0"/>
                    <w:spacing w:beforeLines="0" w:afterLines="0" w:line="240" w:lineRule="auto"/>
                    <w:jc w:val="center"/>
                    <w:rPr>
                      <w:rFonts w:hint="eastAsia"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0.002</w:t>
                  </w:r>
                </w:p>
              </w:tc>
            </w:tr>
          </w:tbl>
          <w:p w14:paraId="5215B28B">
            <w:pPr>
              <w:adjustRightInd w:val="0"/>
              <w:snapToGrid w:val="0"/>
              <w:spacing w:line="360" w:lineRule="auto"/>
              <w:ind w:firstLine="420" w:firstLineChars="200"/>
              <w:rPr>
                <w:rFonts w:hint="default" w:ascii="Times New Roman" w:hAnsi="Times New Roman" w:cs="Times New Roman"/>
                <w:b w:val="0"/>
                <w:bCs/>
                <w:color w:val="auto"/>
                <w:szCs w:val="21"/>
                <w:lang w:val="en-US" w:eastAsia="zh-CN"/>
              </w:rPr>
            </w:pPr>
            <w:r>
              <w:rPr>
                <w:rFonts w:hint="default" w:ascii="Times New Roman" w:hAnsi="Times New Roman" w:cs="Times New Roman"/>
                <w:b w:val="0"/>
                <w:bCs/>
                <w:color w:val="auto"/>
                <w:szCs w:val="21"/>
                <w:lang w:val="en-US" w:eastAsia="zh-CN"/>
              </w:rPr>
              <w:t>根据上表，除非甲烷总烃外，其余污染物的产生量较少，通过有机废气处理设施处理后的排放量极少，本次评价不对其进行排放量统计，但纳入达标排放管理和监控。</w:t>
            </w:r>
          </w:p>
          <w:p w14:paraId="20561B78">
            <w:pPr>
              <w:adjustRightInd w:val="0"/>
              <w:snapToGrid w:val="0"/>
              <w:spacing w:line="360" w:lineRule="auto"/>
              <w:ind w:firstLine="422" w:firstLineChars="200"/>
              <w:rPr>
                <w:rFonts w:hint="default" w:ascii="Times New Roman" w:hAnsi="Times New Roman" w:cs="Times New Roman"/>
                <w:b/>
                <w:bCs w:val="0"/>
                <w:color w:val="auto"/>
                <w:szCs w:val="21"/>
                <w:lang w:val="en-US" w:eastAsia="zh-CN"/>
              </w:rPr>
            </w:pPr>
            <w:r>
              <w:rPr>
                <w:rFonts w:hint="eastAsia" w:ascii="Times New Roman" w:hAnsi="Times New Roman" w:cs="Times New Roman"/>
                <w:b/>
                <w:bCs w:val="0"/>
                <w:color w:val="auto"/>
                <w:szCs w:val="21"/>
                <w:lang w:val="en-US" w:eastAsia="zh-CN"/>
              </w:rPr>
              <w:t>（2）</w:t>
            </w:r>
            <w:r>
              <w:rPr>
                <w:rFonts w:hint="default" w:ascii="Times New Roman" w:hAnsi="Times New Roman" w:cs="Times New Roman"/>
                <w:b/>
                <w:bCs w:val="0"/>
                <w:color w:val="auto"/>
                <w:szCs w:val="21"/>
                <w:lang w:val="en-US" w:eastAsia="zh-CN"/>
              </w:rPr>
              <w:t>风量核算</w:t>
            </w:r>
          </w:p>
          <w:p w14:paraId="7AE57F1C">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rPr>
              <w:t>本项目拟在</w:t>
            </w:r>
            <w:r>
              <w:rPr>
                <w:rFonts w:hint="default" w:ascii="Times New Roman" w:hAnsi="Times New Roman" w:cs="Times New Roman"/>
                <w:color w:val="auto"/>
                <w:szCs w:val="21"/>
                <w:lang w:val="en-US" w:eastAsia="zh-CN"/>
              </w:rPr>
              <w:t>注塑机</w:t>
            </w:r>
            <w:r>
              <w:rPr>
                <w:rFonts w:hint="default" w:ascii="Times New Roman" w:hAnsi="Times New Roman" w:cs="Times New Roman"/>
                <w:color w:val="auto"/>
                <w:szCs w:val="21"/>
                <w:highlight w:val="none"/>
              </w:rPr>
              <w:t>（共</w:t>
            </w:r>
            <w:r>
              <w:rPr>
                <w:rFonts w:hint="eastAsia" w:ascii="Times New Roman" w:hAnsi="Times New Roman" w:cs="Times New Roman"/>
                <w:color w:val="auto"/>
                <w:szCs w:val="21"/>
                <w:highlight w:val="none"/>
                <w:lang w:val="en-US" w:eastAsia="zh-CN"/>
              </w:rPr>
              <w:t>16台</w:t>
            </w:r>
            <w:r>
              <w:rPr>
                <w:rFonts w:hint="default" w:ascii="Times New Roman" w:hAnsi="Times New Roman" w:cs="Times New Roman"/>
                <w:color w:val="auto"/>
                <w:szCs w:val="21"/>
                <w:highlight w:val="none"/>
              </w:rPr>
              <w:t>）上方设置集气罩（</w:t>
            </w:r>
            <w:r>
              <w:rPr>
                <w:rFonts w:hint="eastAsia" w:cs="Times New Roman"/>
                <w:color w:val="auto"/>
                <w:szCs w:val="21"/>
                <w:highlight w:val="none"/>
                <w:lang w:val="en-US" w:eastAsia="zh-CN"/>
              </w:rPr>
              <w:t>收集率按</w:t>
            </w:r>
            <w:r>
              <w:rPr>
                <w:rFonts w:hint="eastAsia"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0%</w:t>
            </w:r>
            <w:r>
              <w:rPr>
                <w:rFonts w:hint="eastAsia" w:cs="Times New Roman"/>
                <w:color w:val="auto"/>
                <w:szCs w:val="21"/>
                <w:highlight w:val="none"/>
                <w:lang w:val="en-US" w:eastAsia="zh-CN"/>
              </w:rPr>
              <w:t>计</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rPr>
              <w:t>收集</w:t>
            </w:r>
            <w:r>
              <w:rPr>
                <w:rFonts w:hint="default" w:ascii="Times New Roman" w:hAnsi="Times New Roman" w:cs="Times New Roman"/>
                <w:color w:val="auto"/>
                <w:szCs w:val="21"/>
                <w:lang w:val="en-US" w:eastAsia="zh-CN"/>
              </w:rPr>
              <w:t>注塑过程中产生的</w:t>
            </w:r>
            <w:r>
              <w:rPr>
                <w:rFonts w:hint="default" w:ascii="Times New Roman" w:hAnsi="Times New Roman" w:cs="Times New Roman"/>
                <w:color w:val="auto"/>
                <w:szCs w:val="21"/>
                <w:lang w:eastAsia="zh-CN"/>
              </w:rPr>
              <w:t>废气，</w:t>
            </w:r>
            <w:r>
              <w:rPr>
                <w:rFonts w:hint="default" w:ascii="Times New Roman" w:hAnsi="Times New Roman" w:cs="Times New Roman"/>
                <w:color w:val="auto"/>
                <w:szCs w:val="21"/>
                <w:lang w:val="en-US" w:eastAsia="zh-CN"/>
              </w:rPr>
              <w:t>废气收集后经过滤棉+两级活性炭处</w:t>
            </w:r>
            <w:r>
              <w:rPr>
                <w:rFonts w:hint="default" w:ascii="Times New Roman" w:hAnsi="Times New Roman" w:cs="Times New Roman"/>
                <w:color w:val="auto"/>
                <w:sz w:val="21"/>
                <w:szCs w:val="21"/>
                <w:lang w:val="en-US" w:eastAsia="zh-CN"/>
              </w:rPr>
              <w:t>理</w:t>
            </w:r>
            <w:r>
              <w:rPr>
                <w:rFonts w:hint="default" w:ascii="Times New Roman" w:hAnsi="Times New Roman" w:cs="Times New Roman"/>
                <w:color w:val="auto"/>
                <w:sz w:val="21"/>
                <w:szCs w:val="21"/>
                <w:highlight w:val="none"/>
              </w:rPr>
              <w:t>（</w:t>
            </w:r>
            <w:r>
              <w:rPr>
                <w:rFonts w:hint="eastAsia" w:ascii="Times New Roman" w:hAnsi="Times New Roman" w:cs="Times New Roman"/>
                <w:bCs/>
                <w:color w:val="auto"/>
                <w:sz w:val="21"/>
                <w:szCs w:val="21"/>
              </w:rPr>
              <w:t>第一级</w:t>
            </w:r>
            <w:r>
              <w:rPr>
                <w:rFonts w:ascii="Times New Roman" w:hAnsi="Times New Roman" w:cs="Times New Roman"/>
                <w:bCs/>
                <w:color w:val="auto"/>
                <w:sz w:val="21"/>
                <w:szCs w:val="21"/>
              </w:rPr>
              <w:t>活性炭去除效率取</w:t>
            </w:r>
            <w:r>
              <w:rPr>
                <w:rFonts w:hint="eastAsia" w:ascii="Times New Roman" w:hAnsi="Times New Roman" w:cs="Times New Roman"/>
                <w:bCs/>
                <w:color w:val="auto"/>
                <w:sz w:val="21"/>
                <w:szCs w:val="21"/>
              </w:rPr>
              <w:t>60%，</w:t>
            </w:r>
            <w:r>
              <w:rPr>
                <w:rFonts w:ascii="Times New Roman" w:hAnsi="Times New Roman" w:cs="Times New Roman"/>
                <w:bCs/>
                <w:color w:val="auto"/>
                <w:sz w:val="21"/>
                <w:szCs w:val="21"/>
              </w:rPr>
              <w:t>第二</w:t>
            </w:r>
            <w:r>
              <w:rPr>
                <w:rFonts w:hint="eastAsia" w:ascii="Times New Roman" w:hAnsi="Times New Roman" w:cs="Times New Roman"/>
                <w:bCs/>
                <w:color w:val="auto"/>
                <w:sz w:val="21"/>
                <w:szCs w:val="21"/>
              </w:rPr>
              <w:t>级</w:t>
            </w:r>
            <w:r>
              <w:rPr>
                <w:rFonts w:ascii="Times New Roman" w:hAnsi="Times New Roman" w:cs="Times New Roman"/>
                <w:bCs/>
                <w:color w:val="auto"/>
                <w:sz w:val="21"/>
                <w:szCs w:val="21"/>
              </w:rPr>
              <w:t>活性炭去除效率取</w:t>
            </w:r>
            <w:r>
              <w:rPr>
                <w:rFonts w:hint="eastAsia" w:ascii="Times New Roman" w:hAnsi="Times New Roman" w:cs="Times New Roman"/>
                <w:bCs/>
                <w:color w:val="auto"/>
                <w:sz w:val="21"/>
                <w:szCs w:val="21"/>
              </w:rPr>
              <w:t>40%，</w:t>
            </w:r>
            <w:r>
              <w:rPr>
                <w:rFonts w:ascii="Times New Roman" w:hAnsi="Times New Roman" w:cs="Times New Roman"/>
                <w:bCs/>
                <w:color w:val="auto"/>
                <w:sz w:val="21"/>
                <w:szCs w:val="21"/>
              </w:rPr>
              <w:t>二级活性炭</w:t>
            </w:r>
            <w:r>
              <w:rPr>
                <w:rFonts w:hint="eastAsia" w:ascii="Times New Roman" w:hAnsi="Times New Roman" w:cs="Times New Roman"/>
                <w:bCs/>
                <w:color w:val="auto"/>
                <w:sz w:val="21"/>
                <w:szCs w:val="21"/>
              </w:rPr>
              <w:t>综合</w:t>
            </w:r>
            <w:r>
              <w:rPr>
                <w:rFonts w:ascii="Times New Roman" w:hAnsi="Times New Roman" w:cs="Times New Roman"/>
                <w:bCs/>
                <w:color w:val="auto"/>
                <w:sz w:val="21"/>
                <w:szCs w:val="21"/>
              </w:rPr>
              <w:t>处理效率</w:t>
            </w:r>
            <w:r>
              <w:rPr>
                <w:rFonts w:hint="eastAsia" w:ascii="Times New Roman" w:hAnsi="Times New Roman" w:cs="Times New Roman"/>
                <w:bCs/>
                <w:color w:val="auto"/>
                <w:sz w:val="21"/>
                <w:szCs w:val="21"/>
              </w:rPr>
              <w:t>取76%</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lang w:val="en-US" w:eastAsia="zh-CN"/>
              </w:rPr>
              <w:t>最后经</w:t>
            </w:r>
            <w:r>
              <w:rPr>
                <w:rFonts w:hint="eastAsia" w:ascii="Times New Roman" w:hAnsi="Times New Roman" w:cs="Times New Roman"/>
                <w:color w:val="auto"/>
                <w:szCs w:val="21"/>
                <w:lang w:val="en-US" w:eastAsia="zh-CN"/>
              </w:rPr>
              <w:t>25m</w:t>
            </w:r>
            <w:r>
              <w:rPr>
                <w:rFonts w:hint="default" w:ascii="Times New Roman" w:hAnsi="Times New Roman" w:cs="Times New Roman"/>
                <w:color w:val="auto"/>
                <w:szCs w:val="21"/>
                <w:lang w:val="en-US" w:eastAsia="zh-CN"/>
              </w:rPr>
              <w:t>高排气筒引至楼顶排放</w:t>
            </w:r>
            <w:r>
              <w:rPr>
                <w:rFonts w:hint="default" w:ascii="Times New Roman" w:hAnsi="Times New Roman" w:cs="Times New Roman"/>
                <w:color w:val="auto"/>
                <w:szCs w:val="21"/>
                <w:highlight w:val="none"/>
              </w:rPr>
              <w:t>。</w:t>
            </w:r>
          </w:p>
          <w:p w14:paraId="7ECF58C3">
            <w:pPr>
              <w:widowControl w:val="0"/>
              <w:spacing w:line="360" w:lineRule="auto"/>
              <w:ind w:firstLine="420" w:firstLineChars="200"/>
              <w:contextualSpacing/>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根据《大气污染控制工程》中集气罩设计原则，</w:t>
            </w:r>
            <w:r>
              <w:rPr>
                <w:rFonts w:hint="default" w:ascii="Times New Roman" w:hAnsi="Times New Roman" w:cs="Times New Roman"/>
                <w:color w:val="auto"/>
                <w:kern w:val="2"/>
                <w:sz w:val="21"/>
                <w:szCs w:val="21"/>
                <w:lang w:val="en-US" w:eastAsia="zh-CN" w:bidi="ar-SA"/>
              </w:rPr>
              <w:t>本项目</w:t>
            </w:r>
            <w:r>
              <w:rPr>
                <w:rFonts w:hint="default" w:ascii="Times New Roman" w:hAnsi="Times New Roman" w:eastAsia="宋体" w:cs="Times New Roman"/>
                <w:color w:val="auto"/>
                <w:kern w:val="2"/>
                <w:sz w:val="21"/>
                <w:szCs w:val="21"/>
                <w:lang w:val="en-US" w:eastAsia="zh-CN" w:bidi="ar-SA"/>
              </w:rPr>
              <w:t>集气罩风量按照下式确定：</w:t>
            </w:r>
          </w:p>
          <w:p w14:paraId="53A9BD95">
            <w:pPr>
              <w:widowControl w:val="0"/>
              <w:spacing w:line="360" w:lineRule="auto"/>
              <w:ind w:firstLine="1050" w:firstLineChars="500"/>
              <w:contextualSpacing/>
              <w:jc w:val="both"/>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kern w:val="2"/>
                <w:sz w:val="21"/>
                <w:szCs w:val="21"/>
                <w:lang w:val="en-US" w:eastAsia="zh-CN" w:bidi="ar-SA"/>
              </w:rPr>
              <w:t>L=V</w:t>
            </w:r>
            <w:r>
              <w:rPr>
                <w:rFonts w:hint="default" w:ascii="Times New Roman" w:hAnsi="Times New Roman" w:eastAsia="宋体" w:cs="Times New Roman"/>
                <w:color w:val="auto"/>
                <w:kern w:val="2"/>
                <w:sz w:val="21"/>
                <w:szCs w:val="21"/>
                <w:vertAlign w:val="subscript"/>
                <w:lang w:val="en-US" w:eastAsia="zh-CN" w:bidi="ar-SA"/>
              </w:rPr>
              <w:t>0</w:t>
            </w:r>
            <w:r>
              <w:rPr>
                <w:rFonts w:hint="default" w:ascii="Times New Roman" w:hAnsi="Times New Roman" w:eastAsia="宋体" w:cs="Times New Roman"/>
                <w:color w:val="auto"/>
                <w:kern w:val="2"/>
                <w:sz w:val="21"/>
                <w:szCs w:val="21"/>
                <w:lang w:val="en-US" w:eastAsia="zh-CN" w:bidi="ar-SA"/>
              </w:rPr>
              <w:t>F=</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10x</w:t>
            </w:r>
            <w:r>
              <w:rPr>
                <w:rFonts w:hint="default" w:ascii="Times New Roman" w:hAnsi="Times New Roman" w:eastAsia="宋体" w:cs="Times New Roman"/>
                <w:color w:val="auto"/>
                <w:kern w:val="2"/>
                <w:sz w:val="21"/>
                <w:szCs w:val="21"/>
                <w:vertAlign w:val="superscript"/>
                <w:lang w:val="en-US" w:eastAsia="zh-CN" w:bidi="ar-SA"/>
              </w:rPr>
              <w:t>2</w:t>
            </w:r>
            <w:r>
              <w:rPr>
                <w:rFonts w:hint="default" w:ascii="Times New Roman" w:hAnsi="Times New Roman" w:eastAsia="宋体" w:cs="Times New Roman"/>
                <w:color w:val="auto"/>
                <w:kern w:val="2"/>
                <w:sz w:val="21"/>
                <w:szCs w:val="21"/>
                <w:lang w:val="en-US" w:eastAsia="zh-CN" w:bidi="ar-SA"/>
              </w:rPr>
              <w:t>+F</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V</w:t>
            </w:r>
            <w:r>
              <w:rPr>
                <w:rFonts w:hint="default" w:ascii="Times New Roman" w:hAnsi="Times New Roman" w:eastAsia="宋体" w:cs="Times New Roman"/>
                <w:color w:val="auto"/>
                <w:kern w:val="2"/>
                <w:sz w:val="21"/>
                <w:szCs w:val="21"/>
                <w:vertAlign w:val="subscript"/>
                <w:lang w:val="en-US" w:eastAsia="zh-CN" w:bidi="ar-SA"/>
              </w:rPr>
              <w:t xml:space="preserve">x                </w:t>
            </w:r>
          </w:p>
          <w:p w14:paraId="32C5415E">
            <w:pPr>
              <w:widowControl w:val="0"/>
              <w:spacing w:line="360" w:lineRule="auto"/>
              <w:ind w:firstLine="1050" w:firstLineChars="500"/>
              <w:contextualSpacing/>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式中：L——集气罩风量，m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/s；</w:t>
            </w:r>
          </w:p>
          <w:p w14:paraId="7B5A6501">
            <w:pPr>
              <w:spacing w:line="360" w:lineRule="auto"/>
              <w:ind w:firstLine="1050" w:firstLineChars="5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V</w:t>
            </w:r>
            <w:r>
              <w:rPr>
                <w:rFonts w:hint="default" w:ascii="Times New Roman" w:hAnsi="Times New Roman" w:eastAsia="宋体" w:cs="Times New Roman"/>
                <w:color w:val="auto"/>
                <w:sz w:val="21"/>
                <w:szCs w:val="21"/>
                <w:vertAlign w:val="subscript"/>
              </w:rPr>
              <w:t>0</w:t>
            </w:r>
            <w:r>
              <w:rPr>
                <w:rFonts w:hint="default" w:ascii="Times New Roman" w:hAnsi="Times New Roman" w:eastAsia="宋体" w:cs="Times New Roman"/>
                <w:color w:val="auto"/>
                <w:sz w:val="21"/>
                <w:szCs w:val="21"/>
              </w:rPr>
              <w:t>——吸气口的平均风速，m/s；</w:t>
            </w:r>
          </w:p>
          <w:p w14:paraId="22F6985B">
            <w:pPr>
              <w:spacing w:line="360" w:lineRule="auto"/>
              <w:ind w:firstLine="1050" w:firstLineChars="5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V</w:t>
            </w:r>
            <w:r>
              <w:rPr>
                <w:rFonts w:hint="default" w:ascii="Times New Roman" w:hAnsi="Times New Roman" w:eastAsia="宋体" w:cs="Times New Roman"/>
                <w:color w:val="auto"/>
                <w:sz w:val="21"/>
                <w:szCs w:val="21"/>
                <w:vertAlign w:val="subscript"/>
              </w:rPr>
              <w:t>x</w:t>
            </w:r>
            <w:r>
              <w:rPr>
                <w:rFonts w:hint="default" w:ascii="Times New Roman" w:hAnsi="Times New Roman" w:eastAsia="宋体" w:cs="Times New Roman"/>
                <w:color w:val="auto"/>
                <w:sz w:val="21"/>
                <w:szCs w:val="21"/>
              </w:rPr>
              <w:t>——控制点的吸入风速，m/s；</w:t>
            </w:r>
          </w:p>
          <w:p w14:paraId="0072458D">
            <w:pPr>
              <w:spacing w:line="360" w:lineRule="auto"/>
              <w:ind w:firstLine="1050" w:firstLineChars="5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F——集气罩面积，m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w:t>
            </w:r>
          </w:p>
          <w:p w14:paraId="599DB4EF">
            <w:pPr>
              <w:adjustRightInd w:val="0"/>
              <w:snapToGrid w:val="0"/>
              <w:spacing w:line="360" w:lineRule="auto"/>
              <w:ind w:firstLine="420" w:firstLineChars="200"/>
              <w:rPr>
                <w:rFonts w:hint="default" w:ascii="Times New Roman" w:hAnsi="Times New Roman" w:eastAsia="宋体" w:cs="Times New Roman"/>
                <w:color w:val="auto"/>
                <w:sz w:val="21"/>
                <w:szCs w:val="21"/>
                <w:vertAlign w:val="baseline"/>
              </w:rPr>
            </w:pPr>
            <w:r>
              <w:rPr>
                <w:rFonts w:hint="default" w:ascii="Times New Roman" w:hAnsi="Times New Roman" w:cs="Times New Roman"/>
                <w:color w:val="auto"/>
              </w:rPr>
              <w:t>本项目考虑</w:t>
            </w:r>
            <w:r>
              <w:rPr>
                <w:rFonts w:hint="default" w:ascii="Times New Roman" w:hAnsi="Times New Roman" w:cs="Times New Roman"/>
                <w:color w:val="auto"/>
                <w:lang w:val="en-US" w:eastAsia="zh-CN"/>
              </w:rPr>
              <w:t>单台注塑机</w:t>
            </w:r>
            <w:r>
              <w:rPr>
                <w:rFonts w:hint="default" w:ascii="Times New Roman" w:hAnsi="Times New Roman" w:cs="Times New Roman"/>
                <w:color w:val="auto"/>
              </w:rPr>
              <w:t>集气罩的罩口面积约</w:t>
            </w:r>
            <w:r>
              <w:rPr>
                <w:rFonts w:hint="default" w:ascii="Times New Roman" w:hAnsi="Times New Roman" w:cs="Times New Roman"/>
                <w:color w:val="auto"/>
                <w:highlight w:val="none"/>
              </w:rPr>
              <w:t>0.</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m×0.</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m=0.</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vertAlign w:val="baseline"/>
                <w:lang w:eastAsia="zh-CN"/>
              </w:rPr>
              <w:t>（</w:t>
            </w:r>
            <w:r>
              <w:rPr>
                <w:rFonts w:hint="default" w:ascii="Times New Roman" w:hAnsi="Times New Roman" w:cs="Times New Roman"/>
                <w:color w:val="auto"/>
                <w:highlight w:val="none"/>
                <w:vertAlign w:val="baseline"/>
                <w:lang w:val="en-US" w:eastAsia="zh-CN"/>
              </w:rPr>
              <w:t>本项目共设有</w:t>
            </w:r>
            <w:r>
              <w:rPr>
                <w:rFonts w:hint="eastAsia" w:ascii="Times New Roman" w:hAnsi="Times New Roman" w:cs="Times New Roman"/>
                <w:color w:val="auto"/>
                <w:highlight w:val="none"/>
                <w:vertAlign w:val="baseline"/>
                <w:lang w:val="en-US" w:eastAsia="zh-CN"/>
              </w:rPr>
              <w:t>16台注塑机</w:t>
            </w:r>
            <w:r>
              <w:rPr>
                <w:rFonts w:hint="default" w:ascii="Times New Roman" w:hAnsi="Times New Roman" w:cs="Times New Roman"/>
                <w:color w:val="auto"/>
                <w:highlight w:val="none"/>
                <w:vertAlign w:val="baseline"/>
                <w:lang w:val="en-US" w:eastAsia="zh-CN"/>
              </w:rPr>
              <w:t>，集气罩罩口面积合计为</w:t>
            </w:r>
            <w:r>
              <w:rPr>
                <w:rFonts w:hint="eastAsia" w:ascii="Times New Roman" w:hAnsi="Times New Roman" w:cs="Times New Roman"/>
                <w:color w:val="auto"/>
                <w:highlight w:val="none"/>
                <w:vertAlign w:val="baseline"/>
                <w:lang w:val="en-US" w:eastAsia="zh-CN"/>
              </w:rPr>
              <w:t>4.</w:t>
            </w:r>
            <w:r>
              <w:rPr>
                <w:rFonts w:hint="eastAsia" w:cs="Times New Roman"/>
                <w:color w:val="auto"/>
                <w:highlight w:val="none"/>
                <w:vertAlign w:val="baseline"/>
                <w:lang w:val="en-US" w:eastAsia="zh-CN"/>
              </w:rPr>
              <w:t>8</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vertAlign w:val="baseline"/>
                <w:lang w:eastAsia="zh-CN"/>
              </w:rPr>
              <w:t>）</w:t>
            </w:r>
          </w:p>
          <w:p w14:paraId="6C556ED5">
            <w:pPr>
              <w:spacing w:line="360" w:lineRule="auto"/>
              <w:ind w:firstLine="1050" w:firstLineChars="5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x——控制点到吸气口的距离，m</w:t>
            </w:r>
          </w:p>
          <w:p w14:paraId="1D70DA0C">
            <w:pPr>
              <w:adjustRightInd w:val="0"/>
              <w:snapToGrid w:val="0"/>
              <w:spacing w:line="360" w:lineRule="auto"/>
              <w:ind w:firstLine="420" w:firstLineChars="20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本项目正常生产时集气罩距无组织废气散发点距离（x）可控制在约0.1m，根据《大气污染控制工程》中对控制点吸入风速的要求，项目污染物放散情况按“以较低的初速度放散到尚属平静的空气中”考虑，最小控制风速为0.5～1.0m/s，项目Vx取</w:t>
            </w:r>
            <w:r>
              <w:rPr>
                <w:rFonts w:hint="eastAsia" w:ascii="Times New Roman" w:hAnsi="Times New Roman" w:cs="Times New Roman"/>
                <w:color w:val="auto"/>
                <w:kern w:val="2"/>
                <w:sz w:val="21"/>
                <w:szCs w:val="21"/>
                <w:lang w:val="en-US" w:eastAsia="zh-CN" w:bidi="ar-SA"/>
              </w:rPr>
              <w:t>中间值0.75</w:t>
            </w:r>
            <w:r>
              <w:rPr>
                <w:rFonts w:hint="default" w:ascii="Times New Roman" w:hAnsi="Times New Roman" w:eastAsia="宋体" w:cs="Times New Roman"/>
                <w:color w:val="auto"/>
                <w:kern w:val="2"/>
                <w:sz w:val="21"/>
                <w:szCs w:val="21"/>
                <w:lang w:val="en-US" w:eastAsia="zh-CN" w:bidi="ar-SA"/>
              </w:rPr>
              <w:t>m/s</w:t>
            </w:r>
            <w:r>
              <w:rPr>
                <w:rFonts w:hint="default" w:ascii="Times New Roman" w:hAnsi="Times New Roman" w:eastAsia="宋体" w:cs="Times New Roman"/>
                <w:color w:val="auto"/>
                <w:sz w:val="21"/>
                <w:szCs w:val="21"/>
                <w:vertAlign w:val="baseline"/>
                <w:lang w:val="en-US" w:eastAsia="zh-CN"/>
              </w:rPr>
              <w:t>。</w:t>
            </w:r>
          </w:p>
          <w:p w14:paraId="2A167340">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由此核算出</w:t>
            </w:r>
            <w:r>
              <w:rPr>
                <w:rFonts w:hint="default" w:ascii="Times New Roman" w:hAnsi="Times New Roman" w:cs="Times New Roman"/>
                <w:color w:val="auto"/>
                <w:szCs w:val="21"/>
                <w:lang w:val="en-US" w:eastAsia="zh-CN"/>
              </w:rPr>
              <w:t>，则风机</w:t>
            </w:r>
            <w:r>
              <w:rPr>
                <w:rFonts w:hint="default" w:ascii="Times New Roman" w:hAnsi="Times New Roman" w:cs="Times New Roman"/>
                <w:color w:val="auto"/>
                <w:szCs w:val="21"/>
                <w:lang w:eastAsia="zh-CN"/>
              </w:rPr>
              <w:t>合计风量</w:t>
            </w:r>
            <w:r>
              <w:rPr>
                <w:rFonts w:hint="eastAsia" w:ascii="Times New Roman" w:hAnsi="Times New Roman" w:cs="Times New Roman"/>
                <w:color w:val="auto"/>
                <w:szCs w:val="21"/>
                <w:lang w:val="en-US" w:eastAsia="zh-CN"/>
              </w:rPr>
              <w:t>13230</w:t>
            </w:r>
            <w:r>
              <w:rPr>
                <w:rFonts w:hint="default" w:ascii="Times New Roman" w:hAnsi="Times New Roman" w:cs="Times New Roman"/>
                <w:color w:val="auto"/>
                <w:szCs w:val="21"/>
                <w:lang w:val="en-US" w:eastAsia="zh-CN"/>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/h</w:t>
            </w:r>
            <w:r>
              <w:rPr>
                <w:rFonts w:hint="default" w:ascii="Times New Roman" w:hAnsi="Times New Roman" w:cs="Times New Roman"/>
                <w:color w:val="auto"/>
                <w:szCs w:val="21"/>
                <w:lang w:eastAsia="zh-CN"/>
              </w:rPr>
              <w:t>，</w:t>
            </w:r>
            <w:r>
              <w:rPr>
                <w:rFonts w:hint="default" w:ascii="Times New Roman" w:hAnsi="Times New Roman" w:cs="Times New Roman"/>
                <w:color w:val="auto"/>
                <w:kern w:val="0"/>
                <w:szCs w:val="21"/>
              </w:rPr>
              <w:t>考虑到风管阻力等因素，</w:t>
            </w:r>
            <w:r>
              <w:rPr>
                <w:rFonts w:hint="default" w:ascii="Times New Roman" w:hAnsi="Times New Roman" w:cs="Times New Roman"/>
                <w:color w:val="auto"/>
                <w:kern w:val="0"/>
                <w:szCs w:val="21"/>
                <w:lang w:eastAsia="zh-CN"/>
              </w:rPr>
              <w:t>风量考虑取整</w:t>
            </w:r>
            <w:r>
              <w:rPr>
                <w:rFonts w:hint="default" w:ascii="Times New Roman" w:hAnsi="Times New Roman" w:cs="Times New Roman"/>
                <w:color w:val="auto"/>
                <w:szCs w:val="21"/>
              </w:rPr>
              <w:t>，</w:t>
            </w:r>
            <w:r>
              <w:rPr>
                <w:rFonts w:hint="default" w:ascii="Times New Roman" w:hAnsi="Times New Roman" w:cs="Times New Roman"/>
                <w:color w:val="auto"/>
                <w:kern w:val="0"/>
                <w:szCs w:val="21"/>
              </w:rPr>
              <w:t>则</w:t>
            </w:r>
            <w:r>
              <w:rPr>
                <w:rFonts w:hint="default" w:ascii="Times New Roman" w:hAnsi="Times New Roman" w:cs="Times New Roman"/>
                <w:color w:val="auto"/>
                <w:kern w:val="0"/>
                <w:szCs w:val="21"/>
                <w:lang w:val="en-US" w:eastAsia="zh-CN"/>
              </w:rPr>
              <w:t>风机风量合计为</w:t>
            </w:r>
            <w:r>
              <w:rPr>
                <w:rFonts w:hint="eastAsia" w:ascii="Times New Roman" w:hAnsi="Times New Roman" w:cs="Times New Roman"/>
                <w:color w:val="auto"/>
                <w:kern w:val="0"/>
                <w:szCs w:val="21"/>
                <w:lang w:val="en-US" w:eastAsia="zh-CN"/>
              </w:rPr>
              <w:t>14</w:t>
            </w:r>
            <w:r>
              <w:rPr>
                <w:rFonts w:hint="default" w:ascii="Times New Roman" w:hAnsi="Times New Roman" w:cs="Times New Roman"/>
                <w:color w:val="auto"/>
                <w:kern w:val="0"/>
                <w:szCs w:val="21"/>
                <w:lang w:val="en-US" w:eastAsia="zh-CN"/>
              </w:rPr>
              <w:t>000</w:t>
            </w:r>
            <w:r>
              <w:rPr>
                <w:rFonts w:hint="default" w:ascii="Times New Roman" w:hAnsi="Times New Roman" w:cs="Times New Roman"/>
                <w:color w:val="auto"/>
                <w:szCs w:val="21"/>
              </w:rPr>
              <w:t>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/h。</w:t>
            </w:r>
          </w:p>
          <w:p w14:paraId="4D18D1C3">
            <w:pPr>
              <w:adjustRightInd w:val="0"/>
              <w:snapToGrid w:val="0"/>
              <w:spacing w:line="360" w:lineRule="auto"/>
              <w:rPr>
                <w:rFonts w:hint="default" w:ascii="Times New Roman" w:hAnsi="Times New Roman" w:eastAsia="宋体" w:cs="Times New Roman"/>
                <w:b/>
                <w:bCs w:val="0"/>
                <w:color w:val="auto"/>
                <w:spacing w:val="-10"/>
                <w:szCs w:val="21"/>
                <w:lang w:val="en-US" w:eastAsia="zh-CN"/>
              </w:rPr>
            </w:pPr>
            <w:r>
              <w:rPr>
                <w:rFonts w:hint="default" w:ascii="Times New Roman" w:hAnsi="Times New Roman" w:eastAsia="宋体" w:cs="Times New Roman"/>
                <w:b/>
                <w:bCs w:val="0"/>
                <w:color w:val="auto"/>
                <w:szCs w:val="21"/>
                <w:lang w:val="en-US" w:eastAsia="zh-CN"/>
              </w:rPr>
              <w:t>4.2.3.1</w:t>
            </w:r>
            <w:r>
              <w:rPr>
                <w:rFonts w:hint="default" w:ascii="Times New Roman" w:hAnsi="Times New Roman" w:eastAsia="宋体" w:cs="Times New Roman"/>
                <w:b/>
                <w:bCs w:val="0"/>
                <w:color w:val="auto"/>
                <w:spacing w:val="-10"/>
                <w:szCs w:val="21"/>
                <w:lang w:eastAsia="zh-CN"/>
              </w:rPr>
              <w:t>破碎废气</w:t>
            </w:r>
            <w:r>
              <w:rPr>
                <w:rFonts w:hint="default" w:ascii="Times New Roman" w:hAnsi="Times New Roman" w:eastAsia="宋体" w:cs="Times New Roman"/>
                <w:b/>
                <w:bCs w:val="0"/>
                <w:color w:val="auto"/>
                <w:spacing w:val="-10"/>
                <w:szCs w:val="21"/>
                <w:lang w:val="en-US" w:eastAsia="zh-CN"/>
              </w:rPr>
              <w:t>G</w:t>
            </w:r>
            <w:r>
              <w:rPr>
                <w:rFonts w:hint="eastAsia" w:ascii="Times New Roman" w:hAnsi="Times New Roman" w:cs="Times New Roman"/>
                <w:b/>
                <w:bCs w:val="0"/>
                <w:color w:val="auto"/>
                <w:spacing w:val="-10"/>
                <w:szCs w:val="21"/>
                <w:lang w:val="en-US" w:eastAsia="zh-CN"/>
              </w:rPr>
              <w:t>2</w:t>
            </w:r>
          </w:p>
          <w:p w14:paraId="488ACF54">
            <w:pPr>
              <w:adjustRightInd w:val="0"/>
              <w:snapToGrid w:val="0"/>
              <w:spacing w:line="360" w:lineRule="auto"/>
              <w:ind w:firstLine="380" w:firstLineChars="200"/>
              <w:rPr>
                <w:rFonts w:hint="default" w:ascii="Times New Roman" w:hAnsi="Times New Roman" w:eastAsia="宋体" w:cs="Times New Roman"/>
                <w:color w:val="auto"/>
                <w:lang w:eastAsia="zh-CN"/>
              </w:rPr>
            </w:pPr>
            <w:r>
              <w:rPr>
                <w:rFonts w:hint="default" w:ascii="Times New Roman" w:hAnsi="Times New Roman" w:eastAsia="宋体" w:cs="Times New Roman"/>
                <w:b w:val="0"/>
                <w:bCs w:val="0"/>
                <w:color w:val="auto"/>
                <w:spacing w:val="-10"/>
                <w:szCs w:val="21"/>
                <w:lang w:val="en-US" w:eastAsia="zh-CN"/>
              </w:rPr>
              <w:t>项目在破碎</w:t>
            </w:r>
            <w:r>
              <w:rPr>
                <w:rFonts w:hint="default" w:ascii="Times New Roman" w:hAnsi="Times New Roman" w:eastAsia="宋体" w:cs="Times New Roman"/>
                <w:b w:val="0"/>
                <w:bCs w:val="0"/>
                <w:color w:val="auto"/>
                <w:szCs w:val="21"/>
                <w:lang w:val="en-US" w:eastAsia="zh-CN"/>
              </w:rPr>
              <w:t>废料过程中会产生破碎粉尘，根据4.5固体废物环境影响及保护措施可知，本项目需要破碎的塑料边角料及其</w:t>
            </w:r>
            <w:r>
              <w:rPr>
                <w:rFonts w:hint="default" w:ascii="Times New Roman" w:hAnsi="Times New Roman" w:eastAsia="宋体" w:cs="Times New Roman"/>
                <w:b w:val="0"/>
                <w:bCs w:val="0"/>
                <w:color w:val="auto"/>
                <w:szCs w:val="21"/>
              </w:rPr>
              <w:t>不合格产品</w:t>
            </w:r>
            <w:r>
              <w:rPr>
                <w:rFonts w:hint="default" w:ascii="Times New Roman" w:hAnsi="Times New Roman" w:eastAsia="宋体" w:cs="Times New Roman"/>
                <w:b w:val="0"/>
                <w:bCs w:val="0"/>
                <w:color w:val="auto"/>
                <w:szCs w:val="21"/>
                <w:lang w:val="en-US" w:eastAsia="zh-CN"/>
              </w:rPr>
              <w:t>重量合计为</w:t>
            </w:r>
            <w:r>
              <w:rPr>
                <w:rFonts w:hint="eastAsia" w:ascii="Times New Roman" w:hAnsi="Times New Roman" w:cs="Times New Roman"/>
                <w:b w:val="0"/>
                <w:bCs w:val="0"/>
                <w:color w:val="auto"/>
                <w:szCs w:val="21"/>
                <w:lang w:val="en-US" w:eastAsia="zh-CN"/>
              </w:rPr>
              <w:t>25</w:t>
            </w:r>
            <w:r>
              <w:rPr>
                <w:rFonts w:hint="default" w:ascii="Times New Roman" w:hAnsi="Times New Roman" w:eastAsia="宋体" w:cs="Times New Roman"/>
                <w:b w:val="0"/>
                <w:bCs w:val="0"/>
                <w:color w:val="auto"/>
                <w:szCs w:val="21"/>
                <w:lang w:val="en-US" w:eastAsia="zh-CN"/>
              </w:rPr>
              <w:t>t/a，</w:t>
            </w:r>
            <w:r>
              <w:rPr>
                <w:rFonts w:hint="default" w:ascii="Times New Roman" w:hAnsi="Times New Roman" w:eastAsia="宋体" w:cs="Times New Roman"/>
                <w:color w:val="auto"/>
                <w:szCs w:val="21"/>
                <w:lang w:val="en-US" w:eastAsia="zh-CN"/>
              </w:rPr>
              <w:t>根据</w:t>
            </w:r>
            <w:r>
              <w:rPr>
                <w:rFonts w:hint="default" w:ascii="Times New Roman" w:hAnsi="Times New Roman" w:eastAsia="宋体" w:cs="Times New Roman"/>
                <w:bCs/>
                <w:color w:val="auto"/>
                <w:spacing w:val="-10"/>
                <w:szCs w:val="21"/>
              </w:rPr>
              <w:t>《排放源统计调查产排污核算方法和系数手册》中</w:t>
            </w:r>
            <w:r>
              <w:rPr>
                <w:rFonts w:hint="default" w:ascii="Times New Roman" w:hAnsi="Times New Roman" w:eastAsia="宋体" w:cs="Times New Roman"/>
                <w:bCs/>
                <w:color w:val="auto"/>
                <w:spacing w:val="-10"/>
                <w:szCs w:val="21"/>
                <w:lang w:val="en-US" w:eastAsia="zh-CN"/>
              </w:rPr>
              <w:t xml:space="preserve">  </w:t>
            </w:r>
            <w:r>
              <w:rPr>
                <w:rFonts w:hint="default" w:ascii="Times New Roman" w:hAnsi="Times New Roman" w:eastAsia="宋体" w:cs="Times New Roman"/>
                <w:bCs/>
                <w:color w:val="auto"/>
                <w:spacing w:val="-10"/>
                <w:szCs w:val="21"/>
              </w:rPr>
              <w:t>42废弃资源综合利用行业系数手册</w:t>
            </w:r>
            <w:r>
              <w:rPr>
                <w:rFonts w:hint="default" w:ascii="Times New Roman" w:hAnsi="Times New Roman" w:eastAsia="宋体" w:cs="Times New Roman"/>
                <w:bCs/>
                <w:color w:val="auto"/>
                <w:spacing w:val="-10"/>
                <w:szCs w:val="21"/>
                <w:lang w:val="en-US" w:eastAsia="zh-CN"/>
              </w:rPr>
              <w:t xml:space="preserve">  4220非金属废料和碎屑加工处理行业系数表中：废</w:t>
            </w:r>
            <w:r>
              <w:rPr>
                <w:rFonts w:hint="default" w:ascii="Times New Roman" w:hAnsi="Times New Roman" w:cs="Times New Roman"/>
                <w:bCs/>
                <w:color w:val="auto"/>
                <w:spacing w:val="-10"/>
                <w:szCs w:val="21"/>
                <w:lang w:val="en-US" w:eastAsia="zh-CN"/>
              </w:rPr>
              <w:t>ABS</w:t>
            </w:r>
            <w:r>
              <w:rPr>
                <w:rFonts w:hint="default" w:ascii="Times New Roman" w:hAnsi="Times New Roman" w:eastAsia="宋体" w:cs="Times New Roman"/>
                <w:bCs/>
                <w:color w:val="auto"/>
                <w:spacing w:val="-10"/>
                <w:szCs w:val="21"/>
                <w:lang w:val="en-US" w:eastAsia="zh-CN"/>
              </w:rPr>
              <w:t>料破碎粉尘的产污系数均为</w:t>
            </w:r>
            <w:r>
              <w:rPr>
                <w:rFonts w:hint="default" w:ascii="Times New Roman" w:hAnsi="Times New Roman" w:cs="Times New Roman"/>
                <w:bCs/>
                <w:color w:val="auto"/>
                <w:spacing w:val="-10"/>
                <w:szCs w:val="21"/>
                <w:lang w:val="en-US" w:eastAsia="zh-CN"/>
              </w:rPr>
              <w:t>425</w:t>
            </w:r>
            <w:r>
              <w:rPr>
                <w:rFonts w:hint="default" w:ascii="Times New Roman" w:hAnsi="Times New Roman" w:eastAsia="宋体" w:cs="Times New Roman"/>
                <w:bCs/>
                <w:color w:val="auto"/>
                <w:spacing w:val="-10"/>
                <w:szCs w:val="21"/>
                <w:lang w:val="en-US" w:eastAsia="zh-CN"/>
              </w:rPr>
              <w:t>g/吨－原料，</w:t>
            </w:r>
            <w:r>
              <w:rPr>
                <w:rFonts w:hint="eastAsia" w:ascii="Times New Roman" w:hAnsi="Times New Roman" w:cs="Times New Roman"/>
                <w:bCs/>
                <w:color w:val="auto"/>
                <w:spacing w:val="-10"/>
                <w:szCs w:val="21"/>
                <w:lang w:val="en-US" w:eastAsia="zh-CN"/>
              </w:rPr>
              <w:t>本项目共设置两台破碎机，破碎时先使用PC400型号破碎机将其破碎至20-40mm，再将破碎后的废料使用PG10型破碎机破碎至2-5mm，因此本次评价破碎粉尘产生量按两次计，</w:t>
            </w:r>
            <w:r>
              <w:rPr>
                <w:rFonts w:hint="default" w:ascii="Times New Roman" w:hAnsi="Times New Roman" w:eastAsia="宋体" w:cs="Times New Roman"/>
                <w:b w:val="0"/>
                <w:bCs/>
                <w:color w:val="auto"/>
                <w:szCs w:val="21"/>
                <w:lang w:val="en-US" w:eastAsia="zh-CN"/>
              </w:rPr>
              <w:t>则破碎粉尘产生量为</w:t>
            </w:r>
            <w:r>
              <w:rPr>
                <w:rFonts w:hint="eastAsia" w:ascii="Times New Roman" w:hAnsi="Times New Roman" w:cs="Times New Roman"/>
                <w:b w:val="0"/>
                <w:bCs/>
                <w:color w:val="auto"/>
                <w:szCs w:val="21"/>
                <w:lang w:val="en-US" w:eastAsia="zh-CN"/>
              </w:rPr>
              <w:t>21.25</w:t>
            </w:r>
            <w:r>
              <w:rPr>
                <w:rFonts w:hint="default" w:ascii="Times New Roman" w:hAnsi="Times New Roman" w:eastAsia="宋体" w:cs="Times New Roman"/>
                <w:b w:val="0"/>
                <w:bCs/>
                <w:color w:val="auto"/>
                <w:szCs w:val="21"/>
                <w:lang w:val="en-US" w:eastAsia="zh-CN"/>
              </w:rPr>
              <w:t>kg/a，产生速率为</w:t>
            </w:r>
            <w:r>
              <w:rPr>
                <w:rFonts w:hint="eastAsia" w:ascii="Times New Roman" w:hAnsi="Times New Roman" w:cs="Times New Roman"/>
                <w:b w:val="0"/>
                <w:bCs/>
                <w:color w:val="auto"/>
                <w:szCs w:val="21"/>
                <w:lang w:val="en-US" w:eastAsia="zh-CN"/>
              </w:rPr>
              <w:t>0.071</w:t>
            </w:r>
            <w:r>
              <w:rPr>
                <w:rFonts w:hint="default" w:ascii="Times New Roman" w:hAnsi="Times New Roman" w:eastAsia="宋体" w:cs="Times New Roman"/>
                <w:b w:val="0"/>
                <w:bCs/>
                <w:color w:val="auto"/>
                <w:szCs w:val="21"/>
                <w:lang w:val="en-US" w:eastAsia="zh-CN"/>
              </w:rPr>
              <w:t>kg/h（工作时间按每天破碎</w:t>
            </w:r>
            <w:r>
              <w:rPr>
                <w:rFonts w:hint="eastAsia" w:ascii="Times New Roman" w:hAnsi="Times New Roman" w:cs="Times New Roman"/>
                <w:b w:val="0"/>
                <w:bCs/>
                <w:color w:val="auto"/>
                <w:szCs w:val="21"/>
                <w:lang w:val="en-US" w:eastAsia="zh-CN"/>
              </w:rPr>
              <w:t>1</w:t>
            </w:r>
            <w:r>
              <w:rPr>
                <w:rFonts w:hint="default" w:ascii="Times New Roman" w:hAnsi="Times New Roman" w:eastAsia="宋体" w:cs="Times New Roman"/>
                <w:b w:val="0"/>
                <w:bCs/>
                <w:color w:val="auto"/>
                <w:szCs w:val="21"/>
                <w:lang w:val="en-US" w:eastAsia="zh-CN"/>
              </w:rPr>
              <w:t>h计），</w:t>
            </w:r>
            <w:r>
              <w:rPr>
                <w:rFonts w:hint="eastAsia" w:ascii="Times New Roman" w:hAnsi="Times New Roman" w:cs="Times New Roman"/>
                <w:b w:val="0"/>
                <w:bCs/>
                <w:color w:val="auto"/>
                <w:szCs w:val="21"/>
                <w:lang w:val="en-US" w:eastAsia="zh-CN"/>
              </w:rPr>
              <w:t>破碎机单独设置在密闭的房间，</w:t>
            </w:r>
            <w:r>
              <w:rPr>
                <w:rFonts w:hint="default" w:ascii="Times New Roman" w:hAnsi="Times New Roman" w:eastAsia="宋体" w:cs="Times New Roman"/>
                <w:b w:val="0"/>
                <w:bCs/>
                <w:color w:val="auto"/>
                <w:szCs w:val="21"/>
                <w:lang w:val="en-US" w:eastAsia="zh-CN"/>
              </w:rPr>
              <w:t>破碎机进料口采用软帘遮挡，出料口采用收集袋直接收集，破碎粉尘产生量较少，最后通过加强室内通风，在车间内无组织排放。</w:t>
            </w:r>
          </w:p>
          <w:p w14:paraId="741B3295">
            <w:pPr>
              <w:spacing w:line="360" w:lineRule="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val="0"/>
                <w:color w:val="auto"/>
                <w:szCs w:val="21"/>
                <w:lang w:val="en-US" w:eastAsia="zh-CN"/>
              </w:rPr>
              <w:t>4.2.4.1</w:t>
            </w:r>
            <w:r>
              <w:rPr>
                <w:rFonts w:hint="default" w:ascii="Times New Roman" w:hAnsi="Times New Roman" w:eastAsia="宋体" w:cs="Times New Roman"/>
                <w:b/>
                <w:bCs/>
                <w:color w:val="auto"/>
                <w:sz w:val="21"/>
                <w:szCs w:val="21"/>
                <w:vertAlign w:val="baseline"/>
                <w:lang w:val="en-US" w:eastAsia="zh-CN"/>
              </w:rPr>
              <w:t>臭气</w:t>
            </w:r>
          </w:p>
          <w:p w14:paraId="6A0F8E90">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此外，</w:t>
            </w:r>
            <w:r>
              <w:rPr>
                <w:rFonts w:hint="default" w:ascii="Times New Roman" w:hAnsi="Times New Roman" w:eastAsia="宋体" w:cs="Times New Roman"/>
                <w:color w:val="auto"/>
                <w:sz w:val="21"/>
                <w:szCs w:val="21"/>
                <w:lang w:eastAsia="zh-CN"/>
              </w:rPr>
              <w:t>项目</w:t>
            </w:r>
            <w:r>
              <w:rPr>
                <w:rFonts w:hint="default" w:ascii="Times New Roman" w:hAnsi="Times New Roman" w:eastAsia="宋体" w:cs="Times New Roman"/>
                <w:color w:val="auto"/>
                <w:sz w:val="21"/>
                <w:szCs w:val="21"/>
                <w:lang w:val="en-US" w:eastAsia="zh-CN"/>
              </w:rPr>
              <w:t>塑料颗粒在注塑成型时会产生异味气体</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产生量小，对外环境的影响可接受。</w:t>
            </w:r>
          </w:p>
          <w:p w14:paraId="11C9C3A0">
            <w:pPr>
              <w:autoSpaceDE w:val="0"/>
              <w:autoSpaceDN w:val="0"/>
              <w:adjustRightInd w:val="0"/>
              <w:spacing w:line="360" w:lineRule="auto"/>
              <w:ind w:firstLine="420" w:firstLineChars="200"/>
              <w:rPr>
                <w:rFonts w:hint="default" w:ascii="Times New Roman" w:hAnsi="Times New Roman" w:cs="Times New Roman"/>
                <w:bCs/>
                <w:snapToGrid w:val="0"/>
                <w:color w:val="auto"/>
                <w:szCs w:val="21"/>
              </w:rPr>
            </w:pPr>
            <w:r>
              <w:rPr>
                <w:rFonts w:hint="default" w:ascii="Times New Roman" w:hAnsi="Times New Roman" w:cs="Times New Roman"/>
                <w:bCs/>
                <w:snapToGrid w:val="0"/>
                <w:color w:val="auto"/>
                <w:szCs w:val="21"/>
              </w:rPr>
              <w:t>项目废气污染源源强核算结果及相关参数见下表。</w:t>
            </w:r>
          </w:p>
          <w:p w14:paraId="77896B2C">
            <w:pPr>
              <w:autoSpaceDE w:val="0"/>
              <w:autoSpaceDN w:val="0"/>
              <w:adjustRightInd w:val="0"/>
              <w:spacing w:line="360" w:lineRule="auto"/>
              <w:ind w:firstLine="420" w:firstLineChars="200"/>
              <w:rPr>
                <w:rFonts w:hint="default" w:ascii="Times New Roman" w:hAnsi="Times New Roman" w:cs="Times New Roman"/>
                <w:bCs/>
                <w:snapToGrid w:val="0"/>
                <w:color w:val="auto"/>
                <w:szCs w:val="21"/>
              </w:rPr>
            </w:pPr>
          </w:p>
          <w:p w14:paraId="692A8167">
            <w:pPr>
              <w:autoSpaceDE w:val="0"/>
              <w:autoSpaceDN w:val="0"/>
              <w:adjustRightInd w:val="0"/>
              <w:spacing w:line="360" w:lineRule="auto"/>
              <w:ind w:firstLine="420" w:firstLineChars="200"/>
              <w:rPr>
                <w:rFonts w:hint="default" w:ascii="Times New Roman" w:hAnsi="Times New Roman" w:cs="Times New Roman"/>
                <w:bCs/>
                <w:snapToGrid w:val="0"/>
                <w:color w:val="auto"/>
                <w:szCs w:val="21"/>
              </w:rPr>
            </w:pPr>
          </w:p>
          <w:p w14:paraId="7FBE640A">
            <w:pPr>
              <w:autoSpaceDE w:val="0"/>
              <w:autoSpaceDN w:val="0"/>
              <w:adjustRightInd w:val="0"/>
              <w:spacing w:line="360" w:lineRule="auto"/>
              <w:ind w:firstLine="420" w:firstLineChars="200"/>
              <w:rPr>
                <w:rFonts w:hint="default" w:ascii="Times New Roman" w:hAnsi="Times New Roman" w:cs="Times New Roman"/>
                <w:bCs/>
                <w:snapToGrid w:val="0"/>
                <w:color w:val="auto"/>
                <w:szCs w:val="21"/>
              </w:rPr>
            </w:pPr>
          </w:p>
          <w:p w14:paraId="2ED1125F">
            <w:pPr>
              <w:autoSpaceDE w:val="0"/>
              <w:autoSpaceDN w:val="0"/>
              <w:adjustRightInd w:val="0"/>
              <w:spacing w:line="360" w:lineRule="auto"/>
              <w:ind w:firstLine="420" w:firstLineChars="200"/>
              <w:rPr>
                <w:rFonts w:hint="default" w:ascii="Times New Roman" w:hAnsi="Times New Roman" w:cs="Times New Roman"/>
                <w:bCs/>
                <w:snapToGrid w:val="0"/>
                <w:color w:val="auto"/>
                <w:szCs w:val="21"/>
              </w:rPr>
            </w:pPr>
          </w:p>
          <w:p w14:paraId="6BE5B104">
            <w:pPr>
              <w:autoSpaceDE w:val="0"/>
              <w:autoSpaceDN w:val="0"/>
              <w:adjustRightInd w:val="0"/>
              <w:spacing w:line="360" w:lineRule="auto"/>
              <w:ind w:firstLine="420" w:firstLineChars="200"/>
              <w:rPr>
                <w:rFonts w:hint="default" w:ascii="Times New Roman" w:hAnsi="Times New Roman" w:cs="Times New Roman"/>
                <w:bCs/>
                <w:snapToGrid w:val="0"/>
                <w:color w:val="auto"/>
                <w:szCs w:val="21"/>
              </w:rPr>
            </w:pPr>
          </w:p>
          <w:p w14:paraId="5303233F">
            <w:pPr>
              <w:autoSpaceDE w:val="0"/>
              <w:autoSpaceDN w:val="0"/>
              <w:adjustRightInd w:val="0"/>
              <w:spacing w:line="360" w:lineRule="auto"/>
              <w:ind w:firstLine="420" w:firstLineChars="200"/>
              <w:rPr>
                <w:rFonts w:hint="default" w:ascii="Times New Roman" w:hAnsi="Times New Roman" w:cs="Times New Roman"/>
                <w:bCs/>
                <w:snapToGrid w:val="0"/>
                <w:color w:val="auto"/>
                <w:szCs w:val="21"/>
              </w:rPr>
            </w:pPr>
          </w:p>
          <w:p w14:paraId="2E3D552F">
            <w:pPr>
              <w:autoSpaceDE w:val="0"/>
              <w:autoSpaceDN w:val="0"/>
              <w:adjustRightInd w:val="0"/>
              <w:spacing w:line="360" w:lineRule="auto"/>
              <w:ind w:firstLine="420" w:firstLineChars="200"/>
              <w:rPr>
                <w:rFonts w:hint="default" w:ascii="Times New Roman" w:hAnsi="Times New Roman" w:cs="Times New Roman"/>
                <w:bCs/>
                <w:snapToGrid w:val="0"/>
                <w:color w:val="auto"/>
                <w:szCs w:val="21"/>
              </w:rPr>
            </w:pPr>
          </w:p>
          <w:p w14:paraId="55120A90">
            <w:pPr>
              <w:autoSpaceDE w:val="0"/>
              <w:autoSpaceDN w:val="0"/>
              <w:adjustRightInd w:val="0"/>
              <w:spacing w:line="360" w:lineRule="auto"/>
              <w:ind w:firstLine="420" w:firstLineChars="200"/>
              <w:rPr>
                <w:rFonts w:hint="default" w:ascii="Times New Roman" w:hAnsi="Times New Roman" w:cs="Times New Roman"/>
                <w:bCs/>
                <w:snapToGrid w:val="0"/>
                <w:color w:val="auto"/>
                <w:szCs w:val="21"/>
              </w:rPr>
            </w:pPr>
          </w:p>
          <w:p w14:paraId="11CFCA27">
            <w:pPr>
              <w:autoSpaceDE w:val="0"/>
              <w:autoSpaceDN w:val="0"/>
              <w:adjustRightInd w:val="0"/>
              <w:spacing w:line="360" w:lineRule="auto"/>
              <w:ind w:firstLine="420" w:firstLineChars="200"/>
              <w:rPr>
                <w:rFonts w:hint="default" w:ascii="Times New Roman" w:hAnsi="Times New Roman" w:cs="Times New Roman"/>
                <w:bCs/>
                <w:snapToGrid w:val="0"/>
                <w:color w:val="auto"/>
                <w:szCs w:val="21"/>
              </w:rPr>
            </w:pPr>
          </w:p>
          <w:p w14:paraId="41731FB2">
            <w:pPr>
              <w:autoSpaceDE w:val="0"/>
              <w:autoSpaceDN w:val="0"/>
              <w:adjustRightInd w:val="0"/>
              <w:spacing w:line="360" w:lineRule="auto"/>
              <w:ind w:firstLine="420" w:firstLineChars="200"/>
              <w:rPr>
                <w:rFonts w:hint="default" w:ascii="Times New Roman" w:hAnsi="Times New Roman" w:cs="Times New Roman"/>
                <w:bCs/>
                <w:snapToGrid w:val="0"/>
                <w:color w:val="auto"/>
                <w:szCs w:val="21"/>
              </w:rPr>
            </w:pPr>
          </w:p>
          <w:p w14:paraId="3B712219">
            <w:pPr>
              <w:autoSpaceDE w:val="0"/>
              <w:autoSpaceDN w:val="0"/>
              <w:adjustRightInd w:val="0"/>
              <w:spacing w:line="360" w:lineRule="auto"/>
              <w:ind w:firstLine="420" w:firstLineChars="200"/>
              <w:rPr>
                <w:rFonts w:hint="default" w:ascii="Times New Roman" w:hAnsi="Times New Roman" w:cs="Times New Roman"/>
                <w:bCs/>
                <w:snapToGrid w:val="0"/>
                <w:color w:val="auto"/>
                <w:szCs w:val="21"/>
              </w:rPr>
            </w:pPr>
          </w:p>
          <w:p w14:paraId="72EA4EA5">
            <w:pPr>
              <w:autoSpaceDE w:val="0"/>
              <w:autoSpaceDN w:val="0"/>
              <w:adjustRightInd w:val="0"/>
              <w:spacing w:line="360" w:lineRule="auto"/>
              <w:ind w:firstLine="420" w:firstLineChars="200"/>
              <w:rPr>
                <w:rFonts w:hint="default" w:ascii="Times New Roman" w:hAnsi="Times New Roman" w:cs="Times New Roman"/>
                <w:bCs/>
                <w:snapToGrid w:val="0"/>
                <w:color w:val="auto"/>
                <w:szCs w:val="21"/>
              </w:rPr>
            </w:pPr>
          </w:p>
        </w:tc>
      </w:tr>
    </w:tbl>
    <w:p w14:paraId="5AB6DB37">
      <w:pPr>
        <w:adjustRightInd w:val="0"/>
        <w:snapToGrid w:val="0"/>
        <w:spacing w:line="360" w:lineRule="auto"/>
        <w:rPr>
          <w:rFonts w:hint="default" w:ascii="Times New Roman" w:hAnsi="Times New Roman" w:cs="Times New Roman"/>
          <w:b/>
          <w:color w:val="auto"/>
          <w:kern w:val="0"/>
          <w:sz w:val="28"/>
          <w:szCs w:val="28"/>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51ADEB08">
      <w:pPr>
        <w:pStyle w:val="26"/>
        <w:adjustRightInd w:val="0"/>
        <w:snapToGrid w:val="0"/>
        <w:spacing w:before="0" w:beforeAutospacing="0" w:after="0" w:afterAutospacing="0" w:line="360" w:lineRule="auto"/>
        <w:jc w:val="center"/>
        <w:outlineLvl w:val="0"/>
        <w:rPr>
          <w:rFonts w:hint="default" w:ascii="Times New Roman" w:hAnsi="Times New Roman" w:cs="Times New Roman"/>
          <w:b/>
          <w:snapToGrid w:val="0"/>
          <w:color w:val="auto"/>
          <w:sz w:val="21"/>
          <w:szCs w:val="21"/>
        </w:rPr>
      </w:pPr>
      <w:r>
        <w:rPr>
          <w:rFonts w:hint="default" w:ascii="Times New Roman" w:hAnsi="Times New Roman" w:cs="Times New Roman"/>
          <w:b/>
          <w:color w:val="auto"/>
          <w:sz w:val="21"/>
          <w:szCs w:val="21"/>
        </w:rPr>
        <w:t>表4-</w:t>
      </w:r>
      <w:r>
        <w:rPr>
          <w:rFonts w:hint="eastAsia" w:ascii="Times New Roman" w:hAnsi="Times New Roman" w:cs="Times New Roman"/>
          <w:b/>
          <w:color w:val="auto"/>
          <w:sz w:val="21"/>
          <w:szCs w:val="21"/>
          <w:lang w:val="en-US" w:eastAsia="zh-CN"/>
        </w:rPr>
        <w:t>2</w:t>
      </w:r>
      <w:r>
        <w:rPr>
          <w:rFonts w:hint="default" w:ascii="Times New Roman" w:hAnsi="Times New Roman" w:cs="Times New Roman"/>
          <w:b/>
          <w:color w:val="auto"/>
          <w:sz w:val="21"/>
          <w:szCs w:val="21"/>
        </w:rPr>
        <w:t xml:space="preserve">  </w:t>
      </w:r>
      <w:r>
        <w:rPr>
          <w:rFonts w:hint="default" w:ascii="Times New Roman" w:hAnsi="Times New Roman" w:cs="Times New Roman"/>
          <w:b/>
          <w:snapToGrid w:val="0"/>
          <w:color w:val="auto"/>
          <w:sz w:val="21"/>
          <w:szCs w:val="21"/>
        </w:rPr>
        <w:t>废气污染源源强核算结果及相关参数一览表</w:t>
      </w:r>
    </w:p>
    <w:tbl>
      <w:tblPr>
        <w:tblStyle w:val="31"/>
        <w:tblW w:w="592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145"/>
        <w:gridCol w:w="1126"/>
        <w:gridCol w:w="993"/>
        <w:gridCol w:w="799"/>
        <w:gridCol w:w="802"/>
        <w:gridCol w:w="463"/>
        <w:gridCol w:w="511"/>
        <w:gridCol w:w="579"/>
        <w:gridCol w:w="576"/>
        <w:gridCol w:w="919"/>
        <w:gridCol w:w="799"/>
        <w:gridCol w:w="847"/>
        <w:gridCol w:w="776"/>
        <w:gridCol w:w="802"/>
        <w:gridCol w:w="576"/>
        <w:gridCol w:w="395"/>
        <w:gridCol w:w="530"/>
        <w:gridCol w:w="530"/>
        <w:gridCol w:w="414"/>
        <w:gridCol w:w="1210"/>
      </w:tblGrid>
      <w:tr w14:paraId="5599E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restart"/>
            <w:tcBorders>
              <w:tl2br w:val="nil"/>
              <w:tr2bl w:val="nil"/>
            </w:tcBorders>
            <w:noWrap w:val="0"/>
            <w:vAlign w:val="center"/>
          </w:tcPr>
          <w:p w14:paraId="194B303E">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vertAlign w:val="baseline"/>
                <w:lang w:eastAsia="zh-CN"/>
              </w:rPr>
            </w:pPr>
            <w:r>
              <w:rPr>
                <w:rFonts w:hint="default" w:ascii="Times New Roman" w:hAnsi="Times New Roman" w:eastAsia="宋体" w:cs="Times New Roman"/>
                <w:b/>
                <w:bCs/>
                <w:snapToGrid w:val="0"/>
                <w:color w:val="auto"/>
                <w:sz w:val="18"/>
                <w:szCs w:val="18"/>
                <w:lang w:eastAsia="zh-CN"/>
              </w:rPr>
              <w:t>工序</w:t>
            </w:r>
          </w:p>
        </w:tc>
        <w:tc>
          <w:tcPr>
            <w:tcW w:w="354" w:type="pct"/>
            <w:vMerge w:val="restart"/>
            <w:tcBorders>
              <w:tl2br w:val="nil"/>
              <w:tr2bl w:val="nil"/>
            </w:tcBorders>
            <w:noWrap w:val="0"/>
            <w:vAlign w:val="center"/>
          </w:tcPr>
          <w:p w14:paraId="17179644">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vertAlign w:val="baseline"/>
                <w:lang w:eastAsia="zh-CN"/>
              </w:rPr>
            </w:pPr>
            <w:r>
              <w:rPr>
                <w:rFonts w:hint="default" w:ascii="Times New Roman" w:hAnsi="Times New Roman" w:eastAsia="宋体" w:cs="Times New Roman"/>
                <w:b/>
                <w:bCs/>
                <w:snapToGrid w:val="0"/>
                <w:color w:val="auto"/>
                <w:sz w:val="18"/>
                <w:szCs w:val="18"/>
                <w:vertAlign w:val="baseline"/>
                <w:lang w:eastAsia="zh-CN"/>
              </w:rPr>
              <w:t>装置</w:t>
            </w:r>
          </w:p>
        </w:tc>
        <w:tc>
          <w:tcPr>
            <w:tcW w:w="348" w:type="pct"/>
            <w:vMerge w:val="restart"/>
            <w:tcBorders>
              <w:tl2br w:val="nil"/>
              <w:tr2bl w:val="nil"/>
            </w:tcBorders>
            <w:noWrap w:val="0"/>
            <w:vAlign w:val="center"/>
          </w:tcPr>
          <w:p w14:paraId="4FA85E5B">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sz w:val="18"/>
                <w:szCs w:val="18"/>
                <w:lang w:eastAsia="zh-CN"/>
              </w:rPr>
              <w:t>污染源</w:t>
            </w:r>
          </w:p>
        </w:tc>
        <w:tc>
          <w:tcPr>
            <w:tcW w:w="307" w:type="pct"/>
            <w:vMerge w:val="restart"/>
            <w:tcBorders>
              <w:tl2br w:val="nil"/>
              <w:tr2bl w:val="nil"/>
            </w:tcBorders>
            <w:noWrap w:val="0"/>
            <w:vAlign w:val="center"/>
          </w:tcPr>
          <w:p w14:paraId="30BF3634">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sz w:val="18"/>
                <w:szCs w:val="18"/>
                <w:lang w:eastAsia="zh-CN"/>
              </w:rPr>
              <w:t>污染物</w:t>
            </w:r>
          </w:p>
        </w:tc>
        <w:tc>
          <w:tcPr>
            <w:tcW w:w="495" w:type="pct"/>
            <w:gridSpan w:val="2"/>
            <w:vMerge w:val="restart"/>
            <w:tcBorders>
              <w:tl2br w:val="nil"/>
              <w:tr2bl w:val="nil"/>
            </w:tcBorders>
            <w:noWrap w:val="0"/>
            <w:vAlign w:val="center"/>
          </w:tcPr>
          <w:p w14:paraId="071C7452">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污染物产生</w:t>
            </w:r>
          </w:p>
        </w:tc>
        <w:tc>
          <w:tcPr>
            <w:tcW w:w="480" w:type="pct"/>
            <w:gridSpan w:val="3"/>
            <w:vMerge w:val="restart"/>
            <w:tcBorders>
              <w:tl2br w:val="nil"/>
              <w:tr2bl w:val="nil"/>
            </w:tcBorders>
            <w:noWrap w:val="0"/>
            <w:vAlign w:val="center"/>
          </w:tcPr>
          <w:p w14:paraId="6DF7DEDF">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vertAlign w:val="baseline"/>
                <w:lang w:eastAsia="zh-CN"/>
              </w:rPr>
            </w:pPr>
            <w:r>
              <w:rPr>
                <w:rFonts w:hint="default" w:ascii="Times New Roman" w:hAnsi="Times New Roman" w:eastAsia="宋体" w:cs="Times New Roman"/>
                <w:b/>
                <w:bCs/>
                <w:snapToGrid w:val="0"/>
                <w:color w:val="auto"/>
                <w:sz w:val="18"/>
                <w:szCs w:val="18"/>
                <w:lang w:eastAsia="zh-CN"/>
              </w:rPr>
              <w:t>治理设施</w:t>
            </w:r>
          </w:p>
        </w:tc>
        <w:tc>
          <w:tcPr>
            <w:tcW w:w="2589" w:type="pct"/>
            <w:gridSpan w:val="12"/>
            <w:tcBorders>
              <w:tl2br w:val="nil"/>
              <w:tr2bl w:val="nil"/>
            </w:tcBorders>
            <w:noWrap w:val="0"/>
            <w:vAlign w:val="center"/>
          </w:tcPr>
          <w:p w14:paraId="153A9EF5">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污染物排放</w:t>
            </w:r>
          </w:p>
        </w:tc>
      </w:tr>
      <w:tr w14:paraId="667CB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Merge w:val="continue"/>
            <w:tcBorders>
              <w:tl2br w:val="nil"/>
              <w:tr2bl w:val="nil"/>
            </w:tcBorders>
            <w:noWrap w:val="0"/>
            <w:vAlign w:val="center"/>
          </w:tcPr>
          <w:p w14:paraId="02C6EF58">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lang w:eastAsia="zh-CN"/>
              </w:rPr>
            </w:pPr>
          </w:p>
        </w:tc>
        <w:tc>
          <w:tcPr>
            <w:tcW w:w="354" w:type="pct"/>
            <w:vMerge w:val="continue"/>
            <w:tcBorders>
              <w:tl2br w:val="nil"/>
              <w:tr2bl w:val="nil"/>
            </w:tcBorders>
            <w:noWrap w:val="0"/>
            <w:vAlign w:val="center"/>
          </w:tcPr>
          <w:p w14:paraId="04B62344">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vertAlign w:val="baseline"/>
                <w:lang w:eastAsia="zh-CN"/>
              </w:rPr>
            </w:pPr>
          </w:p>
        </w:tc>
        <w:tc>
          <w:tcPr>
            <w:tcW w:w="348" w:type="pct"/>
            <w:vMerge w:val="continue"/>
            <w:tcBorders>
              <w:tl2br w:val="nil"/>
              <w:tr2bl w:val="nil"/>
            </w:tcBorders>
            <w:noWrap w:val="0"/>
            <w:vAlign w:val="center"/>
          </w:tcPr>
          <w:p w14:paraId="45F61FE9">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p>
        </w:tc>
        <w:tc>
          <w:tcPr>
            <w:tcW w:w="307" w:type="pct"/>
            <w:vMerge w:val="continue"/>
            <w:tcBorders>
              <w:tl2br w:val="nil"/>
              <w:tr2bl w:val="nil"/>
            </w:tcBorders>
            <w:noWrap w:val="0"/>
            <w:vAlign w:val="center"/>
          </w:tcPr>
          <w:p w14:paraId="0DB70385">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p>
        </w:tc>
        <w:tc>
          <w:tcPr>
            <w:tcW w:w="495" w:type="pct"/>
            <w:gridSpan w:val="2"/>
            <w:vMerge w:val="continue"/>
            <w:tcBorders>
              <w:tl2br w:val="nil"/>
              <w:tr2bl w:val="nil"/>
            </w:tcBorders>
            <w:noWrap w:val="0"/>
            <w:vAlign w:val="center"/>
          </w:tcPr>
          <w:p w14:paraId="35E1FFEA">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lang w:eastAsia="zh-CN"/>
              </w:rPr>
            </w:pPr>
          </w:p>
        </w:tc>
        <w:tc>
          <w:tcPr>
            <w:tcW w:w="480" w:type="pct"/>
            <w:gridSpan w:val="3"/>
            <w:vMerge w:val="continue"/>
            <w:tcBorders>
              <w:tl2br w:val="nil"/>
              <w:tr2bl w:val="nil"/>
            </w:tcBorders>
            <w:noWrap w:val="0"/>
            <w:vAlign w:val="center"/>
          </w:tcPr>
          <w:p w14:paraId="78269655">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lang w:eastAsia="zh-CN"/>
              </w:rPr>
            </w:pPr>
          </w:p>
        </w:tc>
        <w:tc>
          <w:tcPr>
            <w:tcW w:w="971" w:type="pct"/>
            <w:gridSpan w:val="4"/>
            <w:tcBorders>
              <w:tl2br w:val="nil"/>
              <w:tr2bl w:val="nil"/>
            </w:tcBorders>
            <w:noWrap w:val="0"/>
            <w:vAlign w:val="center"/>
          </w:tcPr>
          <w:p w14:paraId="67212932">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有组织</w:t>
            </w:r>
          </w:p>
        </w:tc>
        <w:tc>
          <w:tcPr>
            <w:tcW w:w="488" w:type="pct"/>
            <w:gridSpan w:val="2"/>
            <w:tcBorders>
              <w:tl2br w:val="nil"/>
              <w:tr2bl w:val="nil"/>
            </w:tcBorders>
            <w:noWrap w:val="0"/>
            <w:vAlign w:val="center"/>
          </w:tcPr>
          <w:p w14:paraId="655C3B01">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无组织</w:t>
            </w:r>
          </w:p>
        </w:tc>
        <w:tc>
          <w:tcPr>
            <w:tcW w:w="178" w:type="pct"/>
            <w:vMerge w:val="restart"/>
            <w:tcBorders>
              <w:tl2br w:val="nil"/>
              <w:tr2bl w:val="nil"/>
            </w:tcBorders>
            <w:noWrap w:val="0"/>
            <w:vAlign w:val="center"/>
          </w:tcPr>
          <w:p w14:paraId="7DF664DB">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排放时间</w:t>
            </w:r>
          </w:p>
        </w:tc>
        <w:tc>
          <w:tcPr>
            <w:tcW w:w="578" w:type="pct"/>
            <w:gridSpan w:val="4"/>
            <w:tcBorders>
              <w:tl2br w:val="nil"/>
              <w:tr2bl w:val="nil"/>
            </w:tcBorders>
            <w:noWrap w:val="0"/>
            <w:vAlign w:val="center"/>
          </w:tcPr>
          <w:p w14:paraId="4FD7A0CF">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排气筒</w:t>
            </w:r>
          </w:p>
        </w:tc>
        <w:tc>
          <w:tcPr>
            <w:tcW w:w="374" w:type="pct"/>
            <w:vMerge w:val="restart"/>
            <w:tcBorders>
              <w:tl2br w:val="nil"/>
              <w:tr2bl w:val="nil"/>
            </w:tcBorders>
            <w:noWrap w:val="0"/>
            <w:vAlign w:val="center"/>
          </w:tcPr>
          <w:p w14:paraId="26D999D3">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排放口类型</w:t>
            </w:r>
          </w:p>
        </w:tc>
      </w:tr>
      <w:tr w14:paraId="16E17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25" w:type="pct"/>
            <w:vMerge w:val="continue"/>
            <w:tcBorders>
              <w:tl2br w:val="nil"/>
              <w:tr2bl w:val="nil"/>
            </w:tcBorders>
            <w:noWrap w:val="0"/>
            <w:vAlign w:val="center"/>
          </w:tcPr>
          <w:p w14:paraId="5FFDE339">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vertAlign w:val="baseline"/>
                <w:lang w:eastAsia="zh-CN"/>
              </w:rPr>
            </w:pPr>
          </w:p>
        </w:tc>
        <w:tc>
          <w:tcPr>
            <w:tcW w:w="354" w:type="pct"/>
            <w:vMerge w:val="continue"/>
            <w:tcBorders>
              <w:tl2br w:val="nil"/>
              <w:tr2bl w:val="nil"/>
            </w:tcBorders>
            <w:noWrap w:val="0"/>
            <w:vAlign w:val="center"/>
          </w:tcPr>
          <w:p w14:paraId="08BC2353">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vertAlign w:val="baseline"/>
                <w:lang w:eastAsia="zh-CN"/>
              </w:rPr>
            </w:pPr>
          </w:p>
        </w:tc>
        <w:tc>
          <w:tcPr>
            <w:tcW w:w="348" w:type="pct"/>
            <w:vMerge w:val="continue"/>
            <w:tcBorders>
              <w:tl2br w:val="nil"/>
              <w:tr2bl w:val="nil"/>
            </w:tcBorders>
            <w:noWrap w:val="0"/>
            <w:vAlign w:val="center"/>
          </w:tcPr>
          <w:p w14:paraId="05BFD260">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vertAlign w:val="baseline"/>
                <w:lang w:eastAsia="zh-CN"/>
              </w:rPr>
            </w:pPr>
          </w:p>
        </w:tc>
        <w:tc>
          <w:tcPr>
            <w:tcW w:w="307" w:type="pct"/>
            <w:vMerge w:val="continue"/>
            <w:tcBorders>
              <w:tl2br w:val="nil"/>
              <w:tr2bl w:val="nil"/>
            </w:tcBorders>
            <w:noWrap w:val="0"/>
            <w:vAlign w:val="center"/>
          </w:tcPr>
          <w:p w14:paraId="1F3A125D">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vertAlign w:val="baseline"/>
                <w:lang w:eastAsia="zh-CN"/>
              </w:rPr>
            </w:pPr>
          </w:p>
        </w:tc>
        <w:tc>
          <w:tcPr>
            <w:tcW w:w="495" w:type="pct"/>
            <w:gridSpan w:val="2"/>
            <w:tcBorders>
              <w:tl2br w:val="nil"/>
              <w:tr2bl w:val="nil"/>
            </w:tcBorders>
            <w:noWrap w:val="0"/>
            <w:vAlign w:val="center"/>
          </w:tcPr>
          <w:p w14:paraId="48CE225E">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产生量</w:t>
            </w:r>
          </w:p>
        </w:tc>
        <w:tc>
          <w:tcPr>
            <w:tcW w:w="143" w:type="pct"/>
            <w:vMerge w:val="restart"/>
            <w:tcBorders>
              <w:tl2br w:val="nil"/>
              <w:tr2bl w:val="nil"/>
            </w:tcBorders>
            <w:noWrap w:val="0"/>
            <w:vAlign w:val="center"/>
          </w:tcPr>
          <w:p w14:paraId="56A2D325">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kern w:val="0"/>
                <w:sz w:val="18"/>
                <w:szCs w:val="18"/>
                <w:lang w:val="en-US" w:eastAsia="zh-CN" w:bidi="ar-SA"/>
              </w:rPr>
              <w:t>收集效率</w:t>
            </w:r>
            <w:r>
              <w:rPr>
                <w:rFonts w:hint="default" w:ascii="Times New Roman" w:hAnsi="Times New Roman" w:eastAsia="宋体" w:cs="Times New Roman"/>
                <w:b/>
                <w:bCs/>
                <w:snapToGrid w:val="0"/>
                <w:color w:val="auto"/>
                <w:sz w:val="18"/>
                <w:szCs w:val="18"/>
                <w:lang w:val="en-US" w:eastAsia="zh-CN"/>
              </w:rPr>
              <w:t>%</w:t>
            </w:r>
          </w:p>
        </w:tc>
        <w:tc>
          <w:tcPr>
            <w:tcW w:w="158" w:type="pct"/>
            <w:vMerge w:val="restart"/>
            <w:tcBorders>
              <w:tl2br w:val="nil"/>
              <w:tr2bl w:val="nil"/>
            </w:tcBorders>
            <w:noWrap w:val="0"/>
            <w:vAlign w:val="center"/>
          </w:tcPr>
          <w:p w14:paraId="52FE37BF">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治理工艺</w:t>
            </w:r>
          </w:p>
        </w:tc>
        <w:tc>
          <w:tcPr>
            <w:tcW w:w="179" w:type="pct"/>
            <w:vMerge w:val="restart"/>
            <w:tcBorders>
              <w:tl2br w:val="nil"/>
              <w:tr2bl w:val="nil"/>
            </w:tcBorders>
            <w:noWrap w:val="0"/>
            <w:vAlign w:val="center"/>
          </w:tcPr>
          <w:p w14:paraId="025AF454">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sz w:val="18"/>
                <w:szCs w:val="18"/>
                <w:lang w:eastAsia="zh-CN"/>
              </w:rPr>
              <w:t>去除效率%</w:t>
            </w:r>
          </w:p>
        </w:tc>
        <w:tc>
          <w:tcPr>
            <w:tcW w:w="178" w:type="pct"/>
            <w:vMerge w:val="restart"/>
            <w:tcBorders>
              <w:tl2br w:val="nil"/>
              <w:tr2bl w:val="nil"/>
            </w:tcBorders>
            <w:noWrap w:val="0"/>
            <w:vAlign w:val="center"/>
          </w:tcPr>
          <w:p w14:paraId="7A138B33">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sz w:val="18"/>
                <w:szCs w:val="18"/>
                <w:lang w:eastAsia="zh-CN"/>
              </w:rPr>
              <w:t>风机风量</w:t>
            </w:r>
            <w:r>
              <w:rPr>
                <w:rFonts w:hint="default" w:ascii="Times New Roman" w:hAnsi="Times New Roman" w:eastAsia="宋体" w:cs="Times New Roman"/>
                <w:b/>
                <w:bCs/>
                <w:snapToGrid w:val="0"/>
                <w:color w:val="auto"/>
                <w:sz w:val="18"/>
                <w:szCs w:val="18"/>
                <w:highlight w:val="none"/>
                <w:lang w:eastAsia="zh-CN"/>
              </w:rPr>
              <w:t>m</w:t>
            </w:r>
            <w:r>
              <w:rPr>
                <w:rFonts w:hint="default" w:ascii="Times New Roman" w:hAnsi="Times New Roman" w:eastAsia="宋体" w:cs="Times New Roman"/>
                <w:b/>
                <w:bCs/>
                <w:snapToGrid w:val="0"/>
                <w:color w:val="auto"/>
                <w:sz w:val="18"/>
                <w:szCs w:val="18"/>
                <w:highlight w:val="none"/>
                <w:vertAlign w:val="superscript"/>
                <w:lang w:eastAsia="zh-CN"/>
              </w:rPr>
              <w:t>3</w:t>
            </w:r>
            <w:r>
              <w:rPr>
                <w:rFonts w:hint="default" w:ascii="Times New Roman" w:hAnsi="Times New Roman" w:eastAsia="宋体" w:cs="Times New Roman"/>
                <w:b/>
                <w:bCs/>
                <w:snapToGrid w:val="0"/>
                <w:color w:val="auto"/>
                <w:sz w:val="18"/>
                <w:szCs w:val="18"/>
                <w:lang w:eastAsia="zh-CN"/>
              </w:rPr>
              <w:t>/h</w:t>
            </w:r>
          </w:p>
        </w:tc>
        <w:tc>
          <w:tcPr>
            <w:tcW w:w="284" w:type="pct"/>
            <w:vMerge w:val="restart"/>
            <w:tcBorders>
              <w:tl2br w:val="nil"/>
              <w:tr2bl w:val="nil"/>
            </w:tcBorders>
            <w:noWrap w:val="0"/>
            <w:vAlign w:val="center"/>
          </w:tcPr>
          <w:p w14:paraId="2AA32DC0">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sz w:val="18"/>
                <w:szCs w:val="18"/>
                <w:lang w:eastAsia="zh-CN"/>
              </w:rPr>
              <w:t>排放浓度mg/</w:t>
            </w:r>
            <w:r>
              <w:rPr>
                <w:rFonts w:hint="default" w:ascii="Times New Roman" w:hAnsi="Times New Roman" w:eastAsia="宋体" w:cs="Times New Roman"/>
                <w:b/>
                <w:bCs/>
                <w:snapToGrid w:val="0"/>
                <w:color w:val="auto"/>
                <w:sz w:val="18"/>
                <w:szCs w:val="18"/>
                <w:highlight w:val="none"/>
                <w:lang w:eastAsia="zh-CN"/>
              </w:rPr>
              <w:t>m</w:t>
            </w:r>
            <w:r>
              <w:rPr>
                <w:rFonts w:hint="default" w:ascii="Times New Roman" w:hAnsi="Times New Roman" w:eastAsia="宋体" w:cs="Times New Roman"/>
                <w:b/>
                <w:bCs/>
                <w:snapToGrid w:val="0"/>
                <w:color w:val="auto"/>
                <w:sz w:val="18"/>
                <w:szCs w:val="18"/>
                <w:highlight w:val="none"/>
                <w:vertAlign w:val="superscript"/>
                <w:lang w:eastAsia="zh-CN"/>
              </w:rPr>
              <w:t>3</w:t>
            </w:r>
          </w:p>
        </w:tc>
        <w:tc>
          <w:tcPr>
            <w:tcW w:w="509" w:type="pct"/>
            <w:gridSpan w:val="2"/>
            <w:tcBorders>
              <w:tl2br w:val="nil"/>
              <w:tr2bl w:val="nil"/>
            </w:tcBorders>
            <w:noWrap w:val="0"/>
            <w:vAlign w:val="center"/>
          </w:tcPr>
          <w:p w14:paraId="3D654C91">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排放量</w:t>
            </w:r>
          </w:p>
        </w:tc>
        <w:tc>
          <w:tcPr>
            <w:tcW w:w="488" w:type="pct"/>
            <w:gridSpan w:val="2"/>
            <w:tcBorders>
              <w:tl2br w:val="nil"/>
              <w:tr2bl w:val="nil"/>
            </w:tcBorders>
            <w:noWrap w:val="0"/>
            <w:vAlign w:val="center"/>
          </w:tcPr>
          <w:p w14:paraId="7FF607DF">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排放量</w:t>
            </w:r>
          </w:p>
        </w:tc>
        <w:tc>
          <w:tcPr>
            <w:tcW w:w="178" w:type="pct"/>
            <w:vMerge w:val="continue"/>
            <w:tcBorders>
              <w:tl2br w:val="nil"/>
              <w:tr2bl w:val="nil"/>
            </w:tcBorders>
            <w:noWrap w:val="0"/>
            <w:vAlign w:val="center"/>
          </w:tcPr>
          <w:p w14:paraId="6424654E">
            <w:pPr>
              <w:pStyle w:val="26"/>
              <w:spacing w:line="240" w:lineRule="auto"/>
              <w:jc w:val="center"/>
              <w:outlineLvl w:val="0"/>
              <w:rPr>
                <w:rFonts w:hint="default" w:ascii="Times New Roman" w:hAnsi="Times New Roman" w:eastAsia="宋体" w:cs="Times New Roman"/>
                <w:b/>
                <w:bCs/>
                <w:snapToGrid w:val="0"/>
                <w:color w:val="auto"/>
                <w:sz w:val="18"/>
                <w:szCs w:val="18"/>
                <w:lang w:val="en-US" w:eastAsia="zh-CN"/>
              </w:rPr>
            </w:pPr>
          </w:p>
        </w:tc>
        <w:tc>
          <w:tcPr>
            <w:tcW w:w="122" w:type="pct"/>
            <w:tcBorders>
              <w:tl2br w:val="nil"/>
              <w:tr2bl w:val="nil"/>
            </w:tcBorders>
            <w:noWrap w:val="0"/>
            <w:vAlign w:val="center"/>
          </w:tcPr>
          <w:p w14:paraId="10F9D32F">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高度</w:t>
            </w:r>
          </w:p>
        </w:tc>
        <w:tc>
          <w:tcPr>
            <w:tcW w:w="163" w:type="pct"/>
            <w:tcBorders>
              <w:tl2br w:val="nil"/>
              <w:tr2bl w:val="nil"/>
            </w:tcBorders>
            <w:noWrap w:val="0"/>
            <w:vAlign w:val="center"/>
          </w:tcPr>
          <w:p w14:paraId="21453C38">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直径</w:t>
            </w:r>
          </w:p>
        </w:tc>
        <w:tc>
          <w:tcPr>
            <w:tcW w:w="163" w:type="pct"/>
            <w:tcBorders>
              <w:tl2br w:val="nil"/>
              <w:tr2bl w:val="nil"/>
            </w:tcBorders>
            <w:noWrap w:val="0"/>
            <w:vAlign w:val="center"/>
          </w:tcPr>
          <w:p w14:paraId="7B2321E4">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cs="Times New Roman"/>
                <w:b/>
                <w:bCs/>
                <w:snapToGrid w:val="0"/>
                <w:color w:val="auto"/>
                <w:sz w:val="18"/>
                <w:szCs w:val="18"/>
                <w:lang w:eastAsia="zh-CN"/>
              </w:rPr>
              <w:t>流速</w:t>
            </w:r>
          </w:p>
        </w:tc>
        <w:tc>
          <w:tcPr>
            <w:tcW w:w="128" w:type="pct"/>
            <w:tcBorders>
              <w:tl2br w:val="nil"/>
              <w:tr2bl w:val="nil"/>
            </w:tcBorders>
            <w:noWrap w:val="0"/>
            <w:vAlign w:val="center"/>
          </w:tcPr>
          <w:p w14:paraId="5762E31C">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温度</w:t>
            </w:r>
          </w:p>
        </w:tc>
        <w:tc>
          <w:tcPr>
            <w:tcW w:w="374" w:type="pct"/>
            <w:vMerge w:val="continue"/>
            <w:tcBorders>
              <w:tl2br w:val="nil"/>
              <w:tr2bl w:val="nil"/>
            </w:tcBorders>
            <w:noWrap w:val="0"/>
            <w:vAlign w:val="center"/>
          </w:tcPr>
          <w:p w14:paraId="02C9F7FF">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p>
        </w:tc>
      </w:tr>
      <w:tr w14:paraId="43591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25" w:type="pct"/>
            <w:vMerge w:val="continue"/>
            <w:tcBorders>
              <w:tl2br w:val="nil"/>
              <w:tr2bl w:val="nil"/>
            </w:tcBorders>
            <w:noWrap w:val="0"/>
            <w:vAlign w:val="center"/>
          </w:tcPr>
          <w:p w14:paraId="4B9B5913">
            <w:pPr>
              <w:pStyle w:val="26"/>
              <w:spacing w:line="240" w:lineRule="auto"/>
              <w:jc w:val="center"/>
              <w:outlineLvl w:val="0"/>
              <w:rPr>
                <w:rFonts w:hint="default" w:ascii="Times New Roman" w:hAnsi="Times New Roman" w:eastAsia="宋体" w:cs="Times New Roman"/>
                <w:color w:val="auto"/>
                <w:sz w:val="18"/>
                <w:szCs w:val="18"/>
              </w:rPr>
            </w:pPr>
          </w:p>
        </w:tc>
        <w:tc>
          <w:tcPr>
            <w:tcW w:w="354" w:type="pct"/>
            <w:vMerge w:val="continue"/>
            <w:tcBorders>
              <w:tl2br w:val="nil"/>
              <w:tr2bl w:val="nil"/>
            </w:tcBorders>
            <w:noWrap w:val="0"/>
            <w:vAlign w:val="center"/>
          </w:tcPr>
          <w:p w14:paraId="4D4C6ED2">
            <w:pPr>
              <w:pStyle w:val="26"/>
              <w:spacing w:line="240" w:lineRule="auto"/>
              <w:jc w:val="center"/>
              <w:outlineLvl w:val="0"/>
              <w:rPr>
                <w:rFonts w:hint="default" w:ascii="Times New Roman" w:hAnsi="Times New Roman" w:eastAsia="宋体" w:cs="Times New Roman"/>
                <w:color w:val="auto"/>
                <w:sz w:val="18"/>
                <w:szCs w:val="18"/>
              </w:rPr>
            </w:pPr>
          </w:p>
        </w:tc>
        <w:tc>
          <w:tcPr>
            <w:tcW w:w="348" w:type="pct"/>
            <w:vMerge w:val="continue"/>
            <w:tcBorders>
              <w:tl2br w:val="nil"/>
              <w:tr2bl w:val="nil"/>
            </w:tcBorders>
            <w:noWrap w:val="0"/>
            <w:vAlign w:val="center"/>
          </w:tcPr>
          <w:p w14:paraId="692321D9">
            <w:pPr>
              <w:pStyle w:val="26"/>
              <w:spacing w:line="240" w:lineRule="auto"/>
              <w:jc w:val="center"/>
              <w:outlineLvl w:val="0"/>
              <w:rPr>
                <w:rFonts w:hint="default" w:ascii="Times New Roman" w:hAnsi="Times New Roman" w:eastAsia="宋体" w:cs="Times New Roman"/>
                <w:color w:val="auto"/>
                <w:sz w:val="18"/>
                <w:szCs w:val="18"/>
              </w:rPr>
            </w:pPr>
          </w:p>
        </w:tc>
        <w:tc>
          <w:tcPr>
            <w:tcW w:w="307" w:type="pct"/>
            <w:vMerge w:val="continue"/>
            <w:tcBorders>
              <w:tl2br w:val="nil"/>
              <w:tr2bl w:val="nil"/>
            </w:tcBorders>
            <w:noWrap w:val="0"/>
            <w:vAlign w:val="center"/>
          </w:tcPr>
          <w:p w14:paraId="4C9AAF0F">
            <w:pPr>
              <w:pStyle w:val="26"/>
              <w:spacing w:line="240" w:lineRule="auto"/>
              <w:jc w:val="center"/>
              <w:outlineLvl w:val="0"/>
              <w:rPr>
                <w:rFonts w:hint="default" w:ascii="Times New Roman" w:hAnsi="Times New Roman" w:eastAsia="宋体" w:cs="Times New Roman"/>
                <w:color w:val="auto"/>
                <w:sz w:val="18"/>
                <w:szCs w:val="18"/>
              </w:rPr>
            </w:pPr>
          </w:p>
        </w:tc>
        <w:tc>
          <w:tcPr>
            <w:tcW w:w="247" w:type="pct"/>
            <w:tcBorders>
              <w:tl2br w:val="nil"/>
              <w:tr2bl w:val="nil"/>
            </w:tcBorders>
            <w:noWrap w:val="0"/>
            <w:vAlign w:val="center"/>
          </w:tcPr>
          <w:p w14:paraId="76658E8E">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kg/h</w:t>
            </w:r>
          </w:p>
        </w:tc>
        <w:tc>
          <w:tcPr>
            <w:tcW w:w="248" w:type="pct"/>
            <w:tcBorders>
              <w:tl2br w:val="nil"/>
              <w:tr2bl w:val="nil"/>
            </w:tcBorders>
            <w:noWrap w:val="0"/>
            <w:vAlign w:val="center"/>
          </w:tcPr>
          <w:p w14:paraId="4AA4077A">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val="en-US" w:eastAsia="zh-CN"/>
              </w:rPr>
              <w:t>t/a</w:t>
            </w:r>
          </w:p>
        </w:tc>
        <w:tc>
          <w:tcPr>
            <w:tcW w:w="143" w:type="pct"/>
            <w:vMerge w:val="continue"/>
            <w:tcBorders>
              <w:tl2br w:val="nil"/>
              <w:tr2bl w:val="nil"/>
            </w:tcBorders>
            <w:noWrap w:val="0"/>
            <w:vAlign w:val="center"/>
          </w:tcPr>
          <w:p w14:paraId="35F9832B">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p>
        </w:tc>
        <w:tc>
          <w:tcPr>
            <w:tcW w:w="158" w:type="pct"/>
            <w:vMerge w:val="continue"/>
            <w:tcBorders>
              <w:tl2br w:val="nil"/>
              <w:tr2bl w:val="nil"/>
            </w:tcBorders>
            <w:noWrap w:val="0"/>
            <w:vAlign w:val="center"/>
          </w:tcPr>
          <w:p w14:paraId="7C725E69">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p>
        </w:tc>
        <w:tc>
          <w:tcPr>
            <w:tcW w:w="179" w:type="pct"/>
            <w:vMerge w:val="continue"/>
            <w:tcBorders>
              <w:tl2br w:val="nil"/>
              <w:tr2bl w:val="nil"/>
            </w:tcBorders>
            <w:noWrap w:val="0"/>
            <w:vAlign w:val="center"/>
          </w:tcPr>
          <w:p w14:paraId="772D3039">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p>
        </w:tc>
        <w:tc>
          <w:tcPr>
            <w:tcW w:w="178" w:type="pct"/>
            <w:vMerge w:val="continue"/>
            <w:tcBorders>
              <w:tl2br w:val="nil"/>
              <w:tr2bl w:val="nil"/>
            </w:tcBorders>
            <w:noWrap w:val="0"/>
            <w:vAlign w:val="center"/>
          </w:tcPr>
          <w:p w14:paraId="05F01407">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p>
        </w:tc>
        <w:tc>
          <w:tcPr>
            <w:tcW w:w="284" w:type="pct"/>
            <w:vMerge w:val="continue"/>
            <w:tcBorders>
              <w:tl2br w:val="nil"/>
              <w:tr2bl w:val="nil"/>
            </w:tcBorders>
            <w:noWrap w:val="0"/>
            <w:vAlign w:val="center"/>
          </w:tcPr>
          <w:p w14:paraId="0E9AF695">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p>
        </w:tc>
        <w:tc>
          <w:tcPr>
            <w:tcW w:w="247" w:type="pct"/>
            <w:tcBorders>
              <w:tl2br w:val="nil"/>
              <w:tr2bl w:val="nil"/>
            </w:tcBorders>
            <w:noWrap w:val="0"/>
            <w:vAlign w:val="center"/>
          </w:tcPr>
          <w:p w14:paraId="18E68877">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kg/h</w:t>
            </w:r>
          </w:p>
        </w:tc>
        <w:tc>
          <w:tcPr>
            <w:tcW w:w="261" w:type="pct"/>
            <w:tcBorders>
              <w:tl2br w:val="nil"/>
              <w:tr2bl w:val="nil"/>
            </w:tcBorders>
            <w:noWrap w:val="0"/>
            <w:vAlign w:val="center"/>
          </w:tcPr>
          <w:p w14:paraId="21D8CD2A">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val="en-US" w:eastAsia="zh-CN"/>
              </w:rPr>
              <w:t>t/a</w:t>
            </w:r>
          </w:p>
        </w:tc>
        <w:tc>
          <w:tcPr>
            <w:tcW w:w="239" w:type="pct"/>
            <w:tcBorders>
              <w:tl2br w:val="nil"/>
              <w:tr2bl w:val="nil"/>
            </w:tcBorders>
            <w:noWrap w:val="0"/>
            <w:vAlign w:val="center"/>
          </w:tcPr>
          <w:p w14:paraId="392EF964">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sz w:val="18"/>
                <w:szCs w:val="18"/>
                <w:lang w:eastAsia="zh-CN"/>
              </w:rPr>
              <w:t>kg/h</w:t>
            </w:r>
          </w:p>
        </w:tc>
        <w:tc>
          <w:tcPr>
            <w:tcW w:w="248" w:type="pct"/>
            <w:tcBorders>
              <w:tl2br w:val="nil"/>
              <w:tr2bl w:val="nil"/>
            </w:tcBorders>
            <w:noWrap w:val="0"/>
            <w:vAlign w:val="center"/>
          </w:tcPr>
          <w:p w14:paraId="5E16F2A7">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sz w:val="18"/>
                <w:szCs w:val="18"/>
                <w:lang w:val="en-US" w:eastAsia="zh-CN"/>
              </w:rPr>
              <w:t>t/a</w:t>
            </w:r>
          </w:p>
        </w:tc>
        <w:tc>
          <w:tcPr>
            <w:tcW w:w="178" w:type="pct"/>
            <w:tcBorders>
              <w:tl2br w:val="nil"/>
              <w:tr2bl w:val="nil"/>
            </w:tcBorders>
            <w:noWrap w:val="0"/>
            <w:vAlign w:val="center"/>
          </w:tcPr>
          <w:p w14:paraId="12A7C28E">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val="en-US" w:eastAsia="zh-CN"/>
              </w:rPr>
              <w:t>h</w:t>
            </w:r>
          </w:p>
        </w:tc>
        <w:tc>
          <w:tcPr>
            <w:tcW w:w="122" w:type="pct"/>
            <w:tcBorders>
              <w:tl2br w:val="nil"/>
              <w:tr2bl w:val="nil"/>
            </w:tcBorders>
            <w:noWrap w:val="0"/>
            <w:vAlign w:val="center"/>
          </w:tcPr>
          <w:p w14:paraId="3740CFF5">
            <w:pPr>
              <w:pStyle w:val="26"/>
              <w:spacing w:line="240" w:lineRule="auto"/>
              <w:jc w:val="center"/>
              <w:outlineLvl w:val="0"/>
              <w:rPr>
                <w:rFonts w:hint="default" w:ascii="Times New Roman" w:hAnsi="Times New Roman" w:eastAsia="宋体" w:cs="Times New Roman"/>
                <w:b/>
                <w:bCs/>
                <w:snapToGrid w:val="0"/>
                <w:color w:val="auto"/>
                <w:sz w:val="18"/>
                <w:szCs w:val="18"/>
                <w:lang w:val="en-US" w:eastAsia="zh-CN"/>
              </w:rPr>
            </w:pPr>
            <w:r>
              <w:rPr>
                <w:rFonts w:hint="default" w:ascii="Times New Roman" w:hAnsi="Times New Roman" w:eastAsia="宋体" w:cs="Times New Roman"/>
                <w:b/>
                <w:bCs/>
                <w:snapToGrid w:val="0"/>
                <w:color w:val="auto"/>
                <w:sz w:val="18"/>
                <w:szCs w:val="18"/>
                <w:lang w:val="en-US" w:eastAsia="zh-CN"/>
              </w:rPr>
              <w:t>m</w:t>
            </w:r>
          </w:p>
        </w:tc>
        <w:tc>
          <w:tcPr>
            <w:tcW w:w="163" w:type="pct"/>
            <w:tcBorders>
              <w:tl2br w:val="nil"/>
              <w:tr2bl w:val="nil"/>
            </w:tcBorders>
            <w:noWrap w:val="0"/>
            <w:vAlign w:val="center"/>
          </w:tcPr>
          <w:p w14:paraId="50F95E7D">
            <w:pPr>
              <w:pStyle w:val="26"/>
              <w:spacing w:line="240" w:lineRule="auto"/>
              <w:jc w:val="center"/>
              <w:outlineLvl w:val="0"/>
              <w:rPr>
                <w:rFonts w:hint="default" w:ascii="Times New Roman" w:hAnsi="Times New Roman" w:eastAsia="宋体" w:cs="Times New Roman"/>
                <w:b/>
                <w:bCs/>
                <w:snapToGrid w:val="0"/>
                <w:color w:val="auto"/>
                <w:sz w:val="18"/>
                <w:szCs w:val="18"/>
                <w:lang w:val="en-US" w:eastAsia="zh-CN"/>
              </w:rPr>
            </w:pPr>
            <w:r>
              <w:rPr>
                <w:rFonts w:hint="default" w:ascii="Times New Roman" w:hAnsi="Times New Roman" w:eastAsia="宋体" w:cs="Times New Roman"/>
                <w:b/>
                <w:bCs/>
                <w:snapToGrid w:val="0"/>
                <w:color w:val="auto"/>
                <w:sz w:val="18"/>
                <w:szCs w:val="18"/>
                <w:lang w:val="en-US" w:eastAsia="zh-CN"/>
              </w:rPr>
              <w:t>m</w:t>
            </w:r>
          </w:p>
        </w:tc>
        <w:tc>
          <w:tcPr>
            <w:tcW w:w="163" w:type="pct"/>
            <w:tcBorders>
              <w:tl2br w:val="nil"/>
              <w:tr2bl w:val="nil"/>
            </w:tcBorders>
            <w:noWrap w:val="0"/>
            <w:vAlign w:val="center"/>
          </w:tcPr>
          <w:p w14:paraId="29EFAC9A">
            <w:pPr>
              <w:pStyle w:val="26"/>
              <w:spacing w:line="240" w:lineRule="auto"/>
              <w:jc w:val="center"/>
              <w:outlineLvl w:val="0"/>
              <w:rPr>
                <w:rFonts w:hint="default" w:ascii="Times New Roman" w:hAnsi="Times New Roman" w:eastAsia="宋体" w:cs="Times New Roman"/>
                <w:b/>
                <w:bCs/>
                <w:snapToGrid w:val="0"/>
                <w:color w:val="auto"/>
                <w:sz w:val="18"/>
                <w:szCs w:val="18"/>
                <w:lang w:val="en-US" w:eastAsia="zh-CN"/>
              </w:rPr>
            </w:pPr>
            <w:r>
              <w:rPr>
                <w:rFonts w:hint="default" w:ascii="Times New Roman" w:hAnsi="Times New Roman" w:cs="Times New Roman"/>
                <w:b/>
                <w:bCs/>
                <w:snapToGrid w:val="0"/>
                <w:color w:val="auto"/>
                <w:sz w:val="18"/>
                <w:szCs w:val="18"/>
                <w:lang w:val="en-US" w:eastAsia="zh-CN"/>
              </w:rPr>
              <w:t>m/s</w:t>
            </w:r>
          </w:p>
        </w:tc>
        <w:tc>
          <w:tcPr>
            <w:tcW w:w="128" w:type="pct"/>
            <w:tcBorders>
              <w:tl2br w:val="nil"/>
              <w:tr2bl w:val="nil"/>
            </w:tcBorders>
            <w:noWrap w:val="0"/>
            <w:vAlign w:val="center"/>
          </w:tcPr>
          <w:p w14:paraId="436C461D">
            <w:pPr>
              <w:pStyle w:val="26"/>
              <w:spacing w:line="240" w:lineRule="auto"/>
              <w:jc w:val="center"/>
              <w:outlineLvl w:val="0"/>
              <w:rPr>
                <w:rFonts w:hint="default" w:ascii="Times New Roman" w:hAnsi="Times New Roman" w:eastAsia="宋体" w:cs="Times New Roman"/>
                <w:b/>
                <w:bCs/>
                <w:snapToGrid w:val="0"/>
                <w:color w:val="auto"/>
                <w:sz w:val="18"/>
                <w:szCs w:val="18"/>
                <w:lang w:val="en-US" w:eastAsia="zh-CN"/>
              </w:rPr>
            </w:pPr>
            <w:r>
              <w:rPr>
                <w:rFonts w:hint="default" w:ascii="Times New Roman" w:hAnsi="Times New Roman" w:eastAsia="宋体" w:cs="Times New Roman"/>
                <w:b/>
                <w:bCs/>
                <w:snapToGrid w:val="0"/>
                <w:color w:val="auto"/>
                <w:sz w:val="18"/>
                <w:szCs w:val="18"/>
                <w:lang w:val="en-US" w:eastAsia="zh-CN"/>
              </w:rPr>
              <w:t>℃</w:t>
            </w:r>
          </w:p>
        </w:tc>
        <w:tc>
          <w:tcPr>
            <w:tcW w:w="374" w:type="pct"/>
            <w:vMerge w:val="continue"/>
            <w:tcBorders>
              <w:tl2br w:val="nil"/>
              <w:tr2bl w:val="nil"/>
            </w:tcBorders>
            <w:noWrap w:val="0"/>
            <w:vAlign w:val="center"/>
          </w:tcPr>
          <w:p w14:paraId="6C176368">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val="0"/>
                <w:bCs/>
                <w:snapToGrid w:val="0"/>
                <w:color w:val="auto"/>
                <w:sz w:val="18"/>
                <w:szCs w:val="18"/>
                <w:vertAlign w:val="baseline"/>
                <w:lang w:val="en-US" w:eastAsia="zh-CN"/>
              </w:rPr>
            </w:pPr>
          </w:p>
        </w:tc>
      </w:tr>
      <w:tr w14:paraId="3D461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25" w:type="pct"/>
            <w:tcBorders>
              <w:tl2br w:val="nil"/>
              <w:tr2bl w:val="nil"/>
            </w:tcBorders>
            <w:noWrap w:val="0"/>
            <w:vAlign w:val="center"/>
          </w:tcPr>
          <w:p w14:paraId="1A630742">
            <w:pPr>
              <w:pStyle w:val="26"/>
              <w:adjustRightInd w:val="0"/>
              <w:snapToGrid w:val="0"/>
              <w:spacing w:before="0" w:beforeAutospacing="0" w:after="0" w:afterAutospacing="0" w:line="240" w:lineRule="auto"/>
              <w:jc w:val="center"/>
              <w:outlineLvl w:val="0"/>
              <w:rPr>
                <w:rFonts w:hint="default" w:ascii="Times New Roman" w:hAnsi="Times New Roman" w:cs="Times New Roman"/>
                <w:b w:val="0"/>
                <w:bCs/>
                <w:snapToGrid w:val="0"/>
                <w:color w:val="auto"/>
                <w:sz w:val="18"/>
                <w:szCs w:val="18"/>
                <w:vertAlign w:val="baseline"/>
                <w:lang w:val="en-US" w:eastAsia="zh-CN"/>
              </w:rPr>
            </w:pPr>
            <w:r>
              <w:rPr>
                <w:rFonts w:hint="default" w:ascii="Times New Roman" w:hAnsi="Times New Roman" w:cs="Times New Roman"/>
                <w:b w:val="0"/>
                <w:bCs/>
                <w:snapToGrid w:val="0"/>
                <w:color w:val="auto"/>
                <w:sz w:val="18"/>
                <w:szCs w:val="18"/>
                <w:vertAlign w:val="baseline"/>
                <w:lang w:val="en-US" w:eastAsia="zh-CN"/>
              </w:rPr>
              <w:t>注塑</w:t>
            </w:r>
          </w:p>
        </w:tc>
        <w:tc>
          <w:tcPr>
            <w:tcW w:w="354" w:type="pct"/>
            <w:tcBorders>
              <w:tl2br w:val="nil"/>
              <w:tr2bl w:val="nil"/>
            </w:tcBorders>
            <w:noWrap w:val="0"/>
            <w:vAlign w:val="center"/>
          </w:tcPr>
          <w:p w14:paraId="53EC046E">
            <w:pPr>
              <w:pStyle w:val="26"/>
              <w:adjustRightInd w:val="0"/>
              <w:snapToGrid w:val="0"/>
              <w:spacing w:before="0" w:beforeAutospacing="0" w:after="0" w:afterAutospacing="0" w:line="240" w:lineRule="auto"/>
              <w:jc w:val="center"/>
              <w:outlineLvl w:val="0"/>
              <w:rPr>
                <w:rFonts w:hint="default" w:ascii="Times New Roman" w:hAnsi="Times New Roman" w:cs="Times New Roman"/>
                <w:b w:val="0"/>
                <w:bCs/>
                <w:snapToGrid w:val="0"/>
                <w:color w:val="auto"/>
                <w:sz w:val="18"/>
                <w:szCs w:val="18"/>
                <w:vertAlign w:val="baseline"/>
                <w:lang w:val="en-US" w:eastAsia="zh-CN"/>
              </w:rPr>
            </w:pPr>
            <w:r>
              <w:rPr>
                <w:rFonts w:hint="default" w:ascii="Times New Roman" w:hAnsi="Times New Roman" w:cs="Times New Roman"/>
                <w:b w:val="0"/>
                <w:bCs/>
                <w:snapToGrid w:val="0"/>
                <w:color w:val="auto"/>
                <w:sz w:val="18"/>
                <w:szCs w:val="18"/>
                <w:vertAlign w:val="baseline"/>
                <w:lang w:val="en-US" w:eastAsia="zh-CN"/>
              </w:rPr>
              <w:t>注塑机</w:t>
            </w:r>
          </w:p>
        </w:tc>
        <w:tc>
          <w:tcPr>
            <w:tcW w:w="348" w:type="pct"/>
            <w:tcBorders>
              <w:tl2br w:val="nil"/>
              <w:tr2bl w:val="nil"/>
            </w:tcBorders>
            <w:noWrap w:val="0"/>
            <w:vAlign w:val="center"/>
          </w:tcPr>
          <w:p w14:paraId="76E4F4D9">
            <w:pPr>
              <w:pStyle w:val="26"/>
              <w:adjustRightInd w:val="0"/>
              <w:snapToGrid w:val="0"/>
              <w:spacing w:before="0" w:beforeAutospacing="0" w:after="0" w:afterAutospacing="0" w:line="240" w:lineRule="auto"/>
              <w:jc w:val="center"/>
              <w:outlineLvl w:val="0"/>
              <w:rPr>
                <w:rFonts w:hint="default" w:ascii="Times New Roman" w:hAnsi="Times New Roman"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ABS塑料颗粒</w:t>
            </w:r>
          </w:p>
        </w:tc>
        <w:tc>
          <w:tcPr>
            <w:tcW w:w="307" w:type="pct"/>
            <w:tcBorders>
              <w:tl2br w:val="nil"/>
              <w:tr2bl w:val="nil"/>
            </w:tcBorders>
            <w:noWrap w:val="0"/>
            <w:vAlign w:val="center"/>
          </w:tcPr>
          <w:p w14:paraId="076CDAB9">
            <w:pPr>
              <w:widowControl/>
              <w:adjustRightInd w:val="0"/>
              <w:snapToGrid w:val="0"/>
              <w:spacing w:beforeLines="0" w:afterLines="0" w:line="240" w:lineRule="auto"/>
              <w:jc w:val="center"/>
              <w:rPr>
                <w:rFonts w:hint="default"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非甲烷</w:t>
            </w:r>
            <w:r>
              <w:rPr>
                <w:rFonts w:ascii="Times New Roman" w:hAnsi="Times New Roman" w:eastAsia="宋体" w:cs="Times New Roman"/>
                <w:bCs/>
                <w:color w:val="auto"/>
                <w:kern w:val="0"/>
                <w:sz w:val="18"/>
                <w:szCs w:val="18"/>
                <w:lang w:val="en-US" w:eastAsia="zh-CN" w:bidi="ar-SA"/>
              </w:rPr>
              <w:t>总烃</w:t>
            </w:r>
          </w:p>
        </w:tc>
        <w:tc>
          <w:tcPr>
            <w:tcW w:w="799" w:type="dxa"/>
            <w:tcBorders>
              <w:tl2br w:val="nil"/>
              <w:tr2bl w:val="nil"/>
            </w:tcBorders>
            <w:noWrap w:val="0"/>
            <w:vAlign w:val="center"/>
          </w:tcPr>
          <w:p w14:paraId="2F0308A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0.165</w:t>
            </w:r>
          </w:p>
        </w:tc>
        <w:tc>
          <w:tcPr>
            <w:tcW w:w="802" w:type="dxa"/>
            <w:tcBorders>
              <w:tl2br w:val="nil"/>
              <w:tr2bl w:val="nil"/>
            </w:tcBorders>
            <w:noWrap w:val="0"/>
            <w:vAlign w:val="center"/>
          </w:tcPr>
          <w:p w14:paraId="75E440EF">
            <w:pPr>
              <w:keepNext w:val="0"/>
              <w:keepLines w:val="0"/>
              <w:widowControl/>
              <w:suppressLineNumbers w:val="0"/>
              <w:jc w:val="center"/>
              <w:textAlignment w:val="center"/>
              <w:rPr>
                <w:rFonts w:hint="default" w:ascii="Times New Roman" w:hAnsi="Times New Roman" w:eastAsia="宋体" w:cs="Times New Roman"/>
                <w:bCs/>
                <w:color w:val="auto"/>
                <w:kern w:val="0"/>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1.188</w:t>
            </w:r>
          </w:p>
        </w:tc>
        <w:tc>
          <w:tcPr>
            <w:tcW w:w="463" w:type="dxa"/>
            <w:tcBorders>
              <w:tl2br w:val="nil"/>
              <w:tr2bl w:val="nil"/>
            </w:tcBorders>
            <w:noWrap w:val="0"/>
            <w:vAlign w:val="center"/>
          </w:tcPr>
          <w:p w14:paraId="1DACA9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80</w:t>
            </w:r>
          </w:p>
        </w:tc>
        <w:tc>
          <w:tcPr>
            <w:tcW w:w="511" w:type="dxa"/>
            <w:tcBorders>
              <w:tl2br w:val="nil"/>
              <w:tr2bl w:val="nil"/>
            </w:tcBorders>
            <w:noWrap w:val="0"/>
            <w:vAlign w:val="center"/>
          </w:tcPr>
          <w:p w14:paraId="270F42C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过滤棉</w:t>
            </w:r>
            <w:r>
              <w:rPr>
                <w:rFonts w:hint="default" w:ascii="Times New Roman" w:hAnsi="Times New Roman" w:eastAsia="宋体" w:cs="Times New Roman"/>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两级活性炭</w:t>
            </w:r>
          </w:p>
        </w:tc>
        <w:tc>
          <w:tcPr>
            <w:tcW w:w="579" w:type="dxa"/>
            <w:tcBorders>
              <w:tl2br w:val="nil"/>
              <w:tr2bl w:val="nil"/>
            </w:tcBorders>
            <w:noWrap w:val="0"/>
            <w:vAlign w:val="center"/>
          </w:tcPr>
          <w:p w14:paraId="0084AF6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76</w:t>
            </w:r>
          </w:p>
        </w:tc>
        <w:tc>
          <w:tcPr>
            <w:tcW w:w="576" w:type="dxa"/>
            <w:tcBorders>
              <w:tl2br w:val="nil"/>
              <w:tr2bl w:val="nil"/>
            </w:tcBorders>
            <w:noWrap w:val="0"/>
            <w:vAlign w:val="center"/>
          </w:tcPr>
          <w:p w14:paraId="50AC1E9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14000</w:t>
            </w:r>
          </w:p>
        </w:tc>
        <w:tc>
          <w:tcPr>
            <w:tcW w:w="919" w:type="dxa"/>
            <w:tcBorders>
              <w:tl2br w:val="nil"/>
              <w:tr2bl w:val="nil"/>
            </w:tcBorders>
            <w:noWrap w:val="0"/>
            <w:vAlign w:val="center"/>
          </w:tcPr>
          <w:p w14:paraId="315450C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 xml:space="preserve">2.3 </w:t>
            </w:r>
          </w:p>
        </w:tc>
        <w:tc>
          <w:tcPr>
            <w:tcW w:w="799" w:type="dxa"/>
            <w:tcBorders>
              <w:tl2br w:val="nil"/>
              <w:tr2bl w:val="nil"/>
            </w:tcBorders>
            <w:noWrap w:val="0"/>
            <w:vAlign w:val="center"/>
          </w:tcPr>
          <w:p w14:paraId="57744F5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 xml:space="preserve">0.032 </w:t>
            </w:r>
          </w:p>
        </w:tc>
        <w:tc>
          <w:tcPr>
            <w:tcW w:w="847" w:type="dxa"/>
            <w:tcBorders>
              <w:tl2br w:val="nil"/>
              <w:tr2bl w:val="nil"/>
            </w:tcBorders>
            <w:noWrap w:val="0"/>
            <w:vAlign w:val="center"/>
          </w:tcPr>
          <w:p w14:paraId="58E49EF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 xml:space="preserve">0.228 </w:t>
            </w:r>
          </w:p>
        </w:tc>
        <w:tc>
          <w:tcPr>
            <w:tcW w:w="776" w:type="dxa"/>
            <w:tcBorders>
              <w:tl2br w:val="nil"/>
              <w:tr2bl w:val="nil"/>
            </w:tcBorders>
            <w:noWrap w:val="0"/>
            <w:vAlign w:val="center"/>
          </w:tcPr>
          <w:p w14:paraId="5C9DD14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0.033</w:t>
            </w:r>
          </w:p>
        </w:tc>
        <w:tc>
          <w:tcPr>
            <w:tcW w:w="802" w:type="dxa"/>
            <w:tcBorders>
              <w:tl2br w:val="nil"/>
              <w:tr2bl w:val="nil"/>
            </w:tcBorders>
            <w:noWrap w:val="0"/>
            <w:vAlign w:val="center"/>
          </w:tcPr>
          <w:p w14:paraId="0D1F0D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 xml:space="preserve">0.238 </w:t>
            </w:r>
          </w:p>
        </w:tc>
        <w:tc>
          <w:tcPr>
            <w:tcW w:w="576" w:type="dxa"/>
            <w:tcBorders>
              <w:tl2br w:val="nil"/>
              <w:tr2bl w:val="nil"/>
            </w:tcBorders>
            <w:noWrap w:val="0"/>
            <w:vAlign w:val="center"/>
          </w:tcPr>
          <w:p w14:paraId="45EBCE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7200</w:t>
            </w:r>
          </w:p>
        </w:tc>
        <w:tc>
          <w:tcPr>
            <w:tcW w:w="395" w:type="dxa"/>
            <w:tcBorders>
              <w:tl2br w:val="nil"/>
              <w:tr2bl w:val="nil"/>
            </w:tcBorders>
            <w:noWrap w:val="0"/>
            <w:vAlign w:val="center"/>
          </w:tcPr>
          <w:p w14:paraId="6B04D455">
            <w:pPr>
              <w:keepNext w:val="0"/>
              <w:keepLines w:val="0"/>
              <w:widowControl/>
              <w:suppressLineNumbers w:val="0"/>
              <w:jc w:val="center"/>
              <w:textAlignment w:val="center"/>
              <w:rPr>
                <w:rFonts w:hint="default" w:ascii="Times New Roman" w:hAnsi="Times New Roman" w:eastAsia="宋体" w:cs="Times New Roman"/>
                <w:b w:val="0"/>
                <w:bCs/>
                <w:snapToGrid w:val="0"/>
                <w:color w:val="auto"/>
                <w:sz w:val="18"/>
                <w:szCs w:val="18"/>
                <w:vertAlign w:val="baseline"/>
                <w:lang w:val="en-US" w:eastAsia="zh-CN"/>
              </w:rPr>
            </w:pPr>
            <w:r>
              <w:rPr>
                <w:rFonts w:hint="eastAsia" w:cs="Times New Roman"/>
                <w:i w:val="0"/>
                <w:iCs w:val="0"/>
                <w:color w:val="auto"/>
                <w:kern w:val="0"/>
                <w:sz w:val="18"/>
                <w:szCs w:val="18"/>
                <w:u w:val="none"/>
                <w:lang w:val="en-US" w:eastAsia="zh-CN" w:bidi="ar"/>
              </w:rPr>
              <w:t>25</w:t>
            </w:r>
          </w:p>
        </w:tc>
        <w:tc>
          <w:tcPr>
            <w:tcW w:w="530" w:type="dxa"/>
            <w:tcBorders>
              <w:tl2br w:val="nil"/>
              <w:tr2bl w:val="nil"/>
            </w:tcBorders>
            <w:noWrap w:val="0"/>
            <w:vAlign w:val="center"/>
          </w:tcPr>
          <w:p w14:paraId="1DBB8DDA">
            <w:pPr>
              <w:keepNext w:val="0"/>
              <w:keepLines w:val="0"/>
              <w:widowControl/>
              <w:suppressLineNumbers w:val="0"/>
              <w:jc w:val="center"/>
              <w:textAlignment w:val="center"/>
              <w:rPr>
                <w:rFonts w:hint="default" w:ascii="Times New Roman" w:hAnsi="Times New Roman" w:cs="Times New Roman"/>
                <w:b w:val="0"/>
                <w:bCs/>
                <w:snapToGrid w:val="0"/>
                <w:color w:val="auto"/>
                <w:sz w:val="18"/>
                <w:szCs w:val="18"/>
                <w:vertAlign w:val="baseline"/>
                <w:lang w:val="en-US" w:eastAsia="zh-CN"/>
              </w:rPr>
            </w:pPr>
            <w:r>
              <w:rPr>
                <w:rFonts w:hint="default" w:ascii="Times New Roman" w:hAnsi="Times New Roman" w:eastAsia="宋体" w:cs="Times New Roman"/>
                <w:i w:val="0"/>
                <w:iCs w:val="0"/>
                <w:color w:val="auto"/>
                <w:kern w:val="0"/>
                <w:sz w:val="18"/>
                <w:szCs w:val="18"/>
                <w:u w:val="none"/>
                <w:lang w:val="en-US" w:eastAsia="zh-CN" w:bidi="ar"/>
              </w:rPr>
              <w:t>0.6</w:t>
            </w:r>
          </w:p>
        </w:tc>
        <w:tc>
          <w:tcPr>
            <w:tcW w:w="530" w:type="dxa"/>
            <w:tcBorders>
              <w:tl2br w:val="nil"/>
              <w:tr2bl w:val="nil"/>
            </w:tcBorders>
            <w:noWrap w:val="0"/>
            <w:vAlign w:val="center"/>
          </w:tcPr>
          <w:p w14:paraId="19F0D42B">
            <w:pPr>
              <w:keepNext w:val="0"/>
              <w:keepLines w:val="0"/>
              <w:widowControl/>
              <w:suppressLineNumbers w:val="0"/>
              <w:jc w:val="center"/>
              <w:textAlignment w:val="center"/>
              <w:rPr>
                <w:rFonts w:hint="default" w:ascii="Times New Roman" w:hAnsi="Times New Roman" w:cs="Times New Roman"/>
                <w:b w:val="0"/>
                <w:bCs/>
                <w:snapToGrid w:val="0"/>
                <w:color w:val="auto"/>
                <w:sz w:val="18"/>
                <w:szCs w:val="18"/>
                <w:vertAlign w:val="baseline"/>
                <w:lang w:val="en-US" w:eastAsia="zh-CN"/>
              </w:rPr>
            </w:pPr>
            <w:r>
              <w:rPr>
                <w:rFonts w:hint="default" w:ascii="Times New Roman" w:hAnsi="Times New Roman" w:eastAsia="宋体" w:cs="Times New Roman"/>
                <w:i w:val="0"/>
                <w:iCs w:val="0"/>
                <w:color w:val="auto"/>
                <w:kern w:val="0"/>
                <w:sz w:val="18"/>
                <w:szCs w:val="18"/>
                <w:u w:val="none"/>
                <w:lang w:val="en-US" w:eastAsia="zh-CN" w:bidi="ar"/>
              </w:rPr>
              <w:t>13.8</w:t>
            </w:r>
          </w:p>
        </w:tc>
        <w:tc>
          <w:tcPr>
            <w:tcW w:w="414" w:type="dxa"/>
            <w:tcBorders>
              <w:tl2br w:val="nil"/>
              <w:tr2bl w:val="nil"/>
            </w:tcBorders>
            <w:noWrap w:val="0"/>
            <w:vAlign w:val="center"/>
          </w:tcPr>
          <w:p w14:paraId="46C59631">
            <w:pPr>
              <w:keepNext w:val="0"/>
              <w:keepLines w:val="0"/>
              <w:widowControl/>
              <w:suppressLineNumbers w:val="0"/>
              <w:jc w:val="center"/>
              <w:textAlignment w:val="center"/>
              <w:rPr>
                <w:rFonts w:hint="default" w:ascii="Times New Roman" w:hAnsi="Times New Roman" w:eastAsia="宋体" w:cs="Times New Roman"/>
                <w:b w:val="0"/>
                <w:bCs/>
                <w:snapToGrid w:val="0"/>
                <w:color w:val="auto"/>
                <w:sz w:val="18"/>
                <w:szCs w:val="18"/>
                <w:vertAlign w:val="baseline"/>
                <w:lang w:val="en-US" w:eastAsia="zh-CN"/>
              </w:rPr>
            </w:pPr>
            <w:r>
              <w:rPr>
                <w:rFonts w:hint="default" w:ascii="Times New Roman" w:hAnsi="Times New Roman" w:eastAsia="宋体" w:cs="Times New Roman"/>
                <w:i w:val="0"/>
                <w:iCs w:val="0"/>
                <w:color w:val="auto"/>
                <w:kern w:val="0"/>
                <w:sz w:val="18"/>
                <w:szCs w:val="18"/>
                <w:u w:val="none"/>
                <w:lang w:val="en-US" w:eastAsia="zh-CN" w:bidi="ar"/>
              </w:rPr>
              <w:t>25</w:t>
            </w:r>
          </w:p>
        </w:tc>
        <w:tc>
          <w:tcPr>
            <w:tcW w:w="374" w:type="pct"/>
            <w:tcBorders>
              <w:tl2br w:val="nil"/>
              <w:tr2bl w:val="nil"/>
            </w:tcBorders>
            <w:noWrap w:val="0"/>
            <w:vAlign w:val="center"/>
          </w:tcPr>
          <w:p w14:paraId="4BD6908B">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val="0"/>
                <w:bCs/>
                <w:snapToGrid w:val="0"/>
                <w:color w:val="auto"/>
                <w:sz w:val="18"/>
                <w:szCs w:val="18"/>
                <w:vertAlign w:val="baseline"/>
                <w:lang w:val="en-US" w:eastAsia="zh-CN"/>
              </w:rPr>
            </w:pPr>
            <w:r>
              <w:rPr>
                <w:rFonts w:hint="default" w:ascii="Times New Roman" w:hAnsi="Times New Roman" w:eastAsia="宋体" w:cs="Times New Roman"/>
                <w:b w:val="0"/>
                <w:bCs/>
                <w:snapToGrid w:val="0"/>
                <w:color w:val="auto"/>
                <w:sz w:val="18"/>
                <w:szCs w:val="18"/>
                <w:vertAlign w:val="baseline"/>
                <w:lang w:val="en-US" w:eastAsia="zh-CN"/>
              </w:rPr>
              <w:t>一般排放口</w:t>
            </w:r>
          </w:p>
        </w:tc>
      </w:tr>
      <w:tr w14:paraId="2E1C18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25" w:type="pct"/>
            <w:tcBorders>
              <w:tl2br w:val="nil"/>
              <w:tr2bl w:val="nil"/>
            </w:tcBorders>
            <w:noWrap w:val="0"/>
            <w:vAlign w:val="center"/>
          </w:tcPr>
          <w:p w14:paraId="4AC0922E">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val="0"/>
                <w:bCs/>
                <w:snapToGrid w:val="0"/>
                <w:color w:val="auto"/>
                <w:kern w:val="0"/>
                <w:sz w:val="18"/>
                <w:szCs w:val="18"/>
                <w:vertAlign w:val="baseline"/>
                <w:lang w:val="en-US" w:eastAsia="zh-CN" w:bidi="ar-SA"/>
              </w:rPr>
            </w:pPr>
            <w:r>
              <w:rPr>
                <w:rFonts w:hint="default" w:ascii="Times New Roman" w:hAnsi="Times New Roman" w:eastAsia="宋体" w:cs="Times New Roman"/>
                <w:b w:val="0"/>
                <w:bCs/>
                <w:snapToGrid w:val="0"/>
                <w:color w:val="auto"/>
                <w:sz w:val="18"/>
                <w:szCs w:val="18"/>
                <w:vertAlign w:val="baseline"/>
                <w:lang w:eastAsia="zh-CN"/>
              </w:rPr>
              <w:t>破碎</w:t>
            </w:r>
          </w:p>
        </w:tc>
        <w:tc>
          <w:tcPr>
            <w:tcW w:w="354" w:type="pct"/>
            <w:tcBorders>
              <w:tl2br w:val="nil"/>
              <w:tr2bl w:val="nil"/>
            </w:tcBorders>
            <w:noWrap w:val="0"/>
            <w:vAlign w:val="center"/>
          </w:tcPr>
          <w:p w14:paraId="30A18D83">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val="0"/>
                <w:bCs/>
                <w:snapToGrid w:val="0"/>
                <w:color w:val="auto"/>
                <w:kern w:val="0"/>
                <w:sz w:val="18"/>
                <w:szCs w:val="18"/>
                <w:vertAlign w:val="baseline"/>
                <w:lang w:val="en-US" w:eastAsia="zh-CN" w:bidi="ar-SA"/>
              </w:rPr>
            </w:pPr>
            <w:r>
              <w:rPr>
                <w:rFonts w:hint="default" w:ascii="Times New Roman" w:hAnsi="Times New Roman" w:eastAsia="宋体" w:cs="Times New Roman"/>
                <w:b w:val="0"/>
                <w:bCs/>
                <w:color w:val="auto"/>
                <w:sz w:val="18"/>
                <w:szCs w:val="18"/>
                <w:lang w:val="en-US" w:eastAsia="zh-CN" w:bidi="ar-SA"/>
              </w:rPr>
              <w:t>破碎机</w:t>
            </w:r>
          </w:p>
        </w:tc>
        <w:tc>
          <w:tcPr>
            <w:tcW w:w="348" w:type="pct"/>
            <w:tcBorders>
              <w:tl2br w:val="nil"/>
              <w:tr2bl w:val="nil"/>
            </w:tcBorders>
            <w:noWrap w:val="0"/>
            <w:vAlign w:val="center"/>
          </w:tcPr>
          <w:p w14:paraId="37CD721E">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val="0"/>
                <w:bCs/>
                <w:snapToGrid w:val="0"/>
                <w:color w:val="auto"/>
                <w:kern w:val="0"/>
                <w:sz w:val="18"/>
                <w:szCs w:val="18"/>
                <w:vertAlign w:val="baseline"/>
                <w:lang w:val="en-US" w:eastAsia="zh-CN" w:bidi="ar-SA"/>
              </w:rPr>
            </w:pPr>
            <w:r>
              <w:rPr>
                <w:rFonts w:hint="default" w:ascii="Times New Roman" w:hAnsi="Times New Roman" w:eastAsia="宋体" w:cs="Times New Roman"/>
                <w:b w:val="0"/>
                <w:bCs/>
                <w:snapToGrid w:val="0"/>
                <w:color w:val="auto"/>
                <w:sz w:val="18"/>
                <w:szCs w:val="18"/>
                <w:vertAlign w:val="baseline"/>
                <w:lang w:eastAsia="zh-CN"/>
              </w:rPr>
              <w:t>无组织</w:t>
            </w:r>
          </w:p>
        </w:tc>
        <w:tc>
          <w:tcPr>
            <w:tcW w:w="307" w:type="pct"/>
            <w:tcBorders>
              <w:tl2br w:val="nil"/>
              <w:tr2bl w:val="nil"/>
            </w:tcBorders>
            <w:noWrap w:val="0"/>
            <w:vAlign w:val="center"/>
          </w:tcPr>
          <w:p w14:paraId="51ED472D">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val="0"/>
                <w:bCs/>
                <w:snapToGrid w:val="0"/>
                <w:color w:val="auto"/>
                <w:kern w:val="0"/>
                <w:sz w:val="18"/>
                <w:szCs w:val="18"/>
                <w:vertAlign w:val="baseline"/>
                <w:lang w:val="en-US" w:eastAsia="zh-CN" w:bidi="ar-SA"/>
              </w:rPr>
            </w:pPr>
            <w:r>
              <w:rPr>
                <w:rFonts w:hint="default" w:ascii="Times New Roman" w:hAnsi="Times New Roman" w:eastAsia="宋体" w:cs="Times New Roman"/>
                <w:b w:val="0"/>
                <w:bCs/>
                <w:snapToGrid w:val="0"/>
                <w:color w:val="auto"/>
                <w:sz w:val="18"/>
                <w:szCs w:val="18"/>
                <w:vertAlign w:val="baseline"/>
                <w:lang w:eastAsia="zh-CN"/>
              </w:rPr>
              <w:t>颗粒物</w:t>
            </w:r>
          </w:p>
        </w:tc>
        <w:tc>
          <w:tcPr>
            <w:tcW w:w="247" w:type="pct"/>
            <w:tcBorders>
              <w:tl2br w:val="nil"/>
              <w:tr2bl w:val="nil"/>
            </w:tcBorders>
            <w:noWrap w:val="0"/>
            <w:vAlign w:val="center"/>
          </w:tcPr>
          <w:p w14:paraId="477BA32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eastAsia" w:ascii="Times New Roman" w:hAnsi="Times New Roman" w:cs="Times New Roman"/>
                <w:i w:val="0"/>
                <w:iCs w:val="0"/>
                <w:color w:val="auto"/>
                <w:kern w:val="2"/>
                <w:sz w:val="18"/>
                <w:szCs w:val="18"/>
                <w:u w:val="none"/>
                <w:lang w:val="en-US" w:eastAsia="zh-CN" w:bidi="ar-SA"/>
              </w:rPr>
              <w:t>0.071</w:t>
            </w:r>
          </w:p>
        </w:tc>
        <w:tc>
          <w:tcPr>
            <w:tcW w:w="248" w:type="pct"/>
            <w:tcBorders>
              <w:tl2br w:val="nil"/>
              <w:tr2bl w:val="nil"/>
            </w:tcBorders>
            <w:noWrap w:val="0"/>
            <w:vAlign w:val="center"/>
          </w:tcPr>
          <w:p w14:paraId="208186D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0.021</w:t>
            </w:r>
          </w:p>
        </w:tc>
        <w:tc>
          <w:tcPr>
            <w:tcW w:w="143" w:type="pct"/>
            <w:tcBorders>
              <w:tl2br w:val="nil"/>
              <w:tr2bl w:val="nil"/>
            </w:tcBorders>
            <w:noWrap w:val="0"/>
            <w:vAlign w:val="center"/>
          </w:tcPr>
          <w:p w14:paraId="43A19F04">
            <w:pPr>
              <w:keepNext w:val="0"/>
              <w:keepLines w:val="0"/>
              <w:widowControl/>
              <w:suppressLineNumbers w:val="0"/>
              <w:spacing w:line="240" w:lineRule="auto"/>
              <w:jc w:val="center"/>
              <w:textAlignment w:val="center"/>
              <w:rPr>
                <w:rFonts w:hint="default" w:ascii="Times New Roman" w:hAnsi="Times New Roman" w:eastAsia="宋体" w:cs="Times New Roman"/>
                <w:b w:val="0"/>
                <w:bCs/>
                <w:snapToGrid w:val="0"/>
                <w:color w:val="auto"/>
                <w:sz w:val="18"/>
                <w:szCs w:val="18"/>
                <w:vertAlign w:val="baseline"/>
                <w:lang w:val="en-US" w:eastAsia="zh-CN"/>
              </w:rPr>
            </w:pPr>
            <w:r>
              <w:rPr>
                <w:rFonts w:hint="default" w:ascii="Times New Roman" w:hAnsi="Times New Roman" w:cs="Times New Roman"/>
                <w:b w:val="0"/>
                <w:bCs/>
                <w:snapToGrid w:val="0"/>
                <w:color w:val="auto"/>
                <w:sz w:val="18"/>
                <w:szCs w:val="18"/>
                <w:vertAlign w:val="baseline"/>
                <w:lang w:val="en-US" w:eastAsia="zh-CN"/>
              </w:rPr>
              <w:t>/</w:t>
            </w:r>
          </w:p>
        </w:tc>
        <w:tc>
          <w:tcPr>
            <w:tcW w:w="158" w:type="pct"/>
            <w:tcBorders>
              <w:tl2br w:val="nil"/>
              <w:tr2bl w:val="nil"/>
            </w:tcBorders>
            <w:noWrap w:val="0"/>
            <w:vAlign w:val="center"/>
          </w:tcPr>
          <w:p w14:paraId="2B4A67C9">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b w:val="0"/>
                <w:bCs/>
                <w:snapToGrid w:val="0"/>
                <w:color w:val="auto"/>
                <w:sz w:val="18"/>
                <w:szCs w:val="18"/>
                <w:vertAlign w:val="baseline"/>
                <w:lang w:val="en-US" w:eastAsia="zh-CN"/>
              </w:rPr>
              <w:t>/</w:t>
            </w:r>
          </w:p>
        </w:tc>
        <w:tc>
          <w:tcPr>
            <w:tcW w:w="179" w:type="pct"/>
            <w:tcBorders>
              <w:tl2br w:val="nil"/>
              <w:tr2bl w:val="nil"/>
            </w:tcBorders>
            <w:noWrap w:val="0"/>
            <w:vAlign w:val="center"/>
          </w:tcPr>
          <w:p w14:paraId="0FAA3442">
            <w:pPr>
              <w:keepNext w:val="0"/>
              <w:keepLines w:val="0"/>
              <w:widowControl/>
              <w:suppressLineNumbers w:val="0"/>
              <w:spacing w:line="240" w:lineRule="auto"/>
              <w:jc w:val="center"/>
              <w:textAlignment w:val="center"/>
              <w:rPr>
                <w:rFonts w:hint="default" w:ascii="Times New Roman" w:hAnsi="Times New Roman" w:eastAsia="宋体" w:cs="Times New Roman"/>
                <w:b w:val="0"/>
                <w:bCs/>
                <w:snapToGrid w:val="0"/>
                <w:color w:val="auto"/>
                <w:sz w:val="18"/>
                <w:szCs w:val="18"/>
                <w:vertAlign w:val="baseline"/>
                <w:lang w:val="en-US" w:eastAsia="zh-CN"/>
              </w:rPr>
            </w:pPr>
            <w:r>
              <w:rPr>
                <w:rFonts w:hint="default" w:ascii="Times New Roman" w:hAnsi="Times New Roman" w:cs="Times New Roman"/>
                <w:b w:val="0"/>
                <w:bCs/>
                <w:snapToGrid w:val="0"/>
                <w:color w:val="auto"/>
                <w:sz w:val="18"/>
                <w:szCs w:val="18"/>
                <w:vertAlign w:val="baseline"/>
                <w:lang w:val="en-US" w:eastAsia="zh-CN"/>
              </w:rPr>
              <w:t>/</w:t>
            </w:r>
          </w:p>
        </w:tc>
        <w:tc>
          <w:tcPr>
            <w:tcW w:w="178" w:type="pct"/>
            <w:tcBorders>
              <w:tl2br w:val="nil"/>
              <w:tr2bl w:val="nil"/>
            </w:tcBorders>
            <w:noWrap w:val="0"/>
            <w:vAlign w:val="center"/>
          </w:tcPr>
          <w:p w14:paraId="6D37A56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b w:val="0"/>
                <w:bCs/>
                <w:snapToGrid w:val="0"/>
                <w:color w:val="auto"/>
                <w:sz w:val="18"/>
                <w:szCs w:val="18"/>
                <w:vertAlign w:val="baseline"/>
                <w:lang w:val="en-US" w:eastAsia="zh-CN"/>
              </w:rPr>
              <w:t>/</w:t>
            </w:r>
          </w:p>
        </w:tc>
        <w:tc>
          <w:tcPr>
            <w:tcW w:w="284" w:type="pct"/>
            <w:tcBorders>
              <w:tl2br w:val="nil"/>
              <w:tr2bl w:val="nil"/>
            </w:tcBorders>
            <w:noWrap w:val="0"/>
            <w:vAlign w:val="center"/>
          </w:tcPr>
          <w:p w14:paraId="343C65C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b w:val="0"/>
                <w:bCs/>
                <w:snapToGrid w:val="0"/>
                <w:color w:val="auto"/>
                <w:sz w:val="18"/>
                <w:szCs w:val="18"/>
                <w:vertAlign w:val="baseline"/>
                <w:lang w:val="en-US" w:eastAsia="zh-CN"/>
              </w:rPr>
              <w:t>/</w:t>
            </w:r>
          </w:p>
        </w:tc>
        <w:tc>
          <w:tcPr>
            <w:tcW w:w="247" w:type="pct"/>
            <w:tcBorders>
              <w:tl2br w:val="nil"/>
              <w:tr2bl w:val="nil"/>
            </w:tcBorders>
            <w:noWrap w:val="0"/>
            <w:vAlign w:val="center"/>
          </w:tcPr>
          <w:p w14:paraId="56B0B4B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b w:val="0"/>
                <w:bCs/>
                <w:snapToGrid w:val="0"/>
                <w:color w:val="auto"/>
                <w:sz w:val="18"/>
                <w:szCs w:val="18"/>
                <w:vertAlign w:val="baseline"/>
                <w:lang w:val="en-US" w:eastAsia="zh-CN"/>
              </w:rPr>
              <w:t>/</w:t>
            </w:r>
          </w:p>
        </w:tc>
        <w:tc>
          <w:tcPr>
            <w:tcW w:w="261" w:type="pct"/>
            <w:tcBorders>
              <w:tl2br w:val="nil"/>
              <w:tr2bl w:val="nil"/>
            </w:tcBorders>
            <w:noWrap w:val="0"/>
            <w:vAlign w:val="center"/>
          </w:tcPr>
          <w:p w14:paraId="1CF259A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b w:val="0"/>
                <w:bCs/>
                <w:snapToGrid w:val="0"/>
                <w:color w:val="auto"/>
                <w:sz w:val="18"/>
                <w:szCs w:val="18"/>
                <w:vertAlign w:val="baseline"/>
                <w:lang w:val="en-US" w:eastAsia="zh-CN"/>
              </w:rPr>
              <w:t>/</w:t>
            </w:r>
          </w:p>
        </w:tc>
        <w:tc>
          <w:tcPr>
            <w:tcW w:w="776" w:type="dxa"/>
            <w:tcBorders>
              <w:tl2br w:val="nil"/>
              <w:tr2bl w:val="nil"/>
            </w:tcBorders>
            <w:noWrap w:val="0"/>
            <w:vAlign w:val="center"/>
          </w:tcPr>
          <w:p w14:paraId="1922216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eastAsia" w:ascii="Times New Roman" w:hAnsi="Times New Roman" w:cs="Times New Roman"/>
                <w:i w:val="0"/>
                <w:iCs w:val="0"/>
                <w:color w:val="auto"/>
                <w:kern w:val="2"/>
                <w:sz w:val="18"/>
                <w:szCs w:val="18"/>
                <w:u w:val="none"/>
                <w:lang w:val="en-US" w:eastAsia="zh-CN" w:bidi="ar-SA"/>
              </w:rPr>
              <w:t>0.071</w:t>
            </w:r>
          </w:p>
        </w:tc>
        <w:tc>
          <w:tcPr>
            <w:tcW w:w="802" w:type="dxa"/>
            <w:tcBorders>
              <w:tl2br w:val="nil"/>
              <w:tr2bl w:val="nil"/>
            </w:tcBorders>
            <w:noWrap w:val="0"/>
            <w:vAlign w:val="center"/>
          </w:tcPr>
          <w:p w14:paraId="1B720AB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0.021</w:t>
            </w:r>
          </w:p>
        </w:tc>
        <w:tc>
          <w:tcPr>
            <w:tcW w:w="178" w:type="pct"/>
            <w:tcBorders>
              <w:tl2br w:val="nil"/>
              <w:tr2bl w:val="nil"/>
            </w:tcBorders>
            <w:noWrap w:val="0"/>
            <w:vAlign w:val="center"/>
          </w:tcPr>
          <w:p w14:paraId="1CD5B3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b w:val="0"/>
                <w:bCs/>
                <w:snapToGrid w:val="0"/>
                <w:color w:val="auto"/>
                <w:sz w:val="18"/>
                <w:szCs w:val="18"/>
                <w:vertAlign w:val="baseline"/>
                <w:lang w:val="en-US" w:eastAsia="zh-CN"/>
              </w:rPr>
              <w:t>300</w:t>
            </w:r>
          </w:p>
        </w:tc>
        <w:tc>
          <w:tcPr>
            <w:tcW w:w="122" w:type="pct"/>
            <w:tcBorders>
              <w:tl2br w:val="nil"/>
              <w:tr2bl w:val="nil"/>
            </w:tcBorders>
            <w:noWrap w:val="0"/>
            <w:vAlign w:val="center"/>
          </w:tcPr>
          <w:p w14:paraId="0EB3748A">
            <w:pPr>
              <w:adjustRightInd w:val="0"/>
              <w:snapToGrid w:val="0"/>
              <w:spacing w:before="0" w:beforeAutospacing="0" w:after="0" w:afterAutospacing="0" w:line="240" w:lineRule="auto"/>
              <w:jc w:val="center"/>
              <w:outlineLvl w:val="0"/>
              <w:rPr>
                <w:rFonts w:hint="default" w:ascii="Times New Roman" w:hAnsi="Times New Roman" w:eastAsia="宋体" w:cs="Times New Roman"/>
                <w:b w:val="0"/>
                <w:bCs/>
                <w:snapToGrid w:val="0"/>
                <w:color w:val="auto"/>
                <w:sz w:val="18"/>
                <w:szCs w:val="18"/>
                <w:vertAlign w:val="baseline"/>
                <w:lang w:val="en-US" w:eastAsia="zh-CN"/>
              </w:rPr>
            </w:pPr>
            <w:r>
              <w:rPr>
                <w:rFonts w:hint="default" w:ascii="Times New Roman" w:hAnsi="Times New Roman" w:cs="Times New Roman"/>
                <w:b w:val="0"/>
                <w:bCs/>
                <w:snapToGrid w:val="0"/>
                <w:color w:val="auto"/>
                <w:sz w:val="18"/>
                <w:szCs w:val="18"/>
                <w:vertAlign w:val="baseline"/>
                <w:lang w:val="en-US" w:eastAsia="zh-CN"/>
              </w:rPr>
              <w:t>/</w:t>
            </w:r>
          </w:p>
        </w:tc>
        <w:tc>
          <w:tcPr>
            <w:tcW w:w="163" w:type="pct"/>
            <w:tcBorders>
              <w:tl2br w:val="nil"/>
              <w:tr2bl w:val="nil"/>
            </w:tcBorders>
            <w:noWrap w:val="0"/>
            <w:vAlign w:val="center"/>
          </w:tcPr>
          <w:p w14:paraId="0E38B6F9">
            <w:pPr>
              <w:adjustRightInd w:val="0"/>
              <w:snapToGrid w:val="0"/>
              <w:spacing w:before="0" w:beforeAutospacing="0" w:after="0" w:afterAutospacing="0" w:line="240" w:lineRule="auto"/>
              <w:jc w:val="center"/>
              <w:outlineLvl w:val="0"/>
              <w:rPr>
                <w:rFonts w:hint="default" w:ascii="Times New Roman" w:hAnsi="Times New Roman" w:cs="Times New Roman"/>
                <w:b w:val="0"/>
                <w:bCs/>
                <w:snapToGrid w:val="0"/>
                <w:color w:val="auto"/>
                <w:sz w:val="18"/>
                <w:szCs w:val="18"/>
                <w:vertAlign w:val="baseline"/>
                <w:lang w:val="en-US" w:eastAsia="zh-CN"/>
              </w:rPr>
            </w:pPr>
            <w:r>
              <w:rPr>
                <w:rFonts w:hint="default" w:ascii="Times New Roman" w:hAnsi="Times New Roman" w:cs="Times New Roman"/>
                <w:b w:val="0"/>
                <w:bCs/>
                <w:snapToGrid w:val="0"/>
                <w:color w:val="auto"/>
                <w:sz w:val="18"/>
                <w:szCs w:val="18"/>
                <w:vertAlign w:val="baseline"/>
                <w:lang w:val="en-US" w:eastAsia="zh-CN"/>
              </w:rPr>
              <w:t>/</w:t>
            </w:r>
          </w:p>
        </w:tc>
        <w:tc>
          <w:tcPr>
            <w:tcW w:w="163" w:type="pct"/>
            <w:tcBorders>
              <w:tl2br w:val="nil"/>
              <w:tr2bl w:val="nil"/>
            </w:tcBorders>
            <w:noWrap w:val="0"/>
            <w:vAlign w:val="center"/>
          </w:tcPr>
          <w:p w14:paraId="31643AC7">
            <w:pPr>
              <w:adjustRightInd w:val="0"/>
              <w:snapToGrid w:val="0"/>
              <w:spacing w:before="0" w:beforeAutospacing="0" w:after="0" w:afterAutospacing="0" w:line="240" w:lineRule="auto"/>
              <w:jc w:val="center"/>
              <w:outlineLvl w:val="0"/>
              <w:rPr>
                <w:rFonts w:hint="default" w:ascii="Times New Roman" w:hAnsi="Times New Roman" w:cs="Times New Roman"/>
                <w:b w:val="0"/>
                <w:bCs/>
                <w:snapToGrid w:val="0"/>
                <w:color w:val="auto"/>
                <w:sz w:val="18"/>
                <w:szCs w:val="18"/>
                <w:vertAlign w:val="baseline"/>
                <w:lang w:val="en-US" w:eastAsia="zh-CN"/>
              </w:rPr>
            </w:pPr>
            <w:r>
              <w:rPr>
                <w:rFonts w:hint="default" w:ascii="Times New Roman" w:hAnsi="Times New Roman" w:cs="Times New Roman"/>
                <w:b w:val="0"/>
                <w:bCs/>
                <w:snapToGrid w:val="0"/>
                <w:color w:val="auto"/>
                <w:sz w:val="18"/>
                <w:szCs w:val="18"/>
                <w:vertAlign w:val="baseline"/>
                <w:lang w:val="en-US" w:eastAsia="zh-CN"/>
              </w:rPr>
              <w:t>/</w:t>
            </w:r>
          </w:p>
        </w:tc>
        <w:tc>
          <w:tcPr>
            <w:tcW w:w="128" w:type="pct"/>
            <w:tcBorders>
              <w:tl2br w:val="nil"/>
              <w:tr2bl w:val="nil"/>
            </w:tcBorders>
            <w:noWrap w:val="0"/>
            <w:vAlign w:val="center"/>
          </w:tcPr>
          <w:p w14:paraId="374BCA37">
            <w:pPr>
              <w:adjustRightInd w:val="0"/>
              <w:snapToGrid w:val="0"/>
              <w:spacing w:before="0" w:beforeAutospacing="0" w:after="0" w:afterAutospacing="0" w:line="240" w:lineRule="auto"/>
              <w:jc w:val="center"/>
              <w:outlineLvl w:val="0"/>
              <w:rPr>
                <w:rFonts w:hint="default" w:ascii="Times New Roman" w:hAnsi="Times New Roman" w:eastAsia="宋体" w:cs="Times New Roman"/>
                <w:b w:val="0"/>
                <w:bCs/>
                <w:snapToGrid w:val="0"/>
                <w:color w:val="auto"/>
                <w:sz w:val="18"/>
                <w:szCs w:val="18"/>
                <w:vertAlign w:val="baseline"/>
                <w:lang w:val="en-US" w:eastAsia="zh-CN"/>
              </w:rPr>
            </w:pPr>
            <w:r>
              <w:rPr>
                <w:rFonts w:hint="default" w:ascii="Times New Roman" w:hAnsi="Times New Roman" w:cs="Times New Roman"/>
                <w:b w:val="0"/>
                <w:bCs/>
                <w:snapToGrid w:val="0"/>
                <w:color w:val="auto"/>
                <w:sz w:val="18"/>
                <w:szCs w:val="18"/>
                <w:vertAlign w:val="baseline"/>
                <w:lang w:val="en-US" w:eastAsia="zh-CN"/>
              </w:rPr>
              <w:t>/</w:t>
            </w:r>
          </w:p>
        </w:tc>
        <w:tc>
          <w:tcPr>
            <w:tcW w:w="374" w:type="pct"/>
            <w:tcBorders>
              <w:tl2br w:val="nil"/>
              <w:tr2bl w:val="nil"/>
            </w:tcBorders>
            <w:noWrap w:val="0"/>
            <w:vAlign w:val="center"/>
          </w:tcPr>
          <w:p w14:paraId="4411DA49">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val="0"/>
                <w:bCs/>
                <w:snapToGrid w:val="0"/>
                <w:color w:val="auto"/>
                <w:sz w:val="18"/>
                <w:szCs w:val="18"/>
                <w:vertAlign w:val="baseline"/>
                <w:lang w:val="en-US" w:eastAsia="zh-CN"/>
              </w:rPr>
            </w:pPr>
            <w:r>
              <w:rPr>
                <w:rFonts w:hint="eastAsia" w:ascii="Times New Roman" w:hAnsi="Times New Roman" w:cs="Times New Roman"/>
                <w:b w:val="0"/>
                <w:bCs/>
                <w:snapToGrid w:val="0"/>
                <w:color w:val="auto"/>
                <w:sz w:val="18"/>
                <w:szCs w:val="18"/>
                <w:vertAlign w:val="baseline"/>
                <w:lang w:val="en-US" w:eastAsia="zh-CN"/>
              </w:rPr>
              <w:t>/</w:t>
            </w:r>
          </w:p>
        </w:tc>
      </w:tr>
      <w:tr w14:paraId="31D1B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000" w:type="pct"/>
            <w:gridSpan w:val="21"/>
            <w:tcBorders>
              <w:tl2br w:val="nil"/>
              <w:tr2bl w:val="nil"/>
            </w:tcBorders>
            <w:noWrap w:val="0"/>
            <w:vAlign w:val="center"/>
          </w:tcPr>
          <w:p w14:paraId="118052D3">
            <w:pPr>
              <w:pStyle w:val="26"/>
              <w:adjustRightInd w:val="0"/>
              <w:snapToGrid w:val="0"/>
              <w:spacing w:before="0" w:beforeAutospacing="0" w:after="0" w:afterAutospacing="0" w:line="240" w:lineRule="auto"/>
              <w:jc w:val="both"/>
              <w:outlineLvl w:val="0"/>
              <w:rPr>
                <w:rFonts w:hint="eastAsia" w:ascii="Times New Roman" w:hAnsi="Times New Roman" w:cs="Times New Roman"/>
                <w:b w:val="0"/>
                <w:bCs/>
                <w:snapToGrid w:val="0"/>
                <w:color w:val="auto"/>
                <w:sz w:val="18"/>
                <w:szCs w:val="18"/>
                <w:vertAlign w:val="baseline"/>
                <w:lang w:val="en-US" w:eastAsia="zh-CN"/>
              </w:rPr>
            </w:pPr>
            <w:r>
              <w:rPr>
                <w:rFonts w:hint="eastAsia" w:ascii="Times New Roman" w:hAnsi="Times New Roman" w:cs="Times New Roman"/>
                <w:b w:val="0"/>
                <w:bCs/>
                <w:snapToGrid w:val="0"/>
                <w:color w:val="auto"/>
                <w:sz w:val="18"/>
                <w:szCs w:val="18"/>
                <w:vertAlign w:val="baseline"/>
                <w:lang w:val="en-US" w:eastAsia="zh-CN"/>
              </w:rPr>
              <w:t>注：除非甲烷总烃外，其余污染物的产生量较少，通过有机废气处理设施处理后的排放量极少，本次评价不对其进行排放量统计，但纳入达标排放管理和监控。</w:t>
            </w:r>
          </w:p>
        </w:tc>
      </w:tr>
    </w:tbl>
    <w:p w14:paraId="701C6459">
      <w:pPr>
        <w:widowControl/>
        <w:adjustRightInd w:val="0"/>
        <w:snapToGrid w:val="0"/>
        <w:jc w:val="center"/>
        <w:outlineLvl w:val="0"/>
        <w:rPr>
          <w:rFonts w:hint="default" w:ascii="Times New Roman" w:hAnsi="Times New Roman" w:cs="Times New Roman"/>
          <w:b/>
          <w:snapToGrid w:val="0"/>
          <w:color w:val="auto"/>
          <w:kern w:val="0"/>
          <w:szCs w:val="21"/>
        </w:rPr>
      </w:pPr>
    </w:p>
    <w:p w14:paraId="59105B30">
      <w:pPr>
        <w:widowControl/>
        <w:adjustRightInd w:val="0"/>
        <w:snapToGrid w:val="0"/>
        <w:jc w:val="center"/>
        <w:outlineLvl w:val="0"/>
        <w:rPr>
          <w:rFonts w:hint="default" w:ascii="Times New Roman" w:hAnsi="Times New Roman" w:cs="Times New Roman"/>
          <w:b/>
          <w:snapToGrid w:val="0"/>
          <w:color w:val="auto"/>
          <w:kern w:val="0"/>
          <w:szCs w:val="21"/>
        </w:rPr>
      </w:pPr>
      <w:r>
        <w:rPr>
          <w:rFonts w:hint="default" w:ascii="Times New Roman" w:hAnsi="Times New Roman" w:cs="Times New Roman"/>
          <w:b/>
          <w:snapToGrid w:val="0"/>
          <w:color w:val="auto"/>
          <w:kern w:val="0"/>
          <w:szCs w:val="21"/>
        </w:rPr>
        <w:t>表4-</w:t>
      </w:r>
      <w:r>
        <w:rPr>
          <w:rFonts w:hint="eastAsia" w:ascii="Times New Roman" w:hAnsi="Times New Roman" w:cs="Times New Roman"/>
          <w:b/>
          <w:snapToGrid w:val="0"/>
          <w:color w:val="auto"/>
          <w:kern w:val="0"/>
          <w:szCs w:val="21"/>
          <w:lang w:val="en-US" w:eastAsia="zh-CN"/>
        </w:rPr>
        <w:t>3</w:t>
      </w:r>
      <w:r>
        <w:rPr>
          <w:rFonts w:hint="default" w:ascii="Times New Roman" w:hAnsi="Times New Roman" w:cs="Times New Roman"/>
          <w:b/>
          <w:snapToGrid w:val="0"/>
          <w:color w:val="auto"/>
          <w:kern w:val="0"/>
          <w:szCs w:val="21"/>
        </w:rPr>
        <w:t xml:space="preserve">  废气排放口基本情况一览表</w:t>
      </w:r>
    </w:p>
    <w:tbl>
      <w:tblPr>
        <w:tblStyle w:val="30"/>
        <w:tblW w:w="1563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1182"/>
        <w:gridCol w:w="1646"/>
        <w:gridCol w:w="1485"/>
        <w:gridCol w:w="1310"/>
        <w:gridCol w:w="1158"/>
        <w:gridCol w:w="1318"/>
        <w:gridCol w:w="1222"/>
        <w:gridCol w:w="1497"/>
        <w:gridCol w:w="953"/>
        <w:gridCol w:w="3333"/>
      </w:tblGrid>
      <w:tr w14:paraId="781FF2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7" w:hRule="atLeast"/>
          <w:jc w:val="center"/>
        </w:trPr>
        <w:tc>
          <w:tcPr>
            <w:tcW w:w="534" w:type="dxa"/>
            <w:vMerge w:val="restart"/>
            <w:noWrap w:val="0"/>
            <w:vAlign w:val="center"/>
          </w:tcPr>
          <w:p w14:paraId="510CC58D">
            <w:pPr>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序号</w:t>
            </w:r>
          </w:p>
        </w:tc>
        <w:tc>
          <w:tcPr>
            <w:tcW w:w="1182" w:type="dxa"/>
            <w:vMerge w:val="restart"/>
            <w:noWrap w:val="0"/>
            <w:vAlign w:val="center"/>
          </w:tcPr>
          <w:p w14:paraId="3944843B">
            <w:pPr>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排放口编号</w:t>
            </w:r>
          </w:p>
        </w:tc>
        <w:tc>
          <w:tcPr>
            <w:tcW w:w="1646" w:type="dxa"/>
            <w:vMerge w:val="restart"/>
            <w:noWrap w:val="0"/>
            <w:vAlign w:val="center"/>
          </w:tcPr>
          <w:p w14:paraId="1B41CA1E">
            <w:pPr>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排放口名称</w:t>
            </w:r>
          </w:p>
        </w:tc>
        <w:tc>
          <w:tcPr>
            <w:tcW w:w="2795" w:type="dxa"/>
            <w:gridSpan w:val="2"/>
            <w:noWrap w:val="0"/>
            <w:vAlign w:val="center"/>
          </w:tcPr>
          <w:p w14:paraId="1E951C7C">
            <w:pPr>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排放口地理坐标</w:t>
            </w:r>
          </w:p>
        </w:tc>
        <w:tc>
          <w:tcPr>
            <w:tcW w:w="1158" w:type="dxa"/>
            <w:vMerge w:val="restart"/>
            <w:noWrap w:val="0"/>
            <w:vAlign w:val="center"/>
          </w:tcPr>
          <w:p w14:paraId="0D76592C">
            <w:pPr>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污染物名称</w:t>
            </w:r>
          </w:p>
        </w:tc>
        <w:tc>
          <w:tcPr>
            <w:tcW w:w="2540" w:type="dxa"/>
            <w:gridSpan w:val="2"/>
            <w:noWrap w:val="0"/>
            <w:vAlign w:val="center"/>
          </w:tcPr>
          <w:p w14:paraId="4708DBF9">
            <w:pPr>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排放情况</w:t>
            </w:r>
          </w:p>
        </w:tc>
        <w:tc>
          <w:tcPr>
            <w:tcW w:w="2450" w:type="dxa"/>
            <w:gridSpan w:val="2"/>
            <w:noWrap w:val="0"/>
            <w:vAlign w:val="center"/>
          </w:tcPr>
          <w:p w14:paraId="68167B60">
            <w:pPr>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排放限值</w:t>
            </w:r>
          </w:p>
        </w:tc>
        <w:tc>
          <w:tcPr>
            <w:tcW w:w="3333" w:type="dxa"/>
            <w:vMerge w:val="restart"/>
            <w:noWrap w:val="0"/>
            <w:vAlign w:val="center"/>
          </w:tcPr>
          <w:p w14:paraId="3F25B77B">
            <w:pPr>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排放标准</w:t>
            </w:r>
          </w:p>
        </w:tc>
      </w:tr>
      <w:tr w14:paraId="60503F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8" w:hRule="atLeast"/>
          <w:jc w:val="center"/>
        </w:trPr>
        <w:tc>
          <w:tcPr>
            <w:tcW w:w="534" w:type="dxa"/>
            <w:vMerge w:val="continue"/>
            <w:noWrap w:val="0"/>
            <w:vAlign w:val="center"/>
          </w:tcPr>
          <w:p w14:paraId="612050CE">
            <w:pPr>
              <w:adjustRightInd w:val="0"/>
              <w:snapToGrid w:val="0"/>
              <w:ind w:left="460" w:hanging="460"/>
              <w:jc w:val="center"/>
              <w:rPr>
                <w:rFonts w:hint="default" w:ascii="Times New Roman" w:hAnsi="Times New Roman" w:cs="Times New Roman"/>
                <w:color w:val="auto"/>
                <w:kern w:val="0"/>
                <w:sz w:val="18"/>
                <w:szCs w:val="18"/>
              </w:rPr>
            </w:pPr>
          </w:p>
        </w:tc>
        <w:tc>
          <w:tcPr>
            <w:tcW w:w="1182" w:type="dxa"/>
            <w:vMerge w:val="continue"/>
            <w:noWrap w:val="0"/>
            <w:vAlign w:val="center"/>
          </w:tcPr>
          <w:p w14:paraId="314A6582">
            <w:pPr>
              <w:adjustRightInd w:val="0"/>
              <w:snapToGrid w:val="0"/>
              <w:ind w:left="460" w:hanging="460"/>
              <w:jc w:val="center"/>
              <w:rPr>
                <w:rFonts w:hint="default" w:ascii="Times New Roman" w:hAnsi="Times New Roman" w:cs="Times New Roman"/>
                <w:color w:val="auto"/>
                <w:kern w:val="0"/>
                <w:sz w:val="18"/>
                <w:szCs w:val="18"/>
              </w:rPr>
            </w:pPr>
          </w:p>
        </w:tc>
        <w:tc>
          <w:tcPr>
            <w:tcW w:w="1646" w:type="dxa"/>
            <w:vMerge w:val="continue"/>
            <w:noWrap w:val="0"/>
            <w:vAlign w:val="center"/>
          </w:tcPr>
          <w:p w14:paraId="4A80BD6F">
            <w:pPr>
              <w:adjustRightInd w:val="0"/>
              <w:snapToGrid w:val="0"/>
              <w:jc w:val="center"/>
              <w:rPr>
                <w:rFonts w:hint="default" w:ascii="Times New Roman" w:hAnsi="Times New Roman" w:cs="Times New Roman"/>
                <w:color w:val="auto"/>
                <w:kern w:val="0"/>
                <w:sz w:val="18"/>
                <w:szCs w:val="18"/>
              </w:rPr>
            </w:pPr>
          </w:p>
        </w:tc>
        <w:tc>
          <w:tcPr>
            <w:tcW w:w="1485" w:type="dxa"/>
            <w:noWrap w:val="0"/>
            <w:vAlign w:val="center"/>
          </w:tcPr>
          <w:p w14:paraId="383D38F5">
            <w:pPr>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经度</w:t>
            </w:r>
          </w:p>
        </w:tc>
        <w:tc>
          <w:tcPr>
            <w:tcW w:w="1310" w:type="dxa"/>
            <w:noWrap w:val="0"/>
            <w:vAlign w:val="center"/>
          </w:tcPr>
          <w:p w14:paraId="26ED7FFE">
            <w:pPr>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纬度</w:t>
            </w:r>
          </w:p>
        </w:tc>
        <w:tc>
          <w:tcPr>
            <w:tcW w:w="1158" w:type="dxa"/>
            <w:vMerge w:val="continue"/>
            <w:noWrap w:val="0"/>
            <w:vAlign w:val="center"/>
          </w:tcPr>
          <w:p w14:paraId="29D6AC46">
            <w:pPr>
              <w:adjustRightInd w:val="0"/>
              <w:snapToGrid w:val="0"/>
              <w:jc w:val="center"/>
              <w:rPr>
                <w:rFonts w:hint="default" w:ascii="Times New Roman" w:hAnsi="Times New Roman" w:cs="Times New Roman"/>
                <w:color w:val="auto"/>
                <w:kern w:val="0"/>
                <w:sz w:val="18"/>
                <w:szCs w:val="18"/>
              </w:rPr>
            </w:pPr>
          </w:p>
        </w:tc>
        <w:tc>
          <w:tcPr>
            <w:tcW w:w="1318" w:type="dxa"/>
            <w:noWrap w:val="0"/>
            <w:vAlign w:val="center"/>
          </w:tcPr>
          <w:p w14:paraId="04BE8409">
            <w:pPr>
              <w:widowControl/>
              <w:jc w:val="center"/>
              <w:outlineLvl w:val="0"/>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排放浓度</w:t>
            </w:r>
          </w:p>
          <w:p w14:paraId="26B476AF">
            <w:pPr>
              <w:widowControl/>
              <w:jc w:val="center"/>
              <w:outlineLvl w:val="0"/>
              <w:rPr>
                <w:rFonts w:hint="default" w:ascii="Times New Roman" w:hAnsi="Times New Roman" w:cs="Times New Roman"/>
                <w:color w:val="auto"/>
                <w:kern w:val="0"/>
                <w:sz w:val="18"/>
                <w:szCs w:val="18"/>
              </w:rPr>
            </w:pPr>
            <w:r>
              <w:rPr>
                <w:rFonts w:hint="eastAsia" w:cs="Times New Roman"/>
                <w:color w:val="auto"/>
                <w:kern w:val="0"/>
                <w:sz w:val="18"/>
                <w:szCs w:val="18"/>
                <w:lang w:eastAsia="zh-CN"/>
              </w:rPr>
              <w:t>(</w:t>
            </w:r>
            <w:r>
              <w:rPr>
                <w:rFonts w:hint="default" w:ascii="Times New Roman" w:hAnsi="Times New Roman" w:cs="Times New Roman"/>
                <w:color w:val="auto"/>
                <w:kern w:val="0"/>
                <w:sz w:val="18"/>
                <w:szCs w:val="18"/>
              </w:rPr>
              <w:t>mg/m</w:t>
            </w:r>
            <w:r>
              <w:rPr>
                <w:rFonts w:hint="default" w:ascii="Times New Roman" w:hAnsi="Times New Roman" w:cs="Times New Roman"/>
                <w:color w:val="auto"/>
                <w:kern w:val="0"/>
                <w:sz w:val="18"/>
                <w:szCs w:val="18"/>
                <w:vertAlign w:val="superscript"/>
              </w:rPr>
              <w:t>3</w:t>
            </w:r>
            <w:r>
              <w:rPr>
                <w:rFonts w:hint="eastAsia" w:cs="Times New Roman"/>
                <w:color w:val="auto"/>
                <w:kern w:val="0"/>
                <w:sz w:val="18"/>
                <w:szCs w:val="18"/>
                <w:vertAlign w:val="superscript"/>
                <w:lang w:eastAsia="zh-CN"/>
              </w:rPr>
              <w:t>)</w:t>
            </w:r>
          </w:p>
        </w:tc>
        <w:tc>
          <w:tcPr>
            <w:tcW w:w="1222" w:type="dxa"/>
            <w:noWrap w:val="0"/>
            <w:vAlign w:val="center"/>
          </w:tcPr>
          <w:p w14:paraId="7206B1AE">
            <w:pPr>
              <w:widowControl/>
              <w:jc w:val="center"/>
              <w:outlineLvl w:val="0"/>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排放速率（kg/h）</w:t>
            </w:r>
          </w:p>
        </w:tc>
        <w:tc>
          <w:tcPr>
            <w:tcW w:w="1497" w:type="dxa"/>
            <w:noWrap w:val="0"/>
            <w:vAlign w:val="center"/>
          </w:tcPr>
          <w:p w14:paraId="26502110">
            <w:pPr>
              <w:widowControl/>
              <w:jc w:val="center"/>
              <w:outlineLvl w:val="0"/>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浓度限值（mg/m</w:t>
            </w:r>
            <w:r>
              <w:rPr>
                <w:rFonts w:hint="default" w:ascii="Times New Roman" w:hAnsi="Times New Roman" w:cs="Times New Roman"/>
                <w:color w:val="auto"/>
                <w:kern w:val="0"/>
                <w:sz w:val="18"/>
                <w:szCs w:val="18"/>
                <w:vertAlign w:val="superscript"/>
              </w:rPr>
              <w:t>3</w:t>
            </w:r>
            <w:r>
              <w:rPr>
                <w:rFonts w:hint="default" w:ascii="Times New Roman" w:hAnsi="Times New Roman" w:cs="Times New Roman"/>
                <w:color w:val="auto"/>
                <w:kern w:val="0"/>
                <w:sz w:val="18"/>
                <w:szCs w:val="18"/>
              </w:rPr>
              <w:t>）</w:t>
            </w:r>
          </w:p>
        </w:tc>
        <w:tc>
          <w:tcPr>
            <w:tcW w:w="953" w:type="dxa"/>
            <w:noWrap w:val="0"/>
            <w:vAlign w:val="center"/>
          </w:tcPr>
          <w:p w14:paraId="73BB091C">
            <w:pPr>
              <w:widowControl/>
              <w:jc w:val="center"/>
              <w:outlineLvl w:val="0"/>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速率（kg/h）</w:t>
            </w:r>
          </w:p>
        </w:tc>
        <w:tc>
          <w:tcPr>
            <w:tcW w:w="3333" w:type="dxa"/>
            <w:vMerge w:val="continue"/>
            <w:noWrap w:val="0"/>
            <w:vAlign w:val="center"/>
          </w:tcPr>
          <w:p w14:paraId="74634013">
            <w:pPr>
              <w:adjustRightInd w:val="0"/>
              <w:snapToGrid w:val="0"/>
              <w:jc w:val="center"/>
              <w:rPr>
                <w:rFonts w:hint="default" w:ascii="Times New Roman" w:hAnsi="Times New Roman" w:cs="Times New Roman"/>
                <w:color w:val="auto"/>
                <w:kern w:val="0"/>
                <w:sz w:val="18"/>
                <w:szCs w:val="18"/>
              </w:rPr>
            </w:pPr>
          </w:p>
        </w:tc>
      </w:tr>
      <w:tr w14:paraId="0FECF2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2" w:hRule="atLeast"/>
          <w:jc w:val="center"/>
        </w:trPr>
        <w:tc>
          <w:tcPr>
            <w:tcW w:w="534" w:type="dxa"/>
            <w:vMerge w:val="restart"/>
            <w:noWrap w:val="0"/>
            <w:vAlign w:val="center"/>
          </w:tcPr>
          <w:p w14:paraId="69F4CCB9">
            <w:pPr>
              <w:adjustRightInd w:val="0"/>
              <w:snapToGrid w:val="0"/>
              <w:spacing w:beforeLines="10" w:afterLines="10" w:line="259" w:lineRule="auto"/>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w:t>
            </w:r>
          </w:p>
        </w:tc>
        <w:tc>
          <w:tcPr>
            <w:tcW w:w="1182" w:type="dxa"/>
            <w:vMerge w:val="restart"/>
            <w:noWrap w:val="0"/>
            <w:vAlign w:val="center"/>
          </w:tcPr>
          <w:p w14:paraId="10FDB6C6">
            <w:pPr>
              <w:adjustRightInd w:val="0"/>
              <w:snapToGrid w:val="0"/>
              <w:spacing w:beforeLines="10" w:afterLines="10" w:line="259" w:lineRule="auto"/>
              <w:jc w:val="center"/>
              <w:textAlignment w:val="baseline"/>
              <w:rPr>
                <w:rFonts w:hint="default" w:ascii="Times New Roman" w:hAnsi="Times New Roman" w:cs="Times New Roman"/>
                <w:color w:val="auto"/>
                <w:kern w:val="0"/>
                <w:sz w:val="18"/>
                <w:szCs w:val="18"/>
                <w:vertAlign w:val="superscript"/>
              </w:rPr>
            </w:pPr>
            <w:r>
              <w:rPr>
                <w:rFonts w:hint="default" w:ascii="Times New Roman" w:hAnsi="Times New Roman" w:cs="Times New Roman"/>
                <w:color w:val="auto"/>
                <w:kern w:val="0"/>
                <w:sz w:val="18"/>
                <w:szCs w:val="18"/>
              </w:rPr>
              <w:t>DA001</w:t>
            </w:r>
          </w:p>
        </w:tc>
        <w:tc>
          <w:tcPr>
            <w:tcW w:w="1646" w:type="dxa"/>
            <w:vMerge w:val="restart"/>
            <w:noWrap w:val="0"/>
            <w:vAlign w:val="center"/>
          </w:tcPr>
          <w:p w14:paraId="356FB93F">
            <w:pPr>
              <w:adjustRightInd w:val="0"/>
              <w:snapToGrid w:val="0"/>
              <w:spacing w:beforeLines="10" w:afterLines="10" w:line="259" w:lineRule="auto"/>
              <w:jc w:val="center"/>
              <w:rPr>
                <w:rFonts w:hint="default" w:ascii="Times New Roman" w:hAnsi="Times New Roman" w:cs="Times New Roman"/>
                <w:color w:val="auto"/>
                <w:kern w:val="0"/>
                <w:sz w:val="18"/>
                <w:szCs w:val="18"/>
                <w:lang w:val="en-US"/>
              </w:rPr>
            </w:pPr>
            <w:r>
              <w:rPr>
                <w:rFonts w:hint="default" w:ascii="Times New Roman" w:hAnsi="Times New Roman" w:cs="Times New Roman"/>
                <w:color w:val="auto"/>
                <w:kern w:val="0"/>
                <w:sz w:val="18"/>
                <w:szCs w:val="18"/>
                <w:lang w:val="en-US" w:eastAsia="zh-CN"/>
              </w:rPr>
              <w:t>注塑废气排放口</w:t>
            </w:r>
          </w:p>
        </w:tc>
        <w:tc>
          <w:tcPr>
            <w:tcW w:w="1485" w:type="dxa"/>
            <w:vMerge w:val="restart"/>
            <w:noWrap w:val="0"/>
            <w:vAlign w:val="center"/>
          </w:tcPr>
          <w:p w14:paraId="430C1D09">
            <w:pPr>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106.294704649</w:t>
            </w:r>
          </w:p>
        </w:tc>
        <w:tc>
          <w:tcPr>
            <w:tcW w:w="1310" w:type="dxa"/>
            <w:vMerge w:val="restart"/>
            <w:noWrap w:val="0"/>
            <w:vAlign w:val="center"/>
          </w:tcPr>
          <w:p w14:paraId="288675D5">
            <w:pPr>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29.935903639</w:t>
            </w:r>
          </w:p>
        </w:tc>
        <w:tc>
          <w:tcPr>
            <w:tcW w:w="1158" w:type="dxa"/>
            <w:noWrap w:val="0"/>
            <w:vAlign w:val="center"/>
          </w:tcPr>
          <w:p w14:paraId="49EAD5FD">
            <w:pPr>
              <w:widowControl/>
              <w:adjustRightInd w:val="0"/>
              <w:snapToGrid w:val="0"/>
              <w:spacing w:beforeLines="0" w:afterLines="0" w:line="240" w:lineRule="auto"/>
              <w:jc w:val="center"/>
              <w:rPr>
                <w:rFonts w:hint="default"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非甲烷</w:t>
            </w:r>
            <w:r>
              <w:rPr>
                <w:rFonts w:ascii="Times New Roman" w:hAnsi="Times New Roman" w:eastAsia="宋体" w:cs="Times New Roman"/>
                <w:bCs/>
                <w:color w:val="auto"/>
                <w:kern w:val="0"/>
                <w:sz w:val="18"/>
                <w:szCs w:val="18"/>
                <w:lang w:val="en-US" w:eastAsia="zh-CN" w:bidi="ar-SA"/>
              </w:rPr>
              <w:t>总烃</w:t>
            </w:r>
          </w:p>
        </w:tc>
        <w:tc>
          <w:tcPr>
            <w:tcW w:w="1318" w:type="dxa"/>
            <w:noWrap w:val="0"/>
            <w:vAlign w:val="center"/>
          </w:tcPr>
          <w:p w14:paraId="350F9F8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 xml:space="preserve">2.3 </w:t>
            </w:r>
          </w:p>
        </w:tc>
        <w:tc>
          <w:tcPr>
            <w:tcW w:w="1222" w:type="dxa"/>
            <w:noWrap w:val="0"/>
            <w:vAlign w:val="center"/>
          </w:tcPr>
          <w:p w14:paraId="740948B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 xml:space="preserve">0.032 </w:t>
            </w:r>
          </w:p>
        </w:tc>
        <w:tc>
          <w:tcPr>
            <w:tcW w:w="1497" w:type="dxa"/>
            <w:noWrap w:val="0"/>
            <w:vAlign w:val="center"/>
          </w:tcPr>
          <w:p w14:paraId="204DABA3">
            <w:pPr>
              <w:pStyle w:val="59"/>
              <w:spacing w:beforeLines="0" w:afterLines="0" w:line="240" w:lineRule="auto"/>
              <w:ind w:left="0" w:leftChars="0" w:firstLine="0" w:firstLine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bidi="ar-SA"/>
              </w:rPr>
              <w:t>60</w:t>
            </w:r>
          </w:p>
        </w:tc>
        <w:tc>
          <w:tcPr>
            <w:tcW w:w="953" w:type="dxa"/>
            <w:noWrap w:val="0"/>
            <w:vAlign w:val="center"/>
          </w:tcPr>
          <w:p w14:paraId="6078292B">
            <w:pPr>
              <w:pStyle w:val="59"/>
              <w:spacing w:beforeLines="0" w:afterLines="0" w:line="240" w:lineRule="auto"/>
              <w:ind w:left="0" w:leftChars="0" w:firstLine="0" w:firstLine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bidi="ar-SA"/>
              </w:rPr>
              <w:t>/</w:t>
            </w:r>
          </w:p>
        </w:tc>
        <w:tc>
          <w:tcPr>
            <w:tcW w:w="3333" w:type="dxa"/>
            <w:vMerge w:val="restart"/>
            <w:noWrap w:val="0"/>
            <w:vAlign w:val="center"/>
          </w:tcPr>
          <w:p w14:paraId="07BC1549">
            <w:pPr>
              <w:adjustRightInd w:val="0"/>
              <w:snapToGrid w:val="0"/>
              <w:jc w:val="center"/>
              <w:rPr>
                <w:rFonts w:hint="default" w:ascii="Times New Roman" w:hAnsi="Times New Roman" w:cs="Times New Roman"/>
                <w:color w:val="auto"/>
                <w:kern w:val="0"/>
                <w:sz w:val="18"/>
                <w:szCs w:val="18"/>
              </w:rPr>
            </w:pPr>
            <w:r>
              <w:rPr>
                <w:rFonts w:hint="default" w:ascii="Times New Roman" w:hAnsi="Times New Roman" w:eastAsia="宋体" w:cs="Times New Roman"/>
                <w:color w:val="auto"/>
                <w:kern w:val="2"/>
                <w:sz w:val="18"/>
                <w:szCs w:val="18"/>
                <w:highlight w:val="none"/>
                <w:lang w:val="en-US" w:eastAsia="zh-CN" w:bidi="ar-SA"/>
              </w:rPr>
              <w:t>《</w:t>
            </w:r>
            <w:r>
              <w:rPr>
                <w:rFonts w:hint="default" w:ascii="Times New Roman" w:hAnsi="Times New Roman" w:eastAsia="宋体" w:cs="Times New Roman"/>
                <w:color w:val="auto"/>
                <w:sz w:val="18"/>
                <w:szCs w:val="18"/>
                <w:highlight w:val="none"/>
                <w:lang w:val="en-US" w:eastAsia="zh-CN"/>
              </w:rPr>
              <w:t>合成树脂工业污染物排放标准》</w:t>
            </w:r>
            <w:r>
              <w:rPr>
                <w:rFonts w:hint="eastAsia" w:cs="Times New Roman"/>
                <w:color w:val="auto"/>
                <w:sz w:val="18"/>
                <w:szCs w:val="18"/>
                <w:highlight w:val="none"/>
                <w:lang w:val="en-US" w:eastAsia="zh-CN"/>
              </w:rPr>
              <w:t>（GB 31572-2015），含2024年修改单）</w:t>
            </w:r>
          </w:p>
        </w:tc>
      </w:tr>
      <w:tr w14:paraId="3977CC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2" w:hRule="atLeast"/>
          <w:jc w:val="center"/>
        </w:trPr>
        <w:tc>
          <w:tcPr>
            <w:tcW w:w="534" w:type="dxa"/>
            <w:vMerge w:val="continue"/>
            <w:noWrap w:val="0"/>
            <w:vAlign w:val="center"/>
          </w:tcPr>
          <w:p w14:paraId="538447ED">
            <w:pPr>
              <w:adjustRightInd w:val="0"/>
              <w:snapToGrid w:val="0"/>
              <w:spacing w:beforeLines="10" w:afterLines="10" w:line="259" w:lineRule="auto"/>
              <w:jc w:val="center"/>
              <w:rPr>
                <w:rFonts w:hint="default" w:ascii="Times New Roman" w:hAnsi="Times New Roman" w:cs="Times New Roman"/>
                <w:color w:val="auto"/>
                <w:kern w:val="0"/>
                <w:sz w:val="18"/>
                <w:szCs w:val="18"/>
              </w:rPr>
            </w:pPr>
          </w:p>
        </w:tc>
        <w:tc>
          <w:tcPr>
            <w:tcW w:w="1182" w:type="dxa"/>
            <w:vMerge w:val="continue"/>
            <w:noWrap w:val="0"/>
            <w:vAlign w:val="center"/>
          </w:tcPr>
          <w:p w14:paraId="2B8E3222">
            <w:pPr>
              <w:adjustRightInd w:val="0"/>
              <w:snapToGrid w:val="0"/>
              <w:spacing w:beforeLines="10" w:afterLines="10" w:line="259" w:lineRule="auto"/>
              <w:jc w:val="center"/>
              <w:textAlignment w:val="baseline"/>
              <w:rPr>
                <w:rFonts w:hint="default" w:ascii="Times New Roman" w:hAnsi="Times New Roman" w:cs="Times New Roman"/>
                <w:color w:val="auto"/>
                <w:kern w:val="0"/>
                <w:sz w:val="18"/>
                <w:szCs w:val="18"/>
              </w:rPr>
            </w:pPr>
          </w:p>
        </w:tc>
        <w:tc>
          <w:tcPr>
            <w:tcW w:w="1646" w:type="dxa"/>
            <w:vMerge w:val="continue"/>
            <w:noWrap w:val="0"/>
            <w:vAlign w:val="center"/>
          </w:tcPr>
          <w:p w14:paraId="26654215">
            <w:pPr>
              <w:adjustRightInd w:val="0"/>
              <w:snapToGrid w:val="0"/>
              <w:spacing w:beforeLines="10" w:afterLines="10" w:line="259" w:lineRule="auto"/>
              <w:jc w:val="center"/>
              <w:rPr>
                <w:rFonts w:hint="default" w:ascii="Times New Roman" w:hAnsi="Times New Roman" w:cs="Times New Roman"/>
                <w:color w:val="auto"/>
                <w:kern w:val="0"/>
                <w:sz w:val="18"/>
                <w:szCs w:val="18"/>
                <w:lang w:val="en-US" w:eastAsia="zh-CN"/>
              </w:rPr>
            </w:pPr>
          </w:p>
        </w:tc>
        <w:tc>
          <w:tcPr>
            <w:tcW w:w="1485" w:type="dxa"/>
            <w:vMerge w:val="continue"/>
            <w:noWrap w:val="0"/>
            <w:vAlign w:val="center"/>
          </w:tcPr>
          <w:p w14:paraId="6634C9DD">
            <w:pPr>
              <w:adjustRightInd w:val="0"/>
              <w:snapToGrid w:val="0"/>
              <w:jc w:val="center"/>
              <w:rPr>
                <w:rFonts w:hint="default" w:ascii="Times New Roman" w:hAnsi="Times New Roman" w:cs="Times New Roman"/>
                <w:color w:val="auto"/>
                <w:kern w:val="0"/>
                <w:sz w:val="18"/>
                <w:szCs w:val="18"/>
              </w:rPr>
            </w:pPr>
          </w:p>
        </w:tc>
        <w:tc>
          <w:tcPr>
            <w:tcW w:w="1310" w:type="dxa"/>
            <w:vMerge w:val="continue"/>
            <w:noWrap w:val="0"/>
            <w:vAlign w:val="center"/>
          </w:tcPr>
          <w:p w14:paraId="060686D5">
            <w:pPr>
              <w:adjustRightInd w:val="0"/>
              <w:snapToGrid w:val="0"/>
              <w:jc w:val="center"/>
              <w:rPr>
                <w:rFonts w:hint="default" w:ascii="Times New Roman" w:hAnsi="Times New Roman" w:cs="Times New Roman"/>
                <w:color w:val="auto"/>
                <w:kern w:val="0"/>
                <w:sz w:val="18"/>
                <w:szCs w:val="18"/>
              </w:rPr>
            </w:pPr>
          </w:p>
        </w:tc>
        <w:tc>
          <w:tcPr>
            <w:tcW w:w="1158" w:type="dxa"/>
            <w:shd w:val="clear" w:color="auto" w:fill="auto"/>
            <w:noWrap w:val="0"/>
            <w:vAlign w:val="center"/>
          </w:tcPr>
          <w:p w14:paraId="172AA15B">
            <w:pPr>
              <w:widowControl/>
              <w:adjustRightInd w:val="0"/>
              <w:snapToGrid w:val="0"/>
              <w:spacing w:beforeLines="0" w:afterLines="0" w:line="240" w:lineRule="auto"/>
              <w:jc w:val="center"/>
              <w:rPr>
                <w:rFonts w:hint="eastAsia" w:ascii="Times New Roman" w:hAnsi="Times New Roman" w:eastAsia="宋体" w:cs="Times New Roman"/>
                <w:bCs/>
                <w:color w:val="auto"/>
                <w:kern w:val="0"/>
                <w:sz w:val="18"/>
                <w:szCs w:val="18"/>
                <w:lang w:val="en-US" w:eastAsia="zh-CN" w:bidi="ar-SA"/>
              </w:rPr>
            </w:pPr>
            <w:r>
              <w:rPr>
                <w:rFonts w:hint="eastAsia" w:cs="Times New Roman"/>
                <w:bCs/>
                <w:color w:val="auto"/>
                <w:kern w:val="0"/>
                <w:sz w:val="18"/>
                <w:szCs w:val="18"/>
                <w:lang w:val="en-US" w:eastAsia="zh-CN" w:bidi="ar-SA"/>
              </w:rPr>
              <w:t>颗粒物</w:t>
            </w:r>
          </w:p>
        </w:tc>
        <w:tc>
          <w:tcPr>
            <w:tcW w:w="1318" w:type="dxa"/>
            <w:shd w:val="clear" w:color="auto" w:fill="auto"/>
            <w:noWrap w:val="0"/>
            <w:vAlign w:val="center"/>
          </w:tcPr>
          <w:p w14:paraId="5B1BA54D">
            <w:pPr>
              <w:adjustRightInd w:val="0"/>
              <w:snapToGrid w:val="0"/>
              <w:jc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w:t>
            </w:r>
          </w:p>
        </w:tc>
        <w:tc>
          <w:tcPr>
            <w:tcW w:w="1222" w:type="dxa"/>
            <w:shd w:val="clear" w:color="auto" w:fill="auto"/>
            <w:noWrap w:val="0"/>
            <w:vAlign w:val="center"/>
          </w:tcPr>
          <w:p w14:paraId="099E46A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w:t>
            </w:r>
          </w:p>
        </w:tc>
        <w:tc>
          <w:tcPr>
            <w:tcW w:w="1497" w:type="dxa"/>
            <w:shd w:val="clear" w:color="auto" w:fill="auto"/>
            <w:noWrap w:val="0"/>
            <w:vAlign w:val="center"/>
          </w:tcPr>
          <w:p w14:paraId="10313C13">
            <w:pPr>
              <w:pStyle w:val="59"/>
              <w:spacing w:beforeLines="0" w:afterLines="0" w:line="240" w:lineRule="auto"/>
              <w:ind w:left="0" w:lef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cs="Times New Roman"/>
                <w:color w:val="auto"/>
                <w:kern w:val="0"/>
                <w:sz w:val="18"/>
                <w:szCs w:val="18"/>
                <w:highlight w:val="none"/>
                <w:lang w:val="en-US" w:eastAsia="zh-CN" w:bidi="ar-SA"/>
              </w:rPr>
              <w:t>20</w:t>
            </w:r>
          </w:p>
        </w:tc>
        <w:tc>
          <w:tcPr>
            <w:tcW w:w="953" w:type="dxa"/>
            <w:shd w:val="clear" w:color="auto" w:fill="auto"/>
            <w:noWrap w:val="0"/>
            <w:vAlign w:val="center"/>
          </w:tcPr>
          <w:p w14:paraId="53C4892E">
            <w:pPr>
              <w:pStyle w:val="59"/>
              <w:spacing w:beforeLines="0" w:afterLines="0" w:line="240" w:lineRule="auto"/>
              <w:ind w:left="0" w:leftChars="0" w:firstLine="0" w:firstLineChars="0"/>
              <w:jc w:val="center"/>
              <w:rPr>
                <w:rFonts w:hint="eastAsia" w:ascii="Times New Roman" w:hAnsi="Times New Roman" w:eastAsia="宋体" w:cs="Times New Roman"/>
                <w:color w:val="auto"/>
                <w:kern w:val="0"/>
                <w:sz w:val="18"/>
                <w:szCs w:val="18"/>
                <w:highlight w:val="none"/>
                <w:lang w:val="en-US" w:eastAsia="zh-CN" w:bidi="ar-SA"/>
              </w:rPr>
            </w:pPr>
            <w:r>
              <w:rPr>
                <w:rFonts w:hint="eastAsia" w:ascii="Times New Roman" w:cs="Times New Roman"/>
                <w:color w:val="auto"/>
                <w:kern w:val="0"/>
                <w:sz w:val="18"/>
                <w:szCs w:val="18"/>
                <w:highlight w:val="none"/>
                <w:lang w:val="en-US" w:eastAsia="zh-CN" w:bidi="ar-SA"/>
              </w:rPr>
              <w:t>/</w:t>
            </w:r>
          </w:p>
        </w:tc>
        <w:tc>
          <w:tcPr>
            <w:tcW w:w="3333" w:type="dxa"/>
            <w:vMerge w:val="continue"/>
            <w:noWrap w:val="0"/>
            <w:vAlign w:val="center"/>
          </w:tcPr>
          <w:p w14:paraId="26849CB7">
            <w:pPr>
              <w:adjustRightInd w:val="0"/>
              <w:snapToGrid w:val="0"/>
              <w:jc w:val="center"/>
              <w:rPr>
                <w:rFonts w:hint="default" w:ascii="Times New Roman" w:hAnsi="Times New Roman" w:eastAsia="宋体" w:cs="Times New Roman"/>
                <w:color w:val="auto"/>
                <w:kern w:val="2"/>
                <w:sz w:val="18"/>
                <w:szCs w:val="18"/>
                <w:highlight w:val="none"/>
                <w:lang w:val="en-US" w:eastAsia="zh-CN" w:bidi="ar-SA"/>
              </w:rPr>
            </w:pPr>
          </w:p>
        </w:tc>
      </w:tr>
      <w:tr w14:paraId="21FB1F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07" w:hRule="atLeast"/>
          <w:jc w:val="center"/>
        </w:trPr>
        <w:tc>
          <w:tcPr>
            <w:tcW w:w="534" w:type="dxa"/>
            <w:vMerge w:val="continue"/>
            <w:noWrap w:val="0"/>
            <w:vAlign w:val="center"/>
          </w:tcPr>
          <w:p w14:paraId="0CA1A6DA">
            <w:pPr>
              <w:adjustRightInd w:val="0"/>
              <w:snapToGrid w:val="0"/>
              <w:spacing w:beforeLines="10" w:afterLines="10" w:line="259" w:lineRule="auto"/>
              <w:jc w:val="center"/>
              <w:rPr>
                <w:rFonts w:hint="default" w:ascii="Times New Roman" w:hAnsi="Times New Roman" w:cs="Times New Roman"/>
                <w:color w:val="auto"/>
                <w:kern w:val="0"/>
                <w:sz w:val="18"/>
                <w:szCs w:val="18"/>
              </w:rPr>
            </w:pPr>
          </w:p>
        </w:tc>
        <w:tc>
          <w:tcPr>
            <w:tcW w:w="1182" w:type="dxa"/>
            <w:vMerge w:val="continue"/>
            <w:noWrap w:val="0"/>
            <w:vAlign w:val="center"/>
          </w:tcPr>
          <w:p w14:paraId="738B8A53">
            <w:pPr>
              <w:adjustRightInd w:val="0"/>
              <w:snapToGrid w:val="0"/>
              <w:spacing w:beforeLines="10" w:afterLines="10" w:line="259" w:lineRule="auto"/>
              <w:jc w:val="center"/>
              <w:textAlignment w:val="baseline"/>
              <w:rPr>
                <w:rFonts w:hint="default" w:ascii="Times New Roman" w:hAnsi="Times New Roman" w:cs="Times New Roman"/>
                <w:color w:val="auto"/>
                <w:kern w:val="0"/>
                <w:sz w:val="18"/>
                <w:szCs w:val="18"/>
              </w:rPr>
            </w:pPr>
          </w:p>
        </w:tc>
        <w:tc>
          <w:tcPr>
            <w:tcW w:w="1646" w:type="dxa"/>
            <w:vMerge w:val="continue"/>
            <w:noWrap w:val="0"/>
            <w:vAlign w:val="center"/>
          </w:tcPr>
          <w:p w14:paraId="495DDCD2">
            <w:pPr>
              <w:adjustRightInd w:val="0"/>
              <w:snapToGrid w:val="0"/>
              <w:spacing w:beforeLines="10" w:afterLines="10" w:line="259" w:lineRule="auto"/>
              <w:jc w:val="center"/>
              <w:rPr>
                <w:rFonts w:hint="default" w:ascii="Times New Roman" w:hAnsi="Times New Roman" w:cs="Times New Roman"/>
                <w:color w:val="auto"/>
                <w:kern w:val="0"/>
                <w:sz w:val="18"/>
                <w:szCs w:val="18"/>
              </w:rPr>
            </w:pPr>
          </w:p>
        </w:tc>
        <w:tc>
          <w:tcPr>
            <w:tcW w:w="1485" w:type="dxa"/>
            <w:vMerge w:val="continue"/>
            <w:noWrap w:val="0"/>
            <w:vAlign w:val="center"/>
          </w:tcPr>
          <w:p w14:paraId="6A130395">
            <w:pPr>
              <w:adjustRightInd w:val="0"/>
              <w:snapToGrid w:val="0"/>
              <w:jc w:val="center"/>
              <w:rPr>
                <w:rFonts w:hint="default" w:ascii="Times New Roman" w:hAnsi="Times New Roman" w:cs="Times New Roman"/>
                <w:color w:val="auto"/>
                <w:kern w:val="0"/>
                <w:sz w:val="18"/>
                <w:szCs w:val="18"/>
              </w:rPr>
            </w:pPr>
          </w:p>
        </w:tc>
        <w:tc>
          <w:tcPr>
            <w:tcW w:w="1310" w:type="dxa"/>
            <w:vMerge w:val="continue"/>
            <w:noWrap w:val="0"/>
            <w:vAlign w:val="center"/>
          </w:tcPr>
          <w:p w14:paraId="78C19DD3">
            <w:pPr>
              <w:adjustRightInd w:val="0"/>
              <w:snapToGrid w:val="0"/>
              <w:jc w:val="center"/>
              <w:rPr>
                <w:rFonts w:hint="default" w:ascii="Times New Roman" w:hAnsi="Times New Roman" w:cs="Times New Roman"/>
                <w:color w:val="auto"/>
                <w:kern w:val="0"/>
                <w:sz w:val="18"/>
                <w:szCs w:val="18"/>
              </w:rPr>
            </w:pPr>
          </w:p>
        </w:tc>
        <w:tc>
          <w:tcPr>
            <w:tcW w:w="1158" w:type="dxa"/>
            <w:noWrap w:val="0"/>
            <w:vAlign w:val="center"/>
          </w:tcPr>
          <w:p w14:paraId="0E132FAF">
            <w:pPr>
              <w:widowControl/>
              <w:adjustRightInd w:val="0"/>
              <w:snapToGrid w:val="0"/>
              <w:spacing w:beforeLines="0" w:afterLines="0" w:line="240" w:lineRule="auto"/>
              <w:jc w:val="center"/>
              <w:rPr>
                <w:rFonts w:hint="default"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甲苯</w:t>
            </w:r>
          </w:p>
        </w:tc>
        <w:tc>
          <w:tcPr>
            <w:tcW w:w="1318" w:type="dxa"/>
            <w:noWrap w:val="0"/>
            <w:vAlign w:val="center"/>
          </w:tcPr>
          <w:p w14:paraId="4BF3B6DE">
            <w:pPr>
              <w:adjustRightInd w:val="0"/>
              <w:snapToGrid w:val="0"/>
              <w:jc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w:t>
            </w:r>
          </w:p>
        </w:tc>
        <w:tc>
          <w:tcPr>
            <w:tcW w:w="1222" w:type="dxa"/>
            <w:noWrap w:val="0"/>
            <w:vAlign w:val="center"/>
          </w:tcPr>
          <w:p w14:paraId="0BCEFD4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w:t>
            </w:r>
          </w:p>
        </w:tc>
        <w:tc>
          <w:tcPr>
            <w:tcW w:w="1497" w:type="dxa"/>
            <w:noWrap w:val="0"/>
            <w:vAlign w:val="center"/>
          </w:tcPr>
          <w:p w14:paraId="3DA5D9D2">
            <w:pPr>
              <w:pStyle w:val="59"/>
              <w:spacing w:beforeLines="0" w:afterLines="0" w:line="240" w:lineRule="auto"/>
              <w:ind w:left="0" w:leftChars="0" w:firstLine="0" w:firstLine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bidi="ar-SA"/>
              </w:rPr>
              <w:t>8</w:t>
            </w:r>
          </w:p>
        </w:tc>
        <w:tc>
          <w:tcPr>
            <w:tcW w:w="953" w:type="dxa"/>
            <w:noWrap w:val="0"/>
            <w:vAlign w:val="center"/>
          </w:tcPr>
          <w:p w14:paraId="038C006E">
            <w:pPr>
              <w:spacing w:beforeLines="0" w:afterLines="0" w:line="240" w:lineRule="auto"/>
              <w:ind w:left="0" w:leftChars="0" w:firstLine="0" w:firstLine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bidi="ar-SA"/>
              </w:rPr>
              <w:t>/</w:t>
            </w:r>
          </w:p>
        </w:tc>
        <w:tc>
          <w:tcPr>
            <w:tcW w:w="3333" w:type="dxa"/>
            <w:vMerge w:val="continue"/>
            <w:noWrap w:val="0"/>
            <w:vAlign w:val="center"/>
          </w:tcPr>
          <w:p w14:paraId="6BFBA820">
            <w:pPr>
              <w:adjustRightInd w:val="0"/>
              <w:snapToGrid w:val="0"/>
              <w:jc w:val="center"/>
              <w:rPr>
                <w:rFonts w:hint="default" w:ascii="Times New Roman" w:hAnsi="Times New Roman" w:cs="Times New Roman"/>
                <w:color w:val="auto"/>
                <w:kern w:val="0"/>
                <w:sz w:val="18"/>
                <w:szCs w:val="18"/>
              </w:rPr>
            </w:pPr>
          </w:p>
        </w:tc>
      </w:tr>
      <w:tr w14:paraId="77D005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2" w:hRule="atLeast"/>
          <w:jc w:val="center"/>
        </w:trPr>
        <w:tc>
          <w:tcPr>
            <w:tcW w:w="534" w:type="dxa"/>
            <w:vMerge w:val="continue"/>
            <w:noWrap w:val="0"/>
            <w:vAlign w:val="center"/>
          </w:tcPr>
          <w:p w14:paraId="2C4E2D8B">
            <w:pPr>
              <w:adjustRightInd w:val="0"/>
              <w:snapToGrid w:val="0"/>
              <w:spacing w:beforeLines="10" w:afterLines="10" w:line="259" w:lineRule="auto"/>
              <w:jc w:val="center"/>
              <w:rPr>
                <w:rFonts w:hint="default" w:ascii="Times New Roman" w:hAnsi="Times New Roman" w:cs="Times New Roman"/>
                <w:color w:val="auto"/>
                <w:kern w:val="0"/>
                <w:sz w:val="18"/>
                <w:szCs w:val="18"/>
              </w:rPr>
            </w:pPr>
          </w:p>
        </w:tc>
        <w:tc>
          <w:tcPr>
            <w:tcW w:w="1182" w:type="dxa"/>
            <w:vMerge w:val="continue"/>
            <w:noWrap w:val="0"/>
            <w:vAlign w:val="center"/>
          </w:tcPr>
          <w:p w14:paraId="22F141A8">
            <w:pPr>
              <w:adjustRightInd w:val="0"/>
              <w:snapToGrid w:val="0"/>
              <w:spacing w:beforeLines="10" w:afterLines="10" w:line="259" w:lineRule="auto"/>
              <w:jc w:val="center"/>
              <w:textAlignment w:val="baseline"/>
              <w:rPr>
                <w:rFonts w:hint="default" w:ascii="Times New Roman" w:hAnsi="Times New Roman" w:cs="Times New Roman"/>
                <w:color w:val="auto"/>
                <w:kern w:val="0"/>
                <w:sz w:val="18"/>
                <w:szCs w:val="18"/>
              </w:rPr>
            </w:pPr>
          </w:p>
        </w:tc>
        <w:tc>
          <w:tcPr>
            <w:tcW w:w="1646" w:type="dxa"/>
            <w:vMerge w:val="continue"/>
            <w:noWrap w:val="0"/>
            <w:vAlign w:val="center"/>
          </w:tcPr>
          <w:p w14:paraId="4D6CB3B0">
            <w:pPr>
              <w:adjustRightInd w:val="0"/>
              <w:snapToGrid w:val="0"/>
              <w:spacing w:beforeLines="10" w:afterLines="10" w:line="259" w:lineRule="auto"/>
              <w:jc w:val="center"/>
              <w:rPr>
                <w:rFonts w:hint="default" w:ascii="Times New Roman" w:hAnsi="Times New Roman" w:cs="Times New Roman"/>
                <w:color w:val="auto"/>
                <w:kern w:val="0"/>
                <w:sz w:val="18"/>
                <w:szCs w:val="18"/>
              </w:rPr>
            </w:pPr>
          </w:p>
        </w:tc>
        <w:tc>
          <w:tcPr>
            <w:tcW w:w="1485" w:type="dxa"/>
            <w:vMerge w:val="continue"/>
            <w:noWrap w:val="0"/>
            <w:vAlign w:val="center"/>
          </w:tcPr>
          <w:p w14:paraId="73DF3F5D">
            <w:pPr>
              <w:adjustRightInd w:val="0"/>
              <w:snapToGrid w:val="0"/>
              <w:jc w:val="center"/>
              <w:rPr>
                <w:rFonts w:hint="default" w:ascii="Times New Roman" w:hAnsi="Times New Roman" w:cs="Times New Roman"/>
                <w:color w:val="auto"/>
                <w:kern w:val="0"/>
                <w:sz w:val="18"/>
                <w:szCs w:val="18"/>
              </w:rPr>
            </w:pPr>
          </w:p>
        </w:tc>
        <w:tc>
          <w:tcPr>
            <w:tcW w:w="1310" w:type="dxa"/>
            <w:vMerge w:val="continue"/>
            <w:noWrap w:val="0"/>
            <w:vAlign w:val="center"/>
          </w:tcPr>
          <w:p w14:paraId="62A4F590">
            <w:pPr>
              <w:adjustRightInd w:val="0"/>
              <w:snapToGrid w:val="0"/>
              <w:jc w:val="center"/>
              <w:rPr>
                <w:rFonts w:hint="default" w:ascii="Times New Roman" w:hAnsi="Times New Roman" w:cs="Times New Roman"/>
                <w:color w:val="auto"/>
                <w:kern w:val="0"/>
                <w:sz w:val="18"/>
                <w:szCs w:val="18"/>
              </w:rPr>
            </w:pPr>
          </w:p>
        </w:tc>
        <w:tc>
          <w:tcPr>
            <w:tcW w:w="1158" w:type="dxa"/>
            <w:noWrap w:val="0"/>
            <w:vAlign w:val="center"/>
          </w:tcPr>
          <w:p w14:paraId="6628E4F0">
            <w:pPr>
              <w:widowControl/>
              <w:adjustRightInd w:val="0"/>
              <w:snapToGrid w:val="0"/>
              <w:spacing w:beforeLines="0" w:afterLines="0" w:line="240" w:lineRule="auto"/>
              <w:jc w:val="center"/>
              <w:rPr>
                <w:rFonts w:hint="default"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乙苯</w:t>
            </w:r>
          </w:p>
        </w:tc>
        <w:tc>
          <w:tcPr>
            <w:tcW w:w="1318" w:type="dxa"/>
            <w:noWrap w:val="0"/>
            <w:vAlign w:val="center"/>
          </w:tcPr>
          <w:p w14:paraId="504D8E8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w:t>
            </w:r>
          </w:p>
        </w:tc>
        <w:tc>
          <w:tcPr>
            <w:tcW w:w="1222" w:type="dxa"/>
            <w:noWrap w:val="0"/>
            <w:vAlign w:val="center"/>
          </w:tcPr>
          <w:p w14:paraId="3BA0A9D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w:t>
            </w:r>
          </w:p>
        </w:tc>
        <w:tc>
          <w:tcPr>
            <w:tcW w:w="1497" w:type="dxa"/>
            <w:noWrap w:val="0"/>
            <w:vAlign w:val="center"/>
          </w:tcPr>
          <w:p w14:paraId="3EECB711">
            <w:pPr>
              <w:pStyle w:val="59"/>
              <w:spacing w:beforeLines="0" w:afterLines="0" w:line="240" w:lineRule="auto"/>
              <w:ind w:left="0" w:leftChars="0" w:firstLine="0" w:firstLine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bidi="ar-SA"/>
              </w:rPr>
              <w:t>50</w:t>
            </w:r>
          </w:p>
        </w:tc>
        <w:tc>
          <w:tcPr>
            <w:tcW w:w="953" w:type="dxa"/>
            <w:noWrap w:val="0"/>
            <w:vAlign w:val="center"/>
          </w:tcPr>
          <w:p w14:paraId="4DF7FC44">
            <w:pPr>
              <w:spacing w:beforeLines="0" w:afterLines="0" w:line="240" w:lineRule="auto"/>
              <w:ind w:left="0" w:leftChars="0" w:firstLine="0" w:firstLine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bidi="ar-SA"/>
              </w:rPr>
              <w:t>/</w:t>
            </w:r>
          </w:p>
        </w:tc>
        <w:tc>
          <w:tcPr>
            <w:tcW w:w="3333" w:type="dxa"/>
            <w:vMerge w:val="continue"/>
            <w:noWrap w:val="0"/>
            <w:vAlign w:val="center"/>
          </w:tcPr>
          <w:p w14:paraId="7C46EDD7">
            <w:pPr>
              <w:pStyle w:val="59"/>
              <w:spacing w:beforeLines="0" w:afterLines="0" w:line="240" w:lineRule="auto"/>
              <w:ind w:left="0" w:leftChars="0" w:firstLine="0" w:firstLineChars="0"/>
              <w:jc w:val="center"/>
              <w:rPr>
                <w:rFonts w:hint="default" w:ascii="Times New Roman" w:hAnsi="Times New Roman" w:eastAsia="宋体" w:cs="Times New Roman"/>
                <w:color w:val="auto"/>
                <w:kern w:val="0"/>
                <w:sz w:val="18"/>
                <w:szCs w:val="18"/>
                <w:highlight w:val="none"/>
                <w:lang w:val="en-US" w:eastAsia="zh-CN" w:bidi="ar-SA"/>
              </w:rPr>
            </w:pPr>
          </w:p>
        </w:tc>
      </w:tr>
      <w:tr w14:paraId="2A1B4C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2" w:hRule="atLeast"/>
          <w:jc w:val="center"/>
        </w:trPr>
        <w:tc>
          <w:tcPr>
            <w:tcW w:w="534" w:type="dxa"/>
            <w:vMerge w:val="continue"/>
            <w:noWrap w:val="0"/>
            <w:vAlign w:val="center"/>
          </w:tcPr>
          <w:p w14:paraId="4A2A5144">
            <w:pPr>
              <w:adjustRightInd w:val="0"/>
              <w:snapToGrid w:val="0"/>
              <w:spacing w:beforeLines="10" w:afterLines="10" w:line="259" w:lineRule="auto"/>
              <w:jc w:val="center"/>
              <w:rPr>
                <w:rFonts w:hint="default" w:ascii="Times New Roman" w:hAnsi="Times New Roman" w:eastAsia="宋体" w:cs="Times New Roman"/>
                <w:color w:val="auto"/>
                <w:kern w:val="0"/>
                <w:sz w:val="18"/>
                <w:szCs w:val="18"/>
                <w:lang w:val="en-US" w:eastAsia="zh-CN"/>
              </w:rPr>
            </w:pPr>
          </w:p>
        </w:tc>
        <w:tc>
          <w:tcPr>
            <w:tcW w:w="1182" w:type="dxa"/>
            <w:vMerge w:val="continue"/>
            <w:noWrap w:val="0"/>
            <w:vAlign w:val="center"/>
          </w:tcPr>
          <w:p w14:paraId="01F5BF26">
            <w:pPr>
              <w:adjustRightInd w:val="0"/>
              <w:snapToGrid w:val="0"/>
              <w:spacing w:beforeLines="10" w:afterLines="10" w:line="259" w:lineRule="auto"/>
              <w:jc w:val="center"/>
              <w:textAlignment w:val="baseline"/>
              <w:rPr>
                <w:rFonts w:hint="default" w:ascii="Times New Roman" w:hAnsi="Times New Roman" w:cs="Times New Roman"/>
                <w:color w:val="auto"/>
                <w:kern w:val="0"/>
                <w:sz w:val="18"/>
                <w:szCs w:val="18"/>
              </w:rPr>
            </w:pPr>
          </w:p>
        </w:tc>
        <w:tc>
          <w:tcPr>
            <w:tcW w:w="1646" w:type="dxa"/>
            <w:vMerge w:val="continue"/>
            <w:noWrap w:val="0"/>
            <w:vAlign w:val="center"/>
          </w:tcPr>
          <w:p w14:paraId="2A696DED">
            <w:pPr>
              <w:adjustRightInd w:val="0"/>
              <w:snapToGrid w:val="0"/>
              <w:spacing w:beforeLines="10" w:afterLines="10" w:line="259" w:lineRule="auto"/>
              <w:jc w:val="center"/>
              <w:rPr>
                <w:rFonts w:hint="default" w:ascii="Times New Roman" w:hAnsi="Times New Roman" w:cs="Times New Roman"/>
                <w:color w:val="auto"/>
                <w:kern w:val="0"/>
                <w:sz w:val="18"/>
                <w:szCs w:val="18"/>
              </w:rPr>
            </w:pPr>
          </w:p>
        </w:tc>
        <w:tc>
          <w:tcPr>
            <w:tcW w:w="1485" w:type="dxa"/>
            <w:vMerge w:val="continue"/>
            <w:noWrap w:val="0"/>
            <w:vAlign w:val="center"/>
          </w:tcPr>
          <w:p w14:paraId="40C88FF7">
            <w:pPr>
              <w:adjustRightInd w:val="0"/>
              <w:snapToGrid w:val="0"/>
              <w:jc w:val="center"/>
              <w:rPr>
                <w:rFonts w:hint="default" w:ascii="Times New Roman" w:hAnsi="Times New Roman" w:cs="Times New Roman"/>
                <w:color w:val="auto"/>
                <w:kern w:val="0"/>
                <w:sz w:val="18"/>
                <w:szCs w:val="18"/>
              </w:rPr>
            </w:pPr>
          </w:p>
        </w:tc>
        <w:tc>
          <w:tcPr>
            <w:tcW w:w="1310" w:type="dxa"/>
            <w:vMerge w:val="continue"/>
            <w:noWrap w:val="0"/>
            <w:vAlign w:val="center"/>
          </w:tcPr>
          <w:p w14:paraId="0C9C3BCB">
            <w:pPr>
              <w:adjustRightInd w:val="0"/>
              <w:snapToGrid w:val="0"/>
              <w:jc w:val="center"/>
              <w:rPr>
                <w:rFonts w:hint="default" w:ascii="Times New Roman" w:hAnsi="Times New Roman" w:cs="Times New Roman"/>
                <w:color w:val="auto"/>
                <w:kern w:val="0"/>
                <w:sz w:val="18"/>
                <w:szCs w:val="18"/>
              </w:rPr>
            </w:pPr>
          </w:p>
        </w:tc>
        <w:tc>
          <w:tcPr>
            <w:tcW w:w="1158" w:type="dxa"/>
            <w:noWrap w:val="0"/>
            <w:vAlign w:val="center"/>
          </w:tcPr>
          <w:p w14:paraId="5C8D066C">
            <w:pPr>
              <w:widowControl/>
              <w:adjustRightInd w:val="0"/>
              <w:snapToGrid w:val="0"/>
              <w:spacing w:beforeLines="0" w:afterLines="0" w:line="240" w:lineRule="auto"/>
              <w:jc w:val="center"/>
              <w:rPr>
                <w:rFonts w:hint="default"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苯乙烯</w:t>
            </w:r>
          </w:p>
        </w:tc>
        <w:tc>
          <w:tcPr>
            <w:tcW w:w="1318" w:type="dxa"/>
            <w:noWrap w:val="0"/>
            <w:vAlign w:val="center"/>
          </w:tcPr>
          <w:p w14:paraId="16CABE7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w:t>
            </w:r>
          </w:p>
        </w:tc>
        <w:tc>
          <w:tcPr>
            <w:tcW w:w="1222" w:type="dxa"/>
            <w:noWrap w:val="0"/>
            <w:vAlign w:val="center"/>
          </w:tcPr>
          <w:p w14:paraId="52DEC00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w:t>
            </w:r>
          </w:p>
        </w:tc>
        <w:tc>
          <w:tcPr>
            <w:tcW w:w="1497" w:type="dxa"/>
            <w:noWrap w:val="0"/>
            <w:vAlign w:val="center"/>
          </w:tcPr>
          <w:p w14:paraId="72D8661D">
            <w:pPr>
              <w:pStyle w:val="59"/>
              <w:spacing w:beforeLines="0" w:afterLines="0" w:line="240" w:lineRule="auto"/>
              <w:ind w:left="0" w:leftChars="0" w:firstLine="0" w:firstLine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bidi="ar-SA"/>
              </w:rPr>
              <w:t>20</w:t>
            </w:r>
          </w:p>
        </w:tc>
        <w:tc>
          <w:tcPr>
            <w:tcW w:w="953" w:type="dxa"/>
            <w:noWrap w:val="0"/>
            <w:vAlign w:val="center"/>
          </w:tcPr>
          <w:p w14:paraId="798E6288">
            <w:pPr>
              <w:spacing w:beforeLines="0" w:afterLines="0" w:line="240" w:lineRule="auto"/>
              <w:ind w:left="0" w:leftChars="0" w:firstLine="0" w:firstLine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bidi="ar-SA"/>
              </w:rPr>
              <w:t>/</w:t>
            </w:r>
          </w:p>
        </w:tc>
        <w:tc>
          <w:tcPr>
            <w:tcW w:w="3333" w:type="dxa"/>
            <w:vMerge w:val="continue"/>
            <w:noWrap w:val="0"/>
            <w:vAlign w:val="center"/>
          </w:tcPr>
          <w:p w14:paraId="72126451">
            <w:pPr>
              <w:pStyle w:val="59"/>
              <w:spacing w:beforeLines="0" w:afterLines="0" w:line="240" w:lineRule="auto"/>
              <w:ind w:left="0" w:leftChars="0" w:firstLine="0" w:firstLineChars="0"/>
              <w:jc w:val="center"/>
              <w:rPr>
                <w:rFonts w:hint="default" w:ascii="Times New Roman" w:hAnsi="Times New Roman" w:cs="Times New Roman"/>
                <w:color w:val="auto"/>
                <w:sz w:val="18"/>
                <w:szCs w:val="18"/>
                <w:highlight w:val="none"/>
                <w:lang w:val="en-US" w:eastAsia="zh-CN"/>
              </w:rPr>
            </w:pPr>
          </w:p>
        </w:tc>
      </w:tr>
      <w:tr w14:paraId="2921CF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2" w:hRule="atLeast"/>
          <w:jc w:val="center"/>
        </w:trPr>
        <w:tc>
          <w:tcPr>
            <w:tcW w:w="534" w:type="dxa"/>
            <w:vMerge w:val="continue"/>
            <w:noWrap w:val="0"/>
            <w:vAlign w:val="center"/>
          </w:tcPr>
          <w:p w14:paraId="2DFEC1B1">
            <w:pPr>
              <w:adjustRightInd w:val="0"/>
              <w:snapToGrid w:val="0"/>
              <w:spacing w:beforeLines="10" w:afterLines="10" w:line="259" w:lineRule="auto"/>
              <w:jc w:val="center"/>
              <w:rPr>
                <w:rFonts w:hint="default" w:ascii="Times New Roman" w:hAnsi="Times New Roman" w:eastAsia="宋体" w:cs="Times New Roman"/>
                <w:color w:val="auto"/>
                <w:kern w:val="0"/>
                <w:sz w:val="18"/>
                <w:szCs w:val="18"/>
                <w:lang w:val="en-US" w:eastAsia="zh-CN"/>
              </w:rPr>
            </w:pPr>
          </w:p>
        </w:tc>
        <w:tc>
          <w:tcPr>
            <w:tcW w:w="1182" w:type="dxa"/>
            <w:vMerge w:val="continue"/>
            <w:noWrap w:val="0"/>
            <w:vAlign w:val="center"/>
          </w:tcPr>
          <w:p w14:paraId="5A63B817">
            <w:pPr>
              <w:adjustRightInd w:val="0"/>
              <w:snapToGrid w:val="0"/>
              <w:spacing w:beforeLines="10" w:afterLines="10" w:line="259" w:lineRule="auto"/>
              <w:jc w:val="center"/>
              <w:textAlignment w:val="baseline"/>
              <w:rPr>
                <w:rFonts w:hint="default" w:ascii="Times New Roman" w:hAnsi="Times New Roman" w:eastAsia="宋体" w:cs="Times New Roman"/>
                <w:color w:val="auto"/>
                <w:kern w:val="0"/>
                <w:sz w:val="18"/>
                <w:szCs w:val="18"/>
                <w:lang w:val="en-US" w:eastAsia="zh-CN"/>
              </w:rPr>
            </w:pPr>
          </w:p>
        </w:tc>
        <w:tc>
          <w:tcPr>
            <w:tcW w:w="1646" w:type="dxa"/>
            <w:vMerge w:val="continue"/>
            <w:noWrap w:val="0"/>
            <w:vAlign w:val="center"/>
          </w:tcPr>
          <w:p w14:paraId="0E0ED8B7">
            <w:pPr>
              <w:adjustRightInd w:val="0"/>
              <w:snapToGrid w:val="0"/>
              <w:spacing w:beforeLines="10" w:afterLines="10" w:line="259" w:lineRule="auto"/>
              <w:jc w:val="center"/>
              <w:rPr>
                <w:rFonts w:hint="default" w:ascii="Times New Roman" w:hAnsi="Times New Roman" w:eastAsia="宋体" w:cs="Times New Roman"/>
                <w:color w:val="auto"/>
                <w:kern w:val="0"/>
                <w:sz w:val="18"/>
                <w:szCs w:val="18"/>
                <w:lang w:val="en-US" w:eastAsia="zh-CN"/>
              </w:rPr>
            </w:pPr>
          </w:p>
        </w:tc>
        <w:tc>
          <w:tcPr>
            <w:tcW w:w="1485" w:type="dxa"/>
            <w:vMerge w:val="continue"/>
            <w:noWrap w:val="0"/>
            <w:vAlign w:val="center"/>
          </w:tcPr>
          <w:p w14:paraId="5A1EA7D0">
            <w:pPr>
              <w:adjustRightInd w:val="0"/>
              <w:snapToGrid w:val="0"/>
              <w:jc w:val="center"/>
              <w:rPr>
                <w:rFonts w:hint="default" w:ascii="Times New Roman" w:hAnsi="Times New Roman" w:cs="Times New Roman"/>
                <w:color w:val="auto"/>
                <w:kern w:val="0"/>
                <w:sz w:val="18"/>
                <w:szCs w:val="18"/>
              </w:rPr>
            </w:pPr>
          </w:p>
        </w:tc>
        <w:tc>
          <w:tcPr>
            <w:tcW w:w="1310" w:type="dxa"/>
            <w:vMerge w:val="continue"/>
            <w:noWrap w:val="0"/>
            <w:vAlign w:val="center"/>
          </w:tcPr>
          <w:p w14:paraId="1A0CFCC4">
            <w:pPr>
              <w:adjustRightInd w:val="0"/>
              <w:snapToGrid w:val="0"/>
              <w:jc w:val="center"/>
              <w:rPr>
                <w:rFonts w:hint="default" w:ascii="Times New Roman" w:hAnsi="Times New Roman" w:cs="Times New Roman"/>
                <w:color w:val="auto"/>
                <w:kern w:val="0"/>
                <w:sz w:val="18"/>
                <w:szCs w:val="18"/>
              </w:rPr>
            </w:pPr>
          </w:p>
        </w:tc>
        <w:tc>
          <w:tcPr>
            <w:tcW w:w="1158" w:type="dxa"/>
            <w:noWrap w:val="0"/>
            <w:vAlign w:val="center"/>
          </w:tcPr>
          <w:p w14:paraId="025DF03F">
            <w:pPr>
              <w:widowControl/>
              <w:adjustRightInd w:val="0"/>
              <w:snapToGrid w:val="0"/>
              <w:spacing w:beforeLines="0" w:afterLines="0" w:line="240" w:lineRule="auto"/>
              <w:jc w:val="center"/>
              <w:rPr>
                <w:rFonts w:hint="default"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丙烯腈</w:t>
            </w:r>
          </w:p>
        </w:tc>
        <w:tc>
          <w:tcPr>
            <w:tcW w:w="1318" w:type="dxa"/>
            <w:noWrap w:val="0"/>
            <w:vAlign w:val="center"/>
          </w:tcPr>
          <w:p w14:paraId="465B0E4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w:t>
            </w:r>
          </w:p>
        </w:tc>
        <w:tc>
          <w:tcPr>
            <w:tcW w:w="1222" w:type="dxa"/>
            <w:noWrap w:val="0"/>
            <w:vAlign w:val="center"/>
          </w:tcPr>
          <w:p w14:paraId="0A4FCCF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w:t>
            </w:r>
          </w:p>
        </w:tc>
        <w:tc>
          <w:tcPr>
            <w:tcW w:w="1497" w:type="dxa"/>
            <w:noWrap w:val="0"/>
            <w:vAlign w:val="center"/>
          </w:tcPr>
          <w:p w14:paraId="2AE05C07">
            <w:pPr>
              <w:pStyle w:val="59"/>
              <w:spacing w:beforeLines="0" w:afterLines="0" w:line="240" w:lineRule="auto"/>
              <w:ind w:left="0" w:leftChars="0" w:firstLine="0" w:firstLine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bidi="ar-SA"/>
              </w:rPr>
              <w:t>0.5</w:t>
            </w:r>
          </w:p>
        </w:tc>
        <w:tc>
          <w:tcPr>
            <w:tcW w:w="953" w:type="dxa"/>
            <w:noWrap w:val="0"/>
            <w:vAlign w:val="center"/>
          </w:tcPr>
          <w:p w14:paraId="31C5CBC5">
            <w:pPr>
              <w:spacing w:beforeLines="0" w:afterLines="0" w:line="240" w:lineRule="auto"/>
              <w:ind w:left="0" w:leftChars="0" w:firstLine="0" w:firstLineChars="0"/>
              <w:jc w:val="center"/>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bidi="ar-SA"/>
              </w:rPr>
              <w:t>/</w:t>
            </w:r>
          </w:p>
        </w:tc>
        <w:tc>
          <w:tcPr>
            <w:tcW w:w="3333" w:type="dxa"/>
            <w:vMerge w:val="continue"/>
            <w:noWrap w:val="0"/>
            <w:vAlign w:val="center"/>
          </w:tcPr>
          <w:p w14:paraId="5B1C31FF">
            <w:pPr>
              <w:adjustRightInd w:val="0"/>
              <w:snapToGrid w:val="0"/>
              <w:jc w:val="center"/>
              <w:rPr>
                <w:rFonts w:hint="default" w:ascii="Times New Roman" w:hAnsi="Times New Roman" w:cs="Times New Roman"/>
                <w:color w:val="auto"/>
                <w:kern w:val="0"/>
                <w:sz w:val="18"/>
                <w:szCs w:val="18"/>
              </w:rPr>
            </w:pPr>
          </w:p>
        </w:tc>
      </w:tr>
      <w:tr w14:paraId="626645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42" w:hRule="atLeast"/>
          <w:jc w:val="center"/>
        </w:trPr>
        <w:tc>
          <w:tcPr>
            <w:tcW w:w="534" w:type="dxa"/>
            <w:vMerge w:val="continue"/>
            <w:noWrap w:val="0"/>
            <w:vAlign w:val="center"/>
          </w:tcPr>
          <w:p w14:paraId="220C608D">
            <w:pPr>
              <w:adjustRightInd w:val="0"/>
              <w:snapToGrid w:val="0"/>
              <w:spacing w:beforeLines="10" w:afterLines="10" w:line="259" w:lineRule="auto"/>
              <w:jc w:val="center"/>
              <w:rPr>
                <w:rFonts w:hint="default" w:ascii="Times New Roman" w:hAnsi="Times New Roman" w:cs="Times New Roman"/>
                <w:color w:val="auto"/>
                <w:kern w:val="0"/>
                <w:sz w:val="18"/>
                <w:szCs w:val="18"/>
              </w:rPr>
            </w:pPr>
          </w:p>
        </w:tc>
        <w:tc>
          <w:tcPr>
            <w:tcW w:w="1182" w:type="dxa"/>
            <w:vMerge w:val="continue"/>
            <w:noWrap w:val="0"/>
            <w:vAlign w:val="center"/>
          </w:tcPr>
          <w:p w14:paraId="3A2A01A0">
            <w:pPr>
              <w:adjustRightInd w:val="0"/>
              <w:snapToGrid w:val="0"/>
              <w:spacing w:beforeLines="10" w:afterLines="10" w:line="259" w:lineRule="auto"/>
              <w:jc w:val="center"/>
              <w:textAlignment w:val="baseline"/>
              <w:rPr>
                <w:rFonts w:hint="default" w:ascii="Times New Roman" w:hAnsi="Times New Roman" w:cs="Times New Roman"/>
                <w:color w:val="auto"/>
                <w:kern w:val="0"/>
                <w:sz w:val="18"/>
                <w:szCs w:val="18"/>
              </w:rPr>
            </w:pPr>
          </w:p>
        </w:tc>
        <w:tc>
          <w:tcPr>
            <w:tcW w:w="1646" w:type="dxa"/>
            <w:vMerge w:val="continue"/>
            <w:noWrap w:val="0"/>
            <w:vAlign w:val="center"/>
          </w:tcPr>
          <w:p w14:paraId="6FBA69A7">
            <w:pPr>
              <w:adjustRightInd w:val="0"/>
              <w:snapToGrid w:val="0"/>
              <w:spacing w:beforeLines="10" w:afterLines="10" w:line="259" w:lineRule="auto"/>
              <w:jc w:val="center"/>
              <w:rPr>
                <w:rFonts w:hint="default" w:ascii="Times New Roman" w:hAnsi="Times New Roman" w:cs="Times New Roman"/>
                <w:color w:val="auto"/>
                <w:kern w:val="0"/>
                <w:sz w:val="18"/>
                <w:szCs w:val="18"/>
              </w:rPr>
            </w:pPr>
          </w:p>
        </w:tc>
        <w:tc>
          <w:tcPr>
            <w:tcW w:w="1485" w:type="dxa"/>
            <w:vMerge w:val="continue"/>
            <w:noWrap w:val="0"/>
            <w:vAlign w:val="center"/>
          </w:tcPr>
          <w:p w14:paraId="0E820E0F">
            <w:pPr>
              <w:adjustRightInd w:val="0"/>
              <w:snapToGrid w:val="0"/>
              <w:jc w:val="center"/>
              <w:rPr>
                <w:rFonts w:hint="default" w:ascii="Times New Roman" w:hAnsi="Times New Roman" w:cs="Times New Roman"/>
                <w:color w:val="auto"/>
                <w:kern w:val="0"/>
                <w:sz w:val="18"/>
                <w:szCs w:val="18"/>
              </w:rPr>
            </w:pPr>
          </w:p>
        </w:tc>
        <w:tc>
          <w:tcPr>
            <w:tcW w:w="1310" w:type="dxa"/>
            <w:vMerge w:val="continue"/>
            <w:noWrap w:val="0"/>
            <w:vAlign w:val="center"/>
          </w:tcPr>
          <w:p w14:paraId="684A2CD2">
            <w:pPr>
              <w:adjustRightInd w:val="0"/>
              <w:snapToGrid w:val="0"/>
              <w:jc w:val="center"/>
              <w:rPr>
                <w:rFonts w:hint="default" w:ascii="Times New Roman" w:hAnsi="Times New Roman" w:cs="Times New Roman"/>
                <w:color w:val="auto"/>
                <w:kern w:val="0"/>
                <w:sz w:val="18"/>
                <w:szCs w:val="18"/>
              </w:rPr>
            </w:pPr>
          </w:p>
        </w:tc>
        <w:tc>
          <w:tcPr>
            <w:tcW w:w="1158" w:type="dxa"/>
            <w:noWrap w:val="0"/>
            <w:vAlign w:val="center"/>
          </w:tcPr>
          <w:p w14:paraId="49EE2F56">
            <w:pPr>
              <w:widowControl/>
              <w:adjustRightInd w:val="0"/>
              <w:snapToGrid w:val="0"/>
              <w:spacing w:beforeLines="0" w:afterLines="0" w:line="240" w:lineRule="auto"/>
              <w:jc w:val="center"/>
              <w:rPr>
                <w:rFonts w:hint="default" w:ascii="Times New Roman" w:hAnsi="Times New Roman" w:eastAsia="宋体" w:cs="Times New Roman"/>
                <w:bCs/>
                <w:color w:val="auto"/>
                <w:kern w:val="0"/>
                <w:sz w:val="18"/>
                <w:szCs w:val="18"/>
                <w:lang w:val="en-US" w:eastAsia="zh-CN" w:bidi="ar-SA"/>
              </w:rPr>
            </w:pPr>
            <w:r>
              <w:rPr>
                <w:rFonts w:ascii="Times New Roman" w:hAnsi="Times New Roman" w:eastAsia="宋体" w:cs="Times New Roman"/>
                <w:bCs/>
                <w:color w:val="auto"/>
                <w:kern w:val="0"/>
                <w:sz w:val="18"/>
                <w:szCs w:val="18"/>
                <w:lang w:val="en-US" w:eastAsia="zh-CN" w:bidi="ar-SA"/>
              </w:rPr>
              <w:t>1,3-丁二烯</w:t>
            </w:r>
          </w:p>
        </w:tc>
        <w:tc>
          <w:tcPr>
            <w:tcW w:w="1318" w:type="dxa"/>
            <w:noWrap w:val="0"/>
            <w:vAlign w:val="center"/>
          </w:tcPr>
          <w:p w14:paraId="75B459A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w:t>
            </w:r>
          </w:p>
        </w:tc>
        <w:tc>
          <w:tcPr>
            <w:tcW w:w="1222" w:type="dxa"/>
            <w:noWrap w:val="0"/>
            <w:vAlign w:val="center"/>
          </w:tcPr>
          <w:p w14:paraId="3DCB869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w:t>
            </w:r>
          </w:p>
        </w:tc>
        <w:tc>
          <w:tcPr>
            <w:tcW w:w="1497" w:type="dxa"/>
            <w:noWrap w:val="0"/>
            <w:vAlign w:val="center"/>
          </w:tcPr>
          <w:p w14:paraId="6072548E">
            <w:pPr>
              <w:pStyle w:val="26"/>
              <w:jc w:val="center"/>
              <w:outlineLvl w:val="0"/>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bidi="ar-SA"/>
              </w:rPr>
              <w:t>1</w:t>
            </w:r>
          </w:p>
        </w:tc>
        <w:tc>
          <w:tcPr>
            <w:tcW w:w="953" w:type="dxa"/>
            <w:noWrap w:val="0"/>
            <w:vAlign w:val="center"/>
          </w:tcPr>
          <w:p w14:paraId="4E89301C">
            <w:pPr>
              <w:jc w:val="center"/>
              <w:outlineLvl w:val="0"/>
              <w:rPr>
                <w:rFonts w:hint="default" w:ascii="Times New Roman" w:hAnsi="Times New Roman" w:eastAsia="宋体"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val="en-US" w:eastAsia="zh-CN" w:bidi="ar-SA"/>
              </w:rPr>
              <w:t>/</w:t>
            </w:r>
          </w:p>
        </w:tc>
        <w:tc>
          <w:tcPr>
            <w:tcW w:w="3333" w:type="dxa"/>
            <w:vMerge w:val="continue"/>
            <w:noWrap w:val="0"/>
            <w:vAlign w:val="center"/>
          </w:tcPr>
          <w:p w14:paraId="3FFF19C5">
            <w:pPr>
              <w:adjustRightInd w:val="0"/>
              <w:snapToGrid w:val="0"/>
              <w:jc w:val="center"/>
              <w:rPr>
                <w:rFonts w:hint="default" w:ascii="Times New Roman" w:hAnsi="Times New Roman" w:cs="Times New Roman"/>
                <w:color w:val="auto"/>
                <w:kern w:val="0"/>
                <w:sz w:val="18"/>
                <w:szCs w:val="18"/>
              </w:rPr>
            </w:pPr>
          </w:p>
        </w:tc>
      </w:tr>
    </w:tbl>
    <w:p w14:paraId="45252F64">
      <w:pPr>
        <w:pStyle w:val="26"/>
        <w:outlineLvl w:val="0"/>
        <w:rPr>
          <w:rFonts w:hint="default" w:ascii="Times New Roman" w:hAnsi="Times New Roman" w:cs="Times New Roman"/>
          <w:snapToGrid w:val="0"/>
          <w:color w:val="auto"/>
          <w:sz w:val="30"/>
          <w:szCs w:val="30"/>
        </w:rPr>
      </w:pPr>
    </w:p>
    <w:p w14:paraId="488CE8D3">
      <w:pPr>
        <w:pStyle w:val="26"/>
        <w:outlineLvl w:val="0"/>
        <w:rPr>
          <w:rFonts w:hint="default" w:ascii="Times New Roman" w:hAnsi="Times New Roman" w:cs="Times New Roman"/>
          <w:snapToGrid w:val="0"/>
          <w:color w:val="auto"/>
          <w:sz w:val="30"/>
          <w:szCs w:val="30"/>
        </w:rPr>
        <w:sectPr>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14:paraId="5E6248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58" w:hRule="atLeast"/>
          <w:jc w:val="center"/>
        </w:trPr>
        <w:tc>
          <w:tcPr>
            <w:tcW w:w="746" w:type="dxa"/>
            <w:noWrap w:val="0"/>
            <w:tcMar>
              <w:left w:w="28" w:type="dxa"/>
              <w:right w:w="28" w:type="dxa"/>
            </w:tcMar>
            <w:vAlign w:val="center"/>
          </w:tcPr>
          <w:p w14:paraId="051B59EE">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运营</w:t>
            </w:r>
          </w:p>
          <w:p w14:paraId="4F7CA66D">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期环</w:t>
            </w:r>
          </w:p>
          <w:p w14:paraId="4A0CD31B">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境影</w:t>
            </w:r>
          </w:p>
          <w:p w14:paraId="5460A080">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响和</w:t>
            </w:r>
          </w:p>
          <w:p w14:paraId="6F69BD40">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保护</w:t>
            </w:r>
          </w:p>
          <w:p w14:paraId="665BC6F1">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措施</w:t>
            </w:r>
          </w:p>
        </w:tc>
        <w:tc>
          <w:tcPr>
            <w:tcW w:w="8162" w:type="dxa"/>
            <w:noWrap w:val="0"/>
            <w:vAlign w:val="center"/>
          </w:tcPr>
          <w:p w14:paraId="3BA59A09">
            <w:pPr>
              <w:adjustRightInd w:val="0"/>
              <w:snapToGrid w:val="0"/>
              <w:spacing w:line="360" w:lineRule="auto"/>
              <w:ind w:firstLine="382" w:firstLineChars="200"/>
              <w:rPr>
                <w:rFonts w:hint="default" w:ascii="Times New Roman" w:hAnsi="Times New Roman" w:cs="Times New Roman"/>
                <w:b/>
                <w:bCs/>
                <w:color w:val="auto"/>
                <w:spacing w:val="-10"/>
                <w:szCs w:val="21"/>
              </w:rPr>
            </w:pPr>
            <w:r>
              <w:rPr>
                <w:rFonts w:hint="default" w:ascii="Times New Roman" w:hAnsi="Times New Roman" w:cs="Times New Roman"/>
                <w:b/>
                <w:bCs/>
                <w:color w:val="auto"/>
                <w:spacing w:val="-10"/>
                <w:szCs w:val="21"/>
              </w:rPr>
              <w:t>（</w:t>
            </w:r>
            <w:r>
              <w:rPr>
                <w:rFonts w:hint="default" w:ascii="Times New Roman" w:hAnsi="Times New Roman" w:cs="Times New Roman"/>
                <w:b/>
                <w:bCs/>
                <w:color w:val="auto"/>
                <w:spacing w:val="-10"/>
                <w:szCs w:val="21"/>
                <w:lang w:val="en-US" w:eastAsia="zh-CN"/>
              </w:rPr>
              <w:t>二</w:t>
            </w:r>
            <w:r>
              <w:rPr>
                <w:rFonts w:hint="default" w:ascii="Times New Roman" w:hAnsi="Times New Roman" w:cs="Times New Roman"/>
                <w:b/>
                <w:bCs/>
                <w:color w:val="auto"/>
                <w:spacing w:val="-10"/>
                <w:szCs w:val="21"/>
              </w:rPr>
              <w:t>）</w:t>
            </w:r>
            <w:r>
              <w:rPr>
                <w:rFonts w:hint="default" w:ascii="Times New Roman" w:hAnsi="Times New Roman" w:cs="Times New Roman"/>
                <w:b/>
                <w:color w:val="auto"/>
              </w:rPr>
              <w:t>废气污染治理设施及</w:t>
            </w:r>
            <w:r>
              <w:rPr>
                <w:rFonts w:hint="default" w:ascii="Times New Roman" w:hAnsi="Times New Roman" w:cs="Times New Roman"/>
                <w:b/>
                <w:bCs/>
                <w:color w:val="auto"/>
                <w:spacing w:val="-10"/>
                <w:szCs w:val="21"/>
              </w:rPr>
              <w:t>达标排放可行性分析</w:t>
            </w:r>
          </w:p>
          <w:p w14:paraId="528A6B3E">
            <w:pPr>
              <w:adjustRightInd w:val="0"/>
              <w:snapToGrid w:val="0"/>
              <w:spacing w:line="360" w:lineRule="auto"/>
              <w:ind w:firstLine="382" w:firstLineChars="200"/>
              <w:rPr>
                <w:rFonts w:hint="default" w:ascii="Times New Roman" w:hAnsi="Times New Roman" w:eastAsia="宋体" w:cs="Times New Roman"/>
                <w:b/>
                <w:bCs/>
                <w:color w:val="auto"/>
                <w:spacing w:val="-10"/>
                <w:szCs w:val="21"/>
                <w:lang w:eastAsia="zh-CN"/>
              </w:rPr>
            </w:pPr>
            <w:r>
              <w:rPr>
                <w:rFonts w:hint="default" w:ascii="Times New Roman" w:hAnsi="Times New Roman" w:cs="Times New Roman"/>
                <w:b/>
                <w:bCs/>
                <w:color w:val="auto"/>
                <w:spacing w:val="-10"/>
                <w:szCs w:val="21"/>
                <w:lang w:eastAsia="zh-CN"/>
              </w:rPr>
              <w:t>（</w:t>
            </w:r>
            <w:r>
              <w:rPr>
                <w:rFonts w:hint="default" w:ascii="Times New Roman" w:hAnsi="Times New Roman" w:cs="Times New Roman"/>
                <w:b/>
                <w:bCs/>
                <w:color w:val="auto"/>
                <w:spacing w:val="-10"/>
                <w:szCs w:val="21"/>
                <w:lang w:val="en-US" w:eastAsia="zh-CN"/>
              </w:rPr>
              <w:t>1</w:t>
            </w:r>
            <w:r>
              <w:rPr>
                <w:rFonts w:hint="default" w:ascii="Times New Roman" w:hAnsi="Times New Roman" w:cs="Times New Roman"/>
                <w:b/>
                <w:bCs/>
                <w:color w:val="auto"/>
                <w:spacing w:val="-10"/>
                <w:szCs w:val="21"/>
                <w:lang w:eastAsia="zh-CN"/>
              </w:rPr>
              <w:t>）</w:t>
            </w:r>
            <w:r>
              <w:rPr>
                <w:rFonts w:hint="default" w:ascii="Times New Roman" w:hAnsi="Times New Roman" w:cs="Times New Roman"/>
                <w:b/>
                <w:bCs/>
                <w:color w:val="auto"/>
                <w:spacing w:val="-10"/>
                <w:szCs w:val="21"/>
              </w:rPr>
              <w:t>正常工况下</w:t>
            </w:r>
            <w:r>
              <w:rPr>
                <w:rFonts w:hint="default" w:ascii="Times New Roman" w:hAnsi="Times New Roman" w:cs="Times New Roman"/>
                <w:b/>
                <w:bCs/>
                <w:color w:val="auto"/>
                <w:spacing w:val="-10"/>
                <w:szCs w:val="21"/>
                <w:lang w:eastAsia="zh-CN"/>
              </w:rPr>
              <w:t>：</w:t>
            </w:r>
          </w:p>
          <w:p w14:paraId="39F50A56">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本项目拟在</w:t>
            </w:r>
            <w:r>
              <w:rPr>
                <w:rFonts w:hint="default" w:ascii="Times New Roman" w:hAnsi="Times New Roman" w:cs="Times New Roman"/>
                <w:color w:val="auto"/>
                <w:szCs w:val="21"/>
                <w:lang w:val="en-US" w:eastAsia="zh-CN"/>
              </w:rPr>
              <w:t>注塑机</w:t>
            </w:r>
            <w:r>
              <w:rPr>
                <w:rFonts w:hint="default" w:ascii="Times New Roman" w:hAnsi="Times New Roman" w:cs="Times New Roman"/>
                <w:color w:val="auto"/>
                <w:szCs w:val="21"/>
              </w:rPr>
              <w:t>上方设置集气罩收集</w:t>
            </w:r>
            <w:r>
              <w:rPr>
                <w:rFonts w:hint="default" w:ascii="Times New Roman" w:hAnsi="Times New Roman" w:cs="Times New Roman"/>
                <w:color w:val="auto"/>
                <w:szCs w:val="21"/>
                <w:lang w:val="en-US" w:eastAsia="zh-CN"/>
              </w:rPr>
              <w:t>注塑过程中产生的</w:t>
            </w:r>
            <w:r>
              <w:rPr>
                <w:rFonts w:hint="default" w:ascii="Times New Roman" w:hAnsi="Times New Roman" w:cs="Times New Roman"/>
                <w:color w:val="auto"/>
                <w:szCs w:val="21"/>
                <w:lang w:eastAsia="zh-CN"/>
              </w:rPr>
              <w:t>废气，</w:t>
            </w:r>
            <w:r>
              <w:rPr>
                <w:rFonts w:hint="default" w:ascii="Times New Roman" w:hAnsi="Times New Roman" w:cs="Times New Roman"/>
                <w:color w:val="auto"/>
                <w:szCs w:val="21"/>
                <w:lang w:val="en-US" w:eastAsia="zh-CN"/>
              </w:rPr>
              <w:t>废气收集后经过滤棉+两级活性炭处理最后经</w:t>
            </w:r>
            <w:r>
              <w:rPr>
                <w:rFonts w:hint="eastAsia" w:ascii="Times New Roman" w:hAnsi="Times New Roman" w:cs="Times New Roman"/>
                <w:color w:val="auto"/>
                <w:szCs w:val="21"/>
                <w:lang w:val="en-US" w:eastAsia="zh-CN"/>
              </w:rPr>
              <w:t>25m</w:t>
            </w:r>
            <w:r>
              <w:rPr>
                <w:rFonts w:hint="default" w:ascii="Times New Roman" w:hAnsi="Times New Roman" w:cs="Times New Roman"/>
                <w:color w:val="auto"/>
                <w:szCs w:val="21"/>
                <w:lang w:val="en-US" w:eastAsia="zh-CN"/>
              </w:rPr>
              <w:t>高排气筒引至楼顶排放</w:t>
            </w:r>
            <w:r>
              <w:rPr>
                <w:rFonts w:hint="default" w:ascii="Times New Roman" w:hAnsi="Times New Roman" w:cs="Times New Roman"/>
                <w:color w:val="auto"/>
                <w:szCs w:val="21"/>
                <w:lang w:eastAsia="zh-CN"/>
              </w:rPr>
              <w:t>，污染物主要为</w:t>
            </w:r>
            <w:r>
              <w:rPr>
                <w:rFonts w:hint="default" w:ascii="Times New Roman" w:hAnsi="Times New Roman" w:eastAsia="宋体" w:cs="Times New Roman"/>
                <w:color w:val="auto"/>
                <w:szCs w:val="21"/>
                <w:lang w:eastAsia="zh-CN"/>
              </w:rPr>
              <w:t>非甲烷总烃</w:t>
            </w:r>
            <w:r>
              <w:rPr>
                <w:rFonts w:hint="default" w:ascii="Times New Roman" w:hAnsi="Times New Roman" w:cs="Times New Roman"/>
                <w:color w:val="auto"/>
                <w:szCs w:val="21"/>
                <w:lang w:eastAsia="zh-CN"/>
              </w:rPr>
              <w:t>、</w:t>
            </w:r>
            <w:r>
              <w:rPr>
                <w:rFonts w:hint="eastAsia" w:cs="Times New Roman"/>
                <w:color w:val="auto"/>
                <w:szCs w:val="21"/>
                <w:lang w:val="en-US" w:eastAsia="zh-CN"/>
              </w:rPr>
              <w:t>颗粒物、</w:t>
            </w:r>
            <w:r>
              <w:rPr>
                <w:rFonts w:hint="default" w:ascii="Times New Roman" w:hAnsi="Times New Roman" w:cs="Times New Roman"/>
                <w:color w:val="auto"/>
                <w:szCs w:val="21"/>
                <w:lang w:eastAsia="zh-CN"/>
              </w:rPr>
              <w:t>苯乙烯、丙烯</w:t>
            </w:r>
            <w:r>
              <w:rPr>
                <w:rFonts w:hint="default" w:ascii="Times New Roman" w:hAnsi="Times New Roman" w:eastAsia="宋体" w:cs="Times New Roman"/>
                <w:color w:val="auto"/>
                <w:szCs w:val="21"/>
                <w:lang w:val="en-US" w:eastAsia="zh-CN"/>
              </w:rPr>
              <w:t>腈、1,3-丁二烯、甲苯、乙苯，</w:t>
            </w:r>
            <w:r>
              <w:rPr>
                <w:rFonts w:hint="default" w:ascii="Times New Roman" w:hAnsi="Times New Roman" w:cs="Times New Roman"/>
                <w:color w:val="auto"/>
                <w:szCs w:val="21"/>
              </w:rPr>
              <w:t>采取的措施为</w:t>
            </w:r>
            <w:r>
              <w:rPr>
                <w:rFonts w:hint="default" w:ascii="Times New Roman" w:hAnsi="Times New Roman" w:cs="Times New Roman"/>
                <w:color w:val="auto"/>
              </w:rPr>
              <w:t>《排污许可证申请与核发技术规范 橡胶和塑料制品工业》（HJ1122-2020）附录A表A.1中的可行技术。根据表4-</w:t>
            </w:r>
            <w:r>
              <w:rPr>
                <w:rFonts w:hint="default" w:ascii="Times New Roman" w:hAnsi="Times New Roman" w:cs="Times New Roman"/>
                <w:color w:val="auto"/>
                <w:lang w:val="en-US" w:eastAsia="zh-CN"/>
              </w:rPr>
              <w:t>7</w:t>
            </w:r>
            <w:r>
              <w:rPr>
                <w:rFonts w:hint="default" w:ascii="Times New Roman" w:hAnsi="Times New Roman" w:cs="Times New Roman"/>
                <w:color w:val="auto"/>
              </w:rPr>
              <w:t>可知，</w:t>
            </w:r>
            <w:r>
              <w:rPr>
                <w:rFonts w:hint="default" w:ascii="Times New Roman" w:hAnsi="Times New Roman" w:cs="Times New Roman"/>
                <w:color w:val="auto"/>
                <w:lang w:eastAsia="zh-CN"/>
              </w:rPr>
              <w:t>注塑</w:t>
            </w:r>
            <w:r>
              <w:rPr>
                <w:rFonts w:hint="default" w:ascii="Times New Roman" w:hAnsi="Times New Roman" w:cs="Times New Roman"/>
                <w:color w:val="auto"/>
              </w:rPr>
              <w:t>废气经处理后，</w:t>
            </w:r>
            <w:r>
              <w:rPr>
                <w:rFonts w:hint="default" w:ascii="Times New Roman" w:hAnsi="Times New Roman" w:eastAsia="宋体" w:cs="Times New Roman"/>
                <w:color w:val="auto"/>
                <w:szCs w:val="21"/>
                <w:lang w:eastAsia="zh-CN"/>
              </w:rPr>
              <w:t>各污染物</w:t>
            </w:r>
            <w:r>
              <w:rPr>
                <w:rFonts w:hint="default" w:ascii="Times New Roman" w:hAnsi="Times New Roman" w:cs="Times New Roman"/>
                <w:color w:val="auto"/>
                <w:szCs w:val="21"/>
              </w:rPr>
              <w:t>排放浓度、排放速</w:t>
            </w:r>
            <w:r>
              <w:rPr>
                <w:rFonts w:hint="default" w:ascii="Times New Roman" w:hAnsi="Times New Roman" w:eastAsia="宋体" w:cs="Times New Roman"/>
                <w:color w:val="auto"/>
                <w:szCs w:val="21"/>
              </w:rPr>
              <w:t>率均能满足</w:t>
            </w:r>
            <w:r>
              <w:rPr>
                <w:rFonts w:hint="default" w:ascii="Times New Roman" w:hAnsi="Times New Roman" w:eastAsia="宋体" w:cs="Times New Roman"/>
                <w:color w:val="auto"/>
                <w:szCs w:val="21"/>
                <w:lang w:val="en-US" w:eastAsia="zh-CN"/>
              </w:rPr>
              <w:t>《合成树脂工业污染物排放标准》</w:t>
            </w:r>
            <w:r>
              <w:rPr>
                <w:rFonts w:hint="eastAsia" w:cs="Times New Roman"/>
                <w:color w:val="auto"/>
                <w:szCs w:val="21"/>
                <w:lang w:val="en-US" w:eastAsia="zh-CN"/>
              </w:rPr>
              <w:t>（GB 31572-2015），含2024年修改单）</w:t>
            </w:r>
            <w:r>
              <w:rPr>
                <w:rFonts w:hint="default" w:ascii="Times New Roman" w:hAnsi="Times New Roman" w:eastAsia="宋体" w:cs="Times New Roman"/>
                <w:color w:val="auto"/>
                <w:szCs w:val="21"/>
              </w:rPr>
              <w:t>，即能够达标排放。</w:t>
            </w:r>
          </w:p>
          <w:p w14:paraId="4494BE78">
            <w:pPr>
              <w:adjustRightInd w:val="0"/>
              <w:snapToGrid w:val="0"/>
              <w:spacing w:line="360" w:lineRule="auto"/>
              <w:ind w:firstLine="382" w:firstLineChars="200"/>
              <w:rPr>
                <w:rFonts w:hint="default" w:ascii="Times New Roman" w:hAnsi="Times New Roman" w:cs="Times New Roman"/>
                <w:b/>
                <w:color w:val="auto"/>
                <w:szCs w:val="21"/>
              </w:rPr>
            </w:pPr>
            <w:r>
              <w:rPr>
                <w:rFonts w:hint="default" w:ascii="Times New Roman" w:hAnsi="Times New Roman" w:eastAsia="宋体" w:cs="Times New Roman"/>
                <w:b/>
                <w:bCs w:val="0"/>
                <w:color w:val="auto"/>
                <w:spacing w:val="-10"/>
                <w:sz w:val="21"/>
                <w:szCs w:val="21"/>
                <w:lang w:val="en-US" w:eastAsia="zh-CN"/>
              </w:rPr>
              <w:t>活性炭要求：</w:t>
            </w:r>
            <w:r>
              <w:rPr>
                <w:rFonts w:hint="default" w:ascii="Times New Roman" w:hAnsi="Times New Roman" w:eastAsia="宋体" w:cs="Times New Roman"/>
                <w:bCs/>
                <w:color w:val="auto"/>
                <w:spacing w:val="-10"/>
                <w:sz w:val="21"/>
                <w:szCs w:val="21"/>
                <w:lang w:val="en-US" w:eastAsia="zh-CN"/>
              </w:rPr>
              <w:t>根据《2024年重庆市夏秋季“治气”攻坚工作方案》要求，</w:t>
            </w:r>
            <w:r>
              <w:rPr>
                <w:rFonts w:hint="default" w:ascii="Times New Roman" w:hAnsi="Times New Roman" w:cs="Times New Roman"/>
                <w:b w:val="0"/>
                <w:bCs/>
                <w:color w:val="auto"/>
                <w:szCs w:val="21"/>
              </w:rPr>
              <w:t>设置有效收集废气的集气罩，距集气罩开口面最远处的VOCs无组织排放位置，控制风速不低于0.3m/s。采用活性炭吸附工艺的企业，应根据废气排放特征，按照相关工程技术规范设计净化工艺和设备，使废气在吸附装置中有足够的停留时间，选择符合相关产品质量标准的活性炭，并足额充填、及时更换。采用颗粒活性炭作为吸附剂时，其碘值不宜低于800mg/g</w:t>
            </w:r>
            <w:r>
              <w:rPr>
                <w:rFonts w:hint="default" w:ascii="Times New Roman" w:hAnsi="Times New Roman" w:cs="Times New Roman"/>
                <w:b w:val="0"/>
                <w:bCs/>
                <w:color w:val="auto"/>
                <w:szCs w:val="21"/>
                <w:lang w:eastAsia="zh-CN"/>
              </w:rPr>
              <w:t>；</w:t>
            </w:r>
            <w:r>
              <w:rPr>
                <w:rFonts w:hint="default" w:ascii="Times New Roman" w:hAnsi="Times New Roman" w:cs="Times New Roman"/>
                <w:b w:val="0"/>
                <w:bCs/>
                <w:color w:val="auto"/>
                <w:szCs w:val="21"/>
              </w:rPr>
              <w:t>采用蜂窝活性炭作为吸附剂时，其碘值不宜低于650mg/g。采用颗粒活性炭时，气体流速宜低于0.60m/s</w:t>
            </w:r>
            <w:r>
              <w:rPr>
                <w:rFonts w:hint="default" w:ascii="Times New Roman" w:hAnsi="Times New Roman" w:cs="Times New Roman"/>
                <w:b w:val="0"/>
                <w:bCs/>
                <w:color w:val="auto"/>
                <w:szCs w:val="21"/>
                <w:lang w:eastAsia="zh-CN"/>
              </w:rPr>
              <w:t>；</w:t>
            </w:r>
            <w:r>
              <w:rPr>
                <w:rFonts w:hint="default" w:ascii="Times New Roman" w:hAnsi="Times New Roman" w:cs="Times New Roman"/>
                <w:b w:val="0"/>
                <w:bCs/>
                <w:color w:val="auto"/>
                <w:szCs w:val="21"/>
              </w:rPr>
              <w:t>采用蜂窝活性炭时，气体流速宜低于1.20m/s。</w:t>
            </w:r>
          </w:p>
          <w:p w14:paraId="74622C32">
            <w:pPr>
              <w:adjustRightInd w:val="0"/>
              <w:snapToGrid w:val="0"/>
              <w:spacing w:line="360" w:lineRule="auto"/>
              <w:ind w:firstLine="420" w:firstLineChars="200"/>
              <w:rPr>
                <w:rFonts w:hint="default" w:ascii="Times New Roman" w:hAnsi="Times New Roman" w:cs="Times New Roman"/>
                <w:b w:val="0"/>
                <w:bCs/>
                <w:color w:val="auto"/>
                <w:szCs w:val="21"/>
                <w:lang w:val="en-US" w:eastAsia="zh-CN"/>
              </w:rPr>
            </w:pPr>
            <w:r>
              <w:rPr>
                <w:rFonts w:hint="default" w:ascii="Times New Roman" w:hAnsi="Times New Roman" w:cs="Times New Roman"/>
                <w:b w:val="0"/>
                <w:bCs/>
                <w:color w:val="auto"/>
                <w:szCs w:val="21"/>
                <w:lang w:val="en-US" w:eastAsia="zh-CN"/>
              </w:rPr>
              <w:t>本项目注塑废气过程中产生的有机废气经集气罩收集，</w:t>
            </w:r>
            <w:r>
              <w:rPr>
                <w:rFonts w:hint="default" w:ascii="Times New Roman" w:hAnsi="Times New Roman" w:cs="Times New Roman"/>
                <w:b w:val="0"/>
                <w:bCs/>
                <w:color w:val="auto"/>
                <w:szCs w:val="21"/>
              </w:rPr>
              <w:t>控制风速</w:t>
            </w:r>
            <w:r>
              <w:rPr>
                <w:rFonts w:hint="default" w:ascii="Times New Roman" w:hAnsi="Times New Roman" w:cs="Times New Roman"/>
                <w:b w:val="0"/>
                <w:bCs/>
                <w:color w:val="auto"/>
                <w:szCs w:val="21"/>
                <w:lang w:val="en-US" w:eastAsia="zh-CN"/>
              </w:rPr>
              <w:t>为</w:t>
            </w:r>
            <w:r>
              <w:rPr>
                <w:rFonts w:hint="default" w:ascii="Times New Roman" w:hAnsi="Times New Roman" w:cs="Times New Roman"/>
                <w:b w:val="0"/>
                <w:bCs/>
                <w:color w:val="auto"/>
                <w:szCs w:val="21"/>
              </w:rPr>
              <w:t>0.</w:t>
            </w:r>
            <w:r>
              <w:rPr>
                <w:rFonts w:hint="eastAsia" w:ascii="Times New Roman" w:hAnsi="Times New Roman" w:cs="Times New Roman"/>
                <w:b w:val="0"/>
                <w:bCs/>
                <w:color w:val="auto"/>
                <w:szCs w:val="21"/>
                <w:lang w:val="en-US" w:eastAsia="zh-CN"/>
              </w:rPr>
              <w:t>75</w:t>
            </w:r>
            <w:r>
              <w:rPr>
                <w:rFonts w:hint="default" w:ascii="Times New Roman" w:hAnsi="Times New Roman" w:cs="Times New Roman"/>
                <w:b w:val="0"/>
                <w:bCs/>
                <w:color w:val="auto"/>
                <w:szCs w:val="21"/>
              </w:rPr>
              <w:t>m/s</w:t>
            </w:r>
            <w:r>
              <w:rPr>
                <w:rFonts w:hint="default" w:ascii="Times New Roman" w:hAnsi="Times New Roman" w:cs="Times New Roman"/>
                <w:b w:val="0"/>
                <w:bCs/>
                <w:color w:val="auto"/>
                <w:szCs w:val="21"/>
                <w:lang w:eastAsia="zh-CN"/>
              </w:rPr>
              <w:t>，</w:t>
            </w:r>
            <w:r>
              <w:rPr>
                <w:rFonts w:hint="default" w:ascii="Times New Roman" w:hAnsi="Times New Roman" w:cs="Times New Roman"/>
                <w:b w:val="0"/>
                <w:bCs/>
                <w:color w:val="auto"/>
                <w:szCs w:val="21"/>
                <w:lang w:val="en-US" w:eastAsia="zh-CN"/>
              </w:rPr>
              <w:t>高于0.3</w:t>
            </w:r>
            <w:r>
              <w:rPr>
                <w:rFonts w:hint="default" w:ascii="Times New Roman" w:hAnsi="Times New Roman" w:cs="Times New Roman"/>
                <w:b w:val="0"/>
                <w:bCs/>
                <w:color w:val="auto"/>
                <w:szCs w:val="21"/>
              </w:rPr>
              <w:t>m/s</w:t>
            </w:r>
            <w:r>
              <w:rPr>
                <w:rFonts w:hint="default" w:ascii="Times New Roman" w:hAnsi="Times New Roman" w:cs="Times New Roman"/>
                <w:b w:val="0"/>
                <w:bCs/>
                <w:color w:val="auto"/>
                <w:szCs w:val="21"/>
                <w:lang w:eastAsia="zh-CN"/>
              </w:rPr>
              <w:t>，</w:t>
            </w:r>
            <w:r>
              <w:rPr>
                <w:rFonts w:hint="default" w:ascii="Times New Roman" w:hAnsi="Times New Roman" w:cs="Times New Roman"/>
                <w:b w:val="0"/>
                <w:bCs/>
                <w:color w:val="auto"/>
                <w:szCs w:val="21"/>
                <w:lang w:val="en-US" w:eastAsia="zh-CN"/>
              </w:rPr>
              <w:t>本项目活性炭装置内部吸附材料使用碘值不低于650毫克/克的蜂窝状活性炭，废气经过活性炭箱的流速均低于1.2m/s，本评价要求企业需对该废气治理装置做好环保管理，装置内的活性炭需要每季度定期更换保证处理效率并做好记录。</w:t>
            </w:r>
          </w:p>
          <w:p w14:paraId="5043C17C">
            <w:pPr>
              <w:adjustRightInd w:val="0"/>
              <w:snapToGrid w:val="0"/>
              <w:spacing w:line="360" w:lineRule="auto"/>
              <w:ind w:firstLine="422" w:firstLineChars="200"/>
              <w:rPr>
                <w:rFonts w:hint="default" w:ascii="Times New Roman" w:hAnsi="Times New Roman" w:cs="Times New Roman"/>
                <w:b w:val="0"/>
                <w:bCs/>
                <w:color w:val="auto"/>
                <w:szCs w:val="21"/>
                <w:lang w:val="en-US" w:eastAsia="zh-CN"/>
              </w:rPr>
            </w:pPr>
            <w:r>
              <w:rPr>
                <w:rFonts w:hint="default" w:ascii="Times New Roman" w:hAnsi="Times New Roman" w:cs="Times New Roman"/>
                <w:b/>
                <w:bCs w:val="0"/>
                <w:color w:val="auto"/>
                <w:szCs w:val="21"/>
                <w:lang w:eastAsia="zh-CN"/>
              </w:rPr>
              <w:t>破碎粉尘</w:t>
            </w:r>
            <w:r>
              <w:rPr>
                <w:rFonts w:hint="eastAsia" w:ascii="Times New Roman" w:hAnsi="Times New Roman" w:cs="Times New Roman"/>
                <w:b/>
                <w:bCs w:val="0"/>
                <w:color w:val="auto"/>
                <w:szCs w:val="21"/>
                <w:lang w:eastAsia="zh-CN"/>
              </w:rPr>
              <w:t>：</w:t>
            </w:r>
            <w:r>
              <w:rPr>
                <w:rFonts w:hint="default" w:ascii="Times New Roman" w:hAnsi="Times New Roman" w:eastAsia="宋体" w:cs="Times New Roman"/>
                <w:color w:val="auto"/>
                <w:kern w:val="2"/>
                <w:sz w:val="21"/>
                <w:szCs w:val="21"/>
                <w:lang w:val="en-US" w:eastAsia="zh-CN" w:bidi="ar-SA"/>
              </w:rPr>
              <w:t>本项目</w:t>
            </w:r>
            <w:r>
              <w:rPr>
                <w:rFonts w:hint="default" w:ascii="Times New Roman" w:hAnsi="Times New Roman" w:cs="Times New Roman"/>
                <w:b w:val="0"/>
                <w:bCs/>
                <w:color w:val="auto"/>
                <w:szCs w:val="21"/>
                <w:lang w:val="en-US" w:eastAsia="zh-CN"/>
              </w:rPr>
              <w:t>破碎后的塑料颗粒粒径约2～5mm，拟</w:t>
            </w:r>
            <w:r>
              <w:rPr>
                <w:rFonts w:hint="eastAsia" w:ascii="Times New Roman" w:hAnsi="Times New Roman" w:cs="Times New Roman"/>
                <w:b w:val="0"/>
                <w:bCs/>
                <w:color w:val="auto"/>
                <w:szCs w:val="21"/>
                <w:lang w:val="en-US" w:eastAsia="zh-CN"/>
              </w:rPr>
              <w:t>将破碎机单独设置在密闭的房间，</w:t>
            </w:r>
            <w:r>
              <w:rPr>
                <w:rFonts w:hint="default" w:ascii="Times New Roman" w:hAnsi="Times New Roman" w:eastAsia="宋体" w:cs="Times New Roman"/>
                <w:b w:val="0"/>
                <w:bCs/>
                <w:color w:val="auto"/>
                <w:szCs w:val="21"/>
                <w:lang w:val="en-US" w:eastAsia="zh-CN"/>
              </w:rPr>
              <w:t>破碎机进料口采用软帘遮挡，出料口采用收集袋直接收集，破碎粉尘产生量较少，最后通过加强室内通风，在车间内无组织排放</w:t>
            </w:r>
            <w:r>
              <w:rPr>
                <w:rFonts w:hint="default" w:ascii="Times New Roman" w:hAnsi="Times New Roman" w:cs="Times New Roman"/>
                <w:b w:val="0"/>
                <w:bCs/>
                <w:color w:val="auto"/>
                <w:szCs w:val="21"/>
                <w:lang w:val="en-US" w:eastAsia="zh-CN"/>
              </w:rPr>
              <w:t>，对环境影响较小。</w:t>
            </w:r>
          </w:p>
          <w:p w14:paraId="5FFC8606">
            <w:pPr>
              <w:adjustRightInd w:val="0"/>
              <w:snapToGrid w:val="0"/>
              <w:spacing w:line="360" w:lineRule="auto"/>
              <w:ind w:firstLine="422" w:firstLineChars="200"/>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eastAsia="zh-CN"/>
              </w:rPr>
              <w:t>（</w:t>
            </w:r>
            <w:r>
              <w:rPr>
                <w:rFonts w:hint="default" w:ascii="Times New Roman" w:hAnsi="Times New Roman" w:cs="Times New Roman"/>
                <w:b/>
                <w:color w:val="auto"/>
                <w:sz w:val="21"/>
                <w:szCs w:val="21"/>
                <w:lang w:val="en-US" w:eastAsia="zh-CN"/>
              </w:rPr>
              <w:t>2</w:t>
            </w:r>
            <w:r>
              <w:rPr>
                <w:rFonts w:hint="default" w:ascii="Times New Roman" w:hAnsi="Times New Roman" w:cs="Times New Roman"/>
                <w:b/>
                <w:color w:val="auto"/>
                <w:sz w:val="21"/>
                <w:szCs w:val="21"/>
                <w:lang w:eastAsia="zh-CN"/>
              </w:rPr>
              <w:t>）</w:t>
            </w:r>
            <w:r>
              <w:rPr>
                <w:rFonts w:hint="default" w:ascii="Times New Roman" w:hAnsi="Times New Roman" w:cs="Times New Roman"/>
                <w:b/>
                <w:color w:val="auto"/>
                <w:sz w:val="21"/>
                <w:szCs w:val="21"/>
              </w:rPr>
              <w:t>非正常工况下</w:t>
            </w:r>
            <w:r>
              <w:rPr>
                <w:rFonts w:hint="default" w:ascii="Times New Roman" w:hAnsi="Times New Roman" w:cs="Times New Roman"/>
                <w:b/>
                <w:color w:val="auto"/>
                <w:sz w:val="21"/>
                <w:szCs w:val="21"/>
                <w:lang w:eastAsia="zh-CN"/>
              </w:rPr>
              <w:t>：</w:t>
            </w:r>
          </w:p>
          <w:p w14:paraId="66FE237C">
            <w:pPr>
              <w:adjustRightInd w:val="0"/>
              <w:snapToGrid w:val="0"/>
              <w:spacing w:line="360" w:lineRule="auto"/>
              <w:ind w:firstLine="420" w:firstLineChars="200"/>
              <w:rPr>
                <w:rFonts w:hint="default" w:ascii="Times New Roman" w:hAnsi="Times New Roman" w:cs="Times New Roman"/>
                <w:b/>
                <w:snapToGrid w:val="0"/>
                <w:color w:val="auto"/>
                <w:sz w:val="21"/>
                <w:szCs w:val="21"/>
              </w:rPr>
            </w:pPr>
            <w:r>
              <w:rPr>
                <w:rFonts w:hint="default" w:ascii="Times New Roman" w:hAnsi="Times New Roman" w:cs="Times New Roman"/>
                <w:color w:val="auto"/>
                <w:sz w:val="21"/>
                <w:szCs w:val="21"/>
              </w:rPr>
              <w:t>根据本项目污染特点及本项目工程分析，本项目非正常工况分析污染源主要为“</w:t>
            </w:r>
            <w:r>
              <w:rPr>
                <w:rFonts w:hint="default" w:ascii="Times New Roman" w:hAnsi="Times New Roman" w:cs="Times New Roman"/>
                <w:color w:val="auto"/>
                <w:sz w:val="21"/>
                <w:szCs w:val="21"/>
                <w:lang w:eastAsia="zh-CN"/>
              </w:rPr>
              <w:t>过滤棉+两级活性炭</w:t>
            </w:r>
            <w:r>
              <w:rPr>
                <w:rFonts w:hint="default" w:ascii="Times New Roman" w:hAnsi="Times New Roman" w:cs="Times New Roman"/>
                <w:color w:val="auto"/>
                <w:sz w:val="21"/>
                <w:szCs w:val="21"/>
              </w:rPr>
              <w:t>吸附”措施发生故障，处理效率降为</w:t>
            </w: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0</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rPr>
              <w:t>的情况。本项目非正常工况分析污染源主要为：</w:t>
            </w:r>
          </w:p>
          <w:p w14:paraId="4BBF13BB">
            <w:pPr>
              <w:pStyle w:val="26"/>
              <w:adjustRightInd w:val="0"/>
              <w:snapToGrid w:val="0"/>
              <w:spacing w:before="0" w:beforeAutospacing="0" w:after="0" w:afterAutospacing="0" w:line="400" w:lineRule="exact"/>
              <w:jc w:val="center"/>
              <w:outlineLvl w:val="0"/>
              <w:rPr>
                <w:rFonts w:hint="default" w:ascii="Times New Roman" w:hAnsi="Times New Roman" w:cs="Times New Roman"/>
                <w:b/>
                <w:snapToGrid w:val="0"/>
                <w:color w:val="auto"/>
                <w:sz w:val="21"/>
                <w:szCs w:val="21"/>
              </w:rPr>
            </w:pPr>
            <w:r>
              <w:rPr>
                <w:rFonts w:hint="default" w:ascii="Times New Roman" w:hAnsi="Times New Roman" w:cs="Times New Roman"/>
                <w:b/>
                <w:snapToGrid w:val="0"/>
                <w:color w:val="auto"/>
                <w:sz w:val="21"/>
                <w:szCs w:val="21"/>
              </w:rPr>
              <w:t>表4-</w:t>
            </w:r>
            <w:r>
              <w:rPr>
                <w:rFonts w:hint="eastAsia" w:ascii="Times New Roman" w:hAnsi="Times New Roman" w:cs="Times New Roman"/>
                <w:b/>
                <w:snapToGrid w:val="0"/>
                <w:color w:val="auto"/>
                <w:sz w:val="21"/>
                <w:szCs w:val="21"/>
                <w:lang w:val="en-US" w:eastAsia="zh-CN"/>
              </w:rPr>
              <w:t>4</w:t>
            </w:r>
            <w:r>
              <w:rPr>
                <w:rFonts w:hint="default" w:ascii="Times New Roman" w:hAnsi="Times New Roman" w:cs="Times New Roman"/>
                <w:b/>
                <w:snapToGrid w:val="0"/>
                <w:color w:val="auto"/>
                <w:sz w:val="21"/>
                <w:szCs w:val="21"/>
              </w:rPr>
              <w:t xml:space="preserve">  项目营运期非正常工况污染物排放情况一览表</w:t>
            </w:r>
          </w:p>
          <w:tbl>
            <w:tblPr>
              <w:tblStyle w:val="30"/>
              <w:tblW w:w="499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968"/>
              <w:gridCol w:w="859"/>
              <w:gridCol w:w="777"/>
              <w:gridCol w:w="1096"/>
              <w:gridCol w:w="812"/>
              <w:gridCol w:w="778"/>
              <w:gridCol w:w="1451"/>
            </w:tblGrid>
            <w:tr w14:paraId="78C10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6" w:type="pct"/>
                  <w:vMerge w:val="restart"/>
                  <w:tcBorders>
                    <w:tl2br w:val="nil"/>
                    <w:tr2bl w:val="nil"/>
                  </w:tcBorders>
                  <w:noWrap w:val="0"/>
                  <w:vAlign w:val="center"/>
                </w:tcPr>
                <w:p w14:paraId="6C1716FA">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r>
                    <w:rPr>
                      <w:rFonts w:hint="default" w:ascii="Times New Roman" w:hAnsi="Times New Roman" w:eastAsia="宋体" w:cs="Times New Roman"/>
                      <w:bCs/>
                      <w:snapToGrid w:val="0"/>
                      <w:color w:val="auto"/>
                      <w:sz w:val="18"/>
                      <w:szCs w:val="18"/>
                    </w:rPr>
                    <w:t>污染源</w:t>
                  </w:r>
                </w:p>
              </w:tc>
              <w:tc>
                <w:tcPr>
                  <w:tcW w:w="612" w:type="pct"/>
                  <w:vMerge w:val="restart"/>
                  <w:tcBorders>
                    <w:tl2br w:val="nil"/>
                    <w:tr2bl w:val="nil"/>
                  </w:tcBorders>
                  <w:noWrap w:val="0"/>
                  <w:vAlign w:val="center"/>
                </w:tcPr>
                <w:p w14:paraId="764E387E">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r>
                    <w:rPr>
                      <w:rFonts w:hint="default" w:ascii="Times New Roman" w:hAnsi="Times New Roman" w:eastAsia="宋体" w:cs="Times New Roman"/>
                      <w:bCs/>
                      <w:snapToGrid w:val="0"/>
                      <w:color w:val="auto"/>
                      <w:sz w:val="18"/>
                      <w:szCs w:val="18"/>
                    </w:rPr>
                    <w:t>非正常排放原因</w:t>
                  </w:r>
                </w:p>
              </w:tc>
              <w:tc>
                <w:tcPr>
                  <w:tcW w:w="543" w:type="pct"/>
                  <w:vMerge w:val="restart"/>
                  <w:tcBorders>
                    <w:tl2br w:val="nil"/>
                    <w:tr2bl w:val="nil"/>
                  </w:tcBorders>
                  <w:noWrap w:val="0"/>
                  <w:vAlign w:val="center"/>
                </w:tcPr>
                <w:p w14:paraId="4D1B49FA">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r>
                    <w:rPr>
                      <w:rFonts w:hint="default" w:ascii="Times New Roman" w:hAnsi="Times New Roman" w:eastAsia="宋体" w:cs="Times New Roman"/>
                      <w:bCs/>
                      <w:snapToGrid w:val="0"/>
                      <w:color w:val="auto"/>
                      <w:sz w:val="18"/>
                      <w:szCs w:val="18"/>
                    </w:rPr>
                    <w:t>污染物</w:t>
                  </w:r>
                </w:p>
              </w:tc>
              <w:tc>
                <w:tcPr>
                  <w:tcW w:w="1184" w:type="pct"/>
                  <w:gridSpan w:val="2"/>
                  <w:tcBorders>
                    <w:tl2br w:val="nil"/>
                    <w:tr2bl w:val="nil"/>
                  </w:tcBorders>
                  <w:noWrap w:val="0"/>
                  <w:vAlign w:val="center"/>
                </w:tcPr>
                <w:p w14:paraId="2ABC7F81">
                  <w:pPr>
                    <w:pStyle w:val="26"/>
                    <w:adjustRightInd w:val="0"/>
                    <w:snapToGrid w:val="0"/>
                    <w:jc w:val="center"/>
                    <w:rPr>
                      <w:rFonts w:hint="default" w:ascii="Times New Roman" w:hAnsi="Times New Roman" w:eastAsia="宋体" w:cs="Times New Roman"/>
                      <w:bCs/>
                      <w:snapToGrid w:val="0"/>
                      <w:color w:val="auto"/>
                      <w:sz w:val="18"/>
                      <w:szCs w:val="18"/>
                    </w:rPr>
                  </w:pPr>
                  <w:r>
                    <w:rPr>
                      <w:rFonts w:hint="default" w:ascii="Times New Roman" w:hAnsi="Times New Roman" w:eastAsia="宋体" w:cs="Times New Roman"/>
                      <w:bCs/>
                      <w:snapToGrid w:val="0"/>
                      <w:color w:val="auto"/>
                      <w:sz w:val="18"/>
                      <w:szCs w:val="18"/>
                    </w:rPr>
                    <w:t>非正常排放</w:t>
                  </w:r>
                </w:p>
              </w:tc>
              <w:tc>
                <w:tcPr>
                  <w:tcW w:w="513" w:type="pct"/>
                  <w:vMerge w:val="restart"/>
                  <w:tcBorders>
                    <w:tl2br w:val="nil"/>
                    <w:tr2bl w:val="nil"/>
                  </w:tcBorders>
                  <w:noWrap w:val="0"/>
                  <w:vAlign w:val="center"/>
                </w:tcPr>
                <w:p w14:paraId="1B496F0E">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r>
                    <w:rPr>
                      <w:rFonts w:hint="default" w:ascii="Times New Roman" w:hAnsi="Times New Roman" w:eastAsia="宋体" w:cs="Times New Roman"/>
                      <w:bCs/>
                      <w:snapToGrid w:val="0"/>
                      <w:color w:val="auto"/>
                      <w:sz w:val="18"/>
                      <w:szCs w:val="18"/>
                    </w:rPr>
                    <w:t>单次持续时间h</w:t>
                  </w:r>
                </w:p>
              </w:tc>
              <w:tc>
                <w:tcPr>
                  <w:tcW w:w="492" w:type="pct"/>
                  <w:vMerge w:val="restart"/>
                  <w:tcBorders>
                    <w:tl2br w:val="nil"/>
                    <w:tr2bl w:val="nil"/>
                  </w:tcBorders>
                  <w:noWrap w:val="0"/>
                  <w:vAlign w:val="center"/>
                </w:tcPr>
                <w:p w14:paraId="618B0C81">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r>
                    <w:rPr>
                      <w:rFonts w:hint="default" w:ascii="Times New Roman" w:hAnsi="Times New Roman" w:eastAsia="宋体" w:cs="Times New Roman"/>
                      <w:bCs/>
                      <w:snapToGrid w:val="0"/>
                      <w:color w:val="auto"/>
                      <w:sz w:val="18"/>
                      <w:szCs w:val="18"/>
                    </w:rPr>
                    <w:t>发生频次（次）</w:t>
                  </w:r>
                </w:p>
              </w:tc>
              <w:tc>
                <w:tcPr>
                  <w:tcW w:w="917" w:type="pct"/>
                  <w:vMerge w:val="restart"/>
                  <w:tcBorders>
                    <w:tl2br w:val="nil"/>
                    <w:tr2bl w:val="nil"/>
                  </w:tcBorders>
                  <w:noWrap w:val="0"/>
                  <w:vAlign w:val="center"/>
                </w:tcPr>
                <w:p w14:paraId="09DB0085">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r>
                    <w:rPr>
                      <w:rFonts w:hint="default" w:ascii="Times New Roman" w:hAnsi="Times New Roman" w:eastAsia="宋体" w:cs="Times New Roman"/>
                      <w:bCs/>
                      <w:snapToGrid w:val="0"/>
                      <w:color w:val="auto"/>
                      <w:sz w:val="18"/>
                      <w:szCs w:val="18"/>
                    </w:rPr>
                    <w:t>应对措施</w:t>
                  </w:r>
                </w:p>
              </w:tc>
            </w:tr>
            <w:tr w14:paraId="49993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6" w:type="pct"/>
                  <w:vMerge w:val="continue"/>
                  <w:tcBorders>
                    <w:tl2br w:val="nil"/>
                    <w:tr2bl w:val="nil"/>
                  </w:tcBorders>
                  <w:noWrap w:val="0"/>
                  <w:vAlign w:val="center"/>
                </w:tcPr>
                <w:p w14:paraId="2E010AD2">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612" w:type="pct"/>
                  <w:vMerge w:val="continue"/>
                  <w:tcBorders>
                    <w:tl2br w:val="nil"/>
                    <w:tr2bl w:val="nil"/>
                  </w:tcBorders>
                  <w:noWrap w:val="0"/>
                  <w:vAlign w:val="center"/>
                </w:tcPr>
                <w:p w14:paraId="5DD5E4CF">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543" w:type="pct"/>
                  <w:vMerge w:val="continue"/>
                  <w:tcBorders>
                    <w:tl2br w:val="nil"/>
                    <w:tr2bl w:val="nil"/>
                  </w:tcBorders>
                  <w:noWrap w:val="0"/>
                  <w:vAlign w:val="center"/>
                </w:tcPr>
                <w:p w14:paraId="61504053">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491" w:type="pct"/>
                  <w:tcBorders>
                    <w:tl2br w:val="nil"/>
                    <w:tr2bl w:val="nil"/>
                  </w:tcBorders>
                  <w:noWrap w:val="0"/>
                  <w:vAlign w:val="center"/>
                </w:tcPr>
                <w:p w14:paraId="665AEE51">
                  <w:pPr>
                    <w:pStyle w:val="26"/>
                    <w:adjustRightInd w:val="0"/>
                    <w:snapToGrid w:val="0"/>
                    <w:jc w:val="center"/>
                    <w:rPr>
                      <w:rFonts w:hint="default" w:ascii="Times New Roman" w:hAnsi="Times New Roman" w:eastAsia="宋体" w:cs="Times New Roman"/>
                      <w:bCs/>
                      <w:snapToGrid w:val="0"/>
                      <w:color w:val="auto"/>
                      <w:sz w:val="18"/>
                      <w:szCs w:val="18"/>
                    </w:rPr>
                  </w:pPr>
                  <w:r>
                    <w:rPr>
                      <w:rFonts w:hint="default" w:ascii="Times New Roman" w:hAnsi="Times New Roman" w:eastAsia="宋体" w:cs="Times New Roman"/>
                      <w:bCs/>
                      <w:snapToGrid w:val="0"/>
                      <w:color w:val="auto"/>
                      <w:sz w:val="18"/>
                      <w:szCs w:val="18"/>
                    </w:rPr>
                    <w:t>浓度mg/m</w:t>
                  </w:r>
                  <w:r>
                    <w:rPr>
                      <w:rFonts w:hint="default" w:ascii="Times New Roman" w:hAnsi="Times New Roman" w:eastAsia="宋体" w:cs="Times New Roman"/>
                      <w:bCs/>
                      <w:snapToGrid w:val="0"/>
                      <w:color w:val="auto"/>
                      <w:sz w:val="18"/>
                      <w:szCs w:val="18"/>
                      <w:vertAlign w:val="superscript"/>
                    </w:rPr>
                    <w:t>3</w:t>
                  </w:r>
                </w:p>
              </w:tc>
              <w:tc>
                <w:tcPr>
                  <w:tcW w:w="693" w:type="pct"/>
                  <w:tcBorders>
                    <w:tl2br w:val="nil"/>
                    <w:tr2bl w:val="nil"/>
                  </w:tcBorders>
                  <w:noWrap w:val="0"/>
                  <w:vAlign w:val="center"/>
                </w:tcPr>
                <w:p w14:paraId="5D9BDE21">
                  <w:pPr>
                    <w:pStyle w:val="26"/>
                    <w:adjustRightInd w:val="0"/>
                    <w:snapToGrid w:val="0"/>
                    <w:jc w:val="center"/>
                    <w:rPr>
                      <w:rFonts w:hint="default" w:ascii="Times New Roman" w:hAnsi="Times New Roman" w:eastAsia="宋体" w:cs="Times New Roman"/>
                      <w:bCs/>
                      <w:snapToGrid w:val="0"/>
                      <w:color w:val="auto"/>
                      <w:sz w:val="18"/>
                      <w:szCs w:val="18"/>
                    </w:rPr>
                  </w:pPr>
                  <w:r>
                    <w:rPr>
                      <w:rFonts w:hint="default" w:ascii="Times New Roman" w:hAnsi="Times New Roman" w:eastAsia="宋体" w:cs="Times New Roman"/>
                      <w:bCs/>
                      <w:snapToGrid w:val="0"/>
                      <w:color w:val="auto"/>
                      <w:sz w:val="18"/>
                      <w:szCs w:val="18"/>
                    </w:rPr>
                    <w:t>速率kg/h</w:t>
                  </w:r>
                </w:p>
              </w:tc>
              <w:tc>
                <w:tcPr>
                  <w:tcW w:w="513" w:type="pct"/>
                  <w:vMerge w:val="continue"/>
                  <w:tcBorders>
                    <w:tl2br w:val="nil"/>
                    <w:tr2bl w:val="nil"/>
                  </w:tcBorders>
                  <w:noWrap w:val="0"/>
                  <w:vAlign w:val="center"/>
                </w:tcPr>
                <w:p w14:paraId="581EB549">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492" w:type="pct"/>
                  <w:vMerge w:val="continue"/>
                  <w:tcBorders>
                    <w:tl2br w:val="nil"/>
                    <w:tr2bl w:val="nil"/>
                  </w:tcBorders>
                  <w:noWrap w:val="0"/>
                  <w:vAlign w:val="center"/>
                </w:tcPr>
                <w:p w14:paraId="56B11966">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917" w:type="pct"/>
                  <w:vMerge w:val="continue"/>
                  <w:tcBorders>
                    <w:tl2br w:val="nil"/>
                    <w:tr2bl w:val="nil"/>
                  </w:tcBorders>
                  <w:noWrap w:val="0"/>
                  <w:vAlign w:val="center"/>
                </w:tcPr>
                <w:p w14:paraId="3D88AC68">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r>
            <w:tr w14:paraId="66B0A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6" w:type="pct"/>
                  <w:vMerge w:val="restart"/>
                  <w:tcBorders>
                    <w:tl2br w:val="nil"/>
                    <w:tr2bl w:val="nil"/>
                  </w:tcBorders>
                  <w:noWrap w:val="0"/>
                  <w:vAlign w:val="center"/>
                </w:tcPr>
                <w:p w14:paraId="06AFAADA">
                  <w:pPr>
                    <w:adjustRightInd w:val="0"/>
                    <w:snapToGrid w:val="0"/>
                    <w:spacing w:beforeLines="10" w:afterLines="10" w:line="259" w:lineRule="auto"/>
                    <w:jc w:val="center"/>
                    <w:rPr>
                      <w:rFonts w:hint="default" w:ascii="Times New Roman" w:hAnsi="Times New Roman" w:eastAsia="宋体" w:cs="Times New Roman"/>
                      <w:bCs/>
                      <w:snapToGrid w:val="0"/>
                      <w:color w:val="auto"/>
                      <w:sz w:val="18"/>
                      <w:szCs w:val="18"/>
                    </w:rPr>
                  </w:pPr>
                  <w:r>
                    <w:rPr>
                      <w:rFonts w:hint="default" w:ascii="Times New Roman" w:hAnsi="Times New Roman" w:cs="Times New Roman"/>
                      <w:color w:val="auto"/>
                      <w:kern w:val="0"/>
                      <w:sz w:val="18"/>
                      <w:szCs w:val="18"/>
                      <w:lang w:val="en-US" w:eastAsia="zh-CN"/>
                    </w:rPr>
                    <w:t>注塑废气排放口</w:t>
                  </w:r>
                </w:p>
              </w:tc>
              <w:tc>
                <w:tcPr>
                  <w:tcW w:w="612" w:type="pct"/>
                  <w:vMerge w:val="restart"/>
                  <w:tcBorders>
                    <w:tl2br w:val="nil"/>
                    <w:tr2bl w:val="nil"/>
                  </w:tcBorders>
                  <w:noWrap w:val="0"/>
                  <w:vAlign w:val="center"/>
                </w:tcPr>
                <w:p w14:paraId="6D8D655F">
                  <w:pPr>
                    <w:pStyle w:val="26"/>
                    <w:adjustRightInd w:val="0"/>
                    <w:snapToGrid w:val="0"/>
                    <w:spacing w:before="0" w:beforeAutospacing="0" w:after="0" w:afterAutospacing="0"/>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过滤棉+两级活性炭</w:t>
                  </w:r>
                  <w:r>
                    <w:rPr>
                      <w:rFonts w:hint="default" w:ascii="Times New Roman" w:hAnsi="Times New Roman" w:eastAsia="宋体" w:cs="Times New Roman"/>
                      <w:color w:val="auto"/>
                      <w:sz w:val="18"/>
                      <w:szCs w:val="18"/>
                    </w:rPr>
                    <w:t>吸附装置故障</w:t>
                  </w:r>
                </w:p>
                <w:p w14:paraId="2FC69A44">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两级活性炭</w:t>
                  </w:r>
                  <w:r>
                    <w:rPr>
                      <w:rFonts w:hint="default" w:ascii="Times New Roman" w:hAnsi="Times New Roman" w:eastAsia="宋体" w:cs="Times New Roman"/>
                      <w:color w:val="auto"/>
                      <w:sz w:val="18"/>
                      <w:szCs w:val="18"/>
                    </w:rPr>
                    <w:t>故障</w:t>
                  </w:r>
                </w:p>
              </w:tc>
              <w:tc>
                <w:tcPr>
                  <w:tcW w:w="543" w:type="pct"/>
                  <w:tcBorders>
                    <w:tl2br w:val="nil"/>
                    <w:tr2bl w:val="nil"/>
                  </w:tcBorders>
                  <w:noWrap w:val="0"/>
                  <w:vAlign w:val="center"/>
                </w:tcPr>
                <w:p w14:paraId="78BCA203">
                  <w:pPr>
                    <w:widowControl/>
                    <w:adjustRightInd w:val="0"/>
                    <w:snapToGrid w:val="0"/>
                    <w:spacing w:beforeLines="0" w:afterLines="0" w:line="240" w:lineRule="auto"/>
                    <w:jc w:val="center"/>
                    <w:rPr>
                      <w:rFonts w:hint="default"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非甲烷</w:t>
                  </w:r>
                  <w:r>
                    <w:rPr>
                      <w:rFonts w:ascii="Times New Roman" w:hAnsi="Times New Roman" w:eastAsia="宋体" w:cs="Times New Roman"/>
                      <w:bCs/>
                      <w:color w:val="auto"/>
                      <w:kern w:val="0"/>
                      <w:sz w:val="18"/>
                      <w:szCs w:val="18"/>
                      <w:lang w:val="en-US" w:eastAsia="zh-CN" w:bidi="ar-SA"/>
                    </w:rPr>
                    <w:t>总烃</w:t>
                  </w:r>
                </w:p>
              </w:tc>
              <w:tc>
                <w:tcPr>
                  <w:tcW w:w="491" w:type="pct"/>
                  <w:tcBorders>
                    <w:tl2br w:val="nil"/>
                    <w:tr2bl w:val="nil"/>
                  </w:tcBorders>
                  <w:noWrap w:val="0"/>
                  <w:vAlign w:val="center"/>
                </w:tcPr>
                <w:p w14:paraId="3F3BA763">
                  <w:pPr>
                    <w:keepNext w:val="0"/>
                    <w:keepLines w:val="0"/>
                    <w:widowControl/>
                    <w:suppressLineNumbers w:val="0"/>
                    <w:jc w:val="center"/>
                    <w:textAlignment w:val="center"/>
                    <w:rPr>
                      <w:rFonts w:hint="default" w:ascii="Times New Roman" w:hAnsi="Times New Roman" w:eastAsia="宋体" w:cs="Times New Roman"/>
                      <w:bCs/>
                      <w:snapToGrid w:val="0"/>
                      <w:color w:val="auto"/>
                      <w:sz w:val="18"/>
                      <w:szCs w:val="18"/>
                      <w:lang w:val="en-US"/>
                    </w:rPr>
                  </w:pPr>
                  <w:r>
                    <w:rPr>
                      <w:rFonts w:hint="default" w:ascii="Times New Roman" w:hAnsi="Times New Roman" w:eastAsia="宋体" w:cs="Times New Roman"/>
                      <w:i w:val="0"/>
                      <w:iCs w:val="0"/>
                      <w:color w:val="auto"/>
                      <w:kern w:val="0"/>
                      <w:sz w:val="18"/>
                      <w:szCs w:val="18"/>
                      <w:u w:val="none"/>
                      <w:lang w:val="en-US" w:eastAsia="zh-CN" w:bidi="ar"/>
                    </w:rPr>
                    <w:t xml:space="preserve">8.5 </w:t>
                  </w:r>
                </w:p>
              </w:tc>
              <w:tc>
                <w:tcPr>
                  <w:tcW w:w="693" w:type="pct"/>
                  <w:tcBorders>
                    <w:tl2br w:val="nil"/>
                    <w:tr2bl w:val="nil"/>
                  </w:tcBorders>
                  <w:noWrap w:val="0"/>
                  <w:vAlign w:val="center"/>
                </w:tcPr>
                <w:p w14:paraId="08B7D519">
                  <w:pPr>
                    <w:keepNext w:val="0"/>
                    <w:keepLines w:val="0"/>
                    <w:widowControl/>
                    <w:suppressLineNumbers w:val="0"/>
                    <w:jc w:val="center"/>
                    <w:textAlignment w:val="center"/>
                    <w:rPr>
                      <w:rFonts w:hint="default" w:ascii="Times New Roman" w:hAnsi="Times New Roman" w:eastAsia="宋体" w:cs="Times New Roman"/>
                      <w:bCs/>
                      <w:snapToGrid w:val="0"/>
                      <w:color w:val="auto"/>
                      <w:sz w:val="18"/>
                      <w:szCs w:val="18"/>
                      <w:lang w:val="en-US"/>
                    </w:rPr>
                  </w:pPr>
                  <w:r>
                    <w:rPr>
                      <w:rFonts w:hint="default" w:ascii="Times New Roman" w:hAnsi="Times New Roman" w:eastAsia="宋体" w:cs="Times New Roman"/>
                      <w:i w:val="0"/>
                      <w:iCs w:val="0"/>
                      <w:color w:val="auto"/>
                      <w:kern w:val="0"/>
                      <w:sz w:val="18"/>
                      <w:szCs w:val="18"/>
                      <w:u w:val="none"/>
                      <w:lang w:val="en-US" w:eastAsia="zh-CN" w:bidi="ar"/>
                    </w:rPr>
                    <w:t xml:space="preserve">0.119 </w:t>
                  </w:r>
                </w:p>
              </w:tc>
              <w:tc>
                <w:tcPr>
                  <w:tcW w:w="513" w:type="pct"/>
                  <w:vMerge w:val="restart"/>
                  <w:tcBorders>
                    <w:tl2br w:val="nil"/>
                    <w:tr2bl w:val="nil"/>
                  </w:tcBorders>
                  <w:noWrap w:val="0"/>
                  <w:vAlign w:val="center"/>
                </w:tcPr>
                <w:p w14:paraId="4A1D7692">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r>
                    <w:rPr>
                      <w:rFonts w:hint="default" w:ascii="Times New Roman" w:hAnsi="Times New Roman" w:eastAsia="宋体" w:cs="Times New Roman"/>
                      <w:bCs/>
                      <w:snapToGrid w:val="0"/>
                      <w:color w:val="auto"/>
                      <w:sz w:val="18"/>
                      <w:szCs w:val="18"/>
                    </w:rPr>
                    <w:t>1</w:t>
                  </w:r>
                </w:p>
              </w:tc>
              <w:tc>
                <w:tcPr>
                  <w:tcW w:w="492" w:type="pct"/>
                  <w:vMerge w:val="restart"/>
                  <w:tcBorders>
                    <w:tl2br w:val="nil"/>
                    <w:tr2bl w:val="nil"/>
                  </w:tcBorders>
                  <w:noWrap w:val="0"/>
                  <w:vAlign w:val="center"/>
                </w:tcPr>
                <w:p w14:paraId="54221AFF">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r>
                    <w:rPr>
                      <w:rFonts w:hint="default" w:ascii="Times New Roman" w:hAnsi="Times New Roman" w:eastAsia="宋体" w:cs="Times New Roman"/>
                      <w:bCs/>
                      <w:snapToGrid w:val="0"/>
                      <w:color w:val="auto"/>
                      <w:sz w:val="18"/>
                      <w:szCs w:val="18"/>
                    </w:rPr>
                    <w:t>1</w:t>
                  </w:r>
                </w:p>
              </w:tc>
              <w:tc>
                <w:tcPr>
                  <w:tcW w:w="917" w:type="pct"/>
                  <w:vMerge w:val="restart"/>
                  <w:tcBorders>
                    <w:tl2br w:val="nil"/>
                    <w:tr2bl w:val="nil"/>
                  </w:tcBorders>
                  <w:noWrap w:val="0"/>
                  <w:vAlign w:val="center"/>
                </w:tcPr>
                <w:p w14:paraId="426FCB47">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r>
                    <w:rPr>
                      <w:rFonts w:hint="default" w:ascii="Times New Roman" w:hAnsi="Times New Roman" w:eastAsia="宋体" w:cs="Times New Roman"/>
                      <w:bCs/>
                      <w:snapToGrid w:val="0"/>
                      <w:color w:val="auto"/>
                      <w:sz w:val="18"/>
                      <w:szCs w:val="18"/>
                    </w:rPr>
                    <w:t>停止生产，及时检修</w:t>
                  </w:r>
                </w:p>
              </w:tc>
            </w:tr>
            <w:tr w14:paraId="388A40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6" w:type="pct"/>
                  <w:vMerge w:val="continue"/>
                  <w:tcBorders>
                    <w:tl2br w:val="nil"/>
                    <w:tr2bl w:val="nil"/>
                  </w:tcBorders>
                  <w:noWrap w:val="0"/>
                  <w:vAlign w:val="center"/>
                </w:tcPr>
                <w:p w14:paraId="2D03E024">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612" w:type="pct"/>
                  <w:vMerge w:val="continue"/>
                  <w:tcBorders>
                    <w:tl2br w:val="nil"/>
                    <w:tr2bl w:val="nil"/>
                  </w:tcBorders>
                  <w:noWrap w:val="0"/>
                  <w:vAlign w:val="center"/>
                </w:tcPr>
                <w:p w14:paraId="329B2555">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543" w:type="pct"/>
                  <w:tcBorders>
                    <w:tl2br w:val="nil"/>
                    <w:tr2bl w:val="nil"/>
                  </w:tcBorders>
                  <w:noWrap w:val="0"/>
                  <w:vAlign w:val="center"/>
                </w:tcPr>
                <w:p w14:paraId="663FE3E7">
                  <w:pPr>
                    <w:widowControl/>
                    <w:adjustRightInd w:val="0"/>
                    <w:snapToGrid w:val="0"/>
                    <w:spacing w:beforeLines="0" w:afterLines="0" w:line="240" w:lineRule="auto"/>
                    <w:jc w:val="center"/>
                    <w:rPr>
                      <w:rFonts w:hint="default"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甲苯</w:t>
                  </w:r>
                </w:p>
              </w:tc>
              <w:tc>
                <w:tcPr>
                  <w:tcW w:w="491" w:type="pct"/>
                  <w:tcBorders>
                    <w:tl2br w:val="nil"/>
                    <w:tr2bl w:val="nil"/>
                  </w:tcBorders>
                  <w:noWrap w:val="0"/>
                  <w:vAlign w:val="center"/>
                </w:tcPr>
                <w:p w14:paraId="789D1C1A">
                  <w:pPr>
                    <w:keepNext w:val="0"/>
                    <w:keepLines w:val="0"/>
                    <w:widowControl/>
                    <w:suppressLineNumbers w:val="0"/>
                    <w:jc w:val="center"/>
                    <w:textAlignment w:val="center"/>
                    <w:rPr>
                      <w:rFonts w:hint="eastAsia" w:ascii="Times New Roman" w:hAnsi="Times New Roman" w:eastAsia="宋体" w:cs="Times New Roman"/>
                      <w:bCs/>
                      <w:snapToGrid w:val="0"/>
                      <w:color w:val="auto"/>
                      <w:sz w:val="18"/>
                      <w:szCs w:val="18"/>
                      <w:lang w:val="en-US" w:eastAsia="zh-CN"/>
                    </w:rPr>
                  </w:pPr>
                  <w:r>
                    <w:rPr>
                      <w:rFonts w:hint="eastAsia" w:ascii="Times New Roman" w:hAnsi="Times New Roman" w:cs="Times New Roman"/>
                      <w:bCs/>
                      <w:snapToGrid w:val="0"/>
                      <w:color w:val="auto"/>
                      <w:sz w:val="18"/>
                      <w:szCs w:val="18"/>
                      <w:lang w:val="en-US" w:eastAsia="zh-CN"/>
                    </w:rPr>
                    <w:t>/</w:t>
                  </w:r>
                </w:p>
              </w:tc>
              <w:tc>
                <w:tcPr>
                  <w:tcW w:w="693" w:type="pct"/>
                  <w:tcBorders>
                    <w:tl2br w:val="nil"/>
                    <w:tr2bl w:val="nil"/>
                  </w:tcBorders>
                  <w:noWrap w:val="0"/>
                  <w:vAlign w:val="center"/>
                </w:tcPr>
                <w:p w14:paraId="3521A7CD">
                  <w:pPr>
                    <w:keepNext w:val="0"/>
                    <w:keepLines w:val="0"/>
                    <w:widowControl/>
                    <w:suppressLineNumbers w:val="0"/>
                    <w:jc w:val="center"/>
                    <w:textAlignment w:val="center"/>
                    <w:rPr>
                      <w:rFonts w:hint="default" w:ascii="Times New Roman" w:hAnsi="Times New Roman" w:eastAsia="宋体" w:cs="Times New Roman"/>
                      <w:bCs/>
                      <w:snapToGrid w:val="0"/>
                      <w:color w:val="auto"/>
                      <w:sz w:val="18"/>
                      <w:szCs w:val="18"/>
                      <w:lang w:val="en-US"/>
                    </w:rPr>
                  </w:pPr>
                  <w:r>
                    <w:rPr>
                      <w:rFonts w:hint="eastAsia" w:ascii="Times New Roman" w:hAnsi="Times New Roman" w:cs="Times New Roman"/>
                      <w:bCs/>
                      <w:snapToGrid w:val="0"/>
                      <w:color w:val="auto"/>
                      <w:sz w:val="18"/>
                      <w:szCs w:val="18"/>
                      <w:lang w:val="en-US" w:eastAsia="zh-CN"/>
                    </w:rPr>
                    <w:t>/</w:t>
                  </w:r>
                </w:p>
              </w:tc>
              <w:tc>
                <w:tcPr>
                  <w:tcW w:w="513" w:type="pct"/>
                  <w:vMerge w:val="continue"/>
                  <w:tcBorders>
                    <w:tl2br w:val="nil"/>
                    <w:tr2bl w:val="nil"/>
                  </w:tcBorders>
                  <w:noWrap w:val="0"/>
                  <w:vAlign w:val="center"/>
                </w:tcPr>
                <w:p w14:paraId="351D20C1">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492" w:type="pct"/>
                  <w:vMerge w:val="continue"/>
                  <w:tcBorders>
                    <w:tl2br w:val="nil"/>
                    <w:tr2bl w:val="nil"/>
                  </w:tcBorders>
                  <w:noWrap w:val="0"/>
                  <w:vAlign w:val="center"/>
                </w:tcPr>
                <w:p w14:paraId="6FB8281E">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917" w:type="pct"/>
                  <w:vMerge w:val="continue"/>
                  <w:tcBorders>
                    <w:tl2br w:val="nil"/>
                    <w:tr2bl w:val="nil"/>
                  </w:tcBorders>
                  <w:noWrap w:val="0"/>
                  <w:vAlign w:val="center"/>
                </w:tcPr>
                <w:p w14:paraId="3B8E67FE">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r>
            <w:tr w14:paraId="26A14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6" w:type="pct"/>
                  <w:vMerge w:val="continue"/>
                  <w:tcBorders>
                    <w:tl2br w:val="nil"/>
                    <w:tr2bl w:val="nil"/>
                  </w:tcBorders>
                  <w:noWrap w:val="0"/>
                  <w:vAlign w:val="center"/>
                </w:tcPr>
                <w:p w14:paraId="2F38DF10">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612" w:type="pct"/>
                  <w:vMerge w:val="continue"/>
                  <w:tcBorders>
                    <w:tl2br w:val="nil"/>
                    <w:tr2bl w:val="nil"/>
                  </w:tcBorders>
                  <w:noWrap w:val="0"/>
                  <w:vAlign w:val="center"/>
                </w:tcPr>
                <w:p w14:paraId="39738DC2">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543" w:type="pct"/>
                  <w:tcBorders>
                    <w:tl2br w:val="nil"/>
                    <w:tr2bl w:val="nil"/>
                  </w:tcBorders>
                  <w:noWrap w:val="0"/>
                  <w:vAlign w:val="center"/>
                </w:tcPr>
                <w:p w14:paraId="7C91E343">
                  <w:pPr>
                    <w:widowControl/>
                    <w:adjustRightInd w:val="0"/>
                    <w:snapToGrid w:val="0"/>
                    <w:spacing w:beforeLines="0" w:afterLines="0" w:line="240" w:lineRule="auto"/>
                    <w:jc w:val="center"/>
                    <w:rPr>
                      <w:rFonts w:hint="default"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乙苯</w:t>
                  </w:r>
                </w:p>
              </w:tc>
              <w:tc>
                <w:tcPr>
                  <w:tcW w:w="491" w:type="pct"/>
                  <w:tcBorders>
                    <w:tl2br w:val="nil"/>
                    <w:tr2bl w:val="nil"/>
                  </w:tcBorders>
                  <w:noWrap w:val="0"/>
                  <w:vAlign w:val="center"/>
                </w:tcPr>
                <w:p w14:paraId="46B6BE79">
                  <w:pPr>
                    <w:jc w:val="center"/>
                    <w:rPr>
                      <w:rFonts w:hint="default" w:ascii="Times New Roman" w:hAnsi="Times New Roman" w:eastAsia="宋体" w:cs="Times New Roman"/>
                      <w:bCs/>
                      <w:snapToGrid w:val="0"/>
                      <w:color w:val="auto"/>
                      <w:sz w:val="18"/>
                      <w:szCs w:val="18"/>
                      <w:lang w:val="en-US" w:eastAsia="zh-CN"/>
                    </w:rPr>
                  </w:pPr>
                  <w:r>
                    <w:rPr>
                      <w:rFonts w:hint="eastAsia" w:ascii="Times New Roman" w:hAnsi="Times New Roman" w:cs="Times New Roman"/>
                      <w:bCs/>
                      <w:snapToGrid w:val="0"/>
                      <w:color w:val="auto"/>
                      <w:sz w:val="18"/>
                      <w:szCs w:val="18"/>
                      <w:lang w:val="en-US" w:eastAsia="zh-CN"/>
                    </w:rPr>
                    <w:t>/</w:t>
                  </w:r>
                </w:p>
              </w:tc>
              <w:tc>
                <w:tcPr>
                  <w:tcW w:w="693" w:type="pct"/>
                  <w:tcBorders>
                    <w:tl2br w:val="nil"/>
                    <w:tr2bl w:val="nil"/>
                  </w:tcBorders>
                  <w:noWrap w:val="0"/>
                  <w:vAlign w:val="center"/>
                </w:tcPr>
                <w:p w14:paraId="74DB442D">
                  <w:pPr>
                    <w:jc w:val="center"/>
                    <w:rPr>
                      <w:rFonts w:hint="default" w:ascii="Times New Roman" w:hAnsi="Times New Roman" w:eastAsia="宋体" w:cs="Times New Roman"/>
                      <w:bCs/>
                      <w:snapToGrid w:val="0"/>
                      <w:color w:val="auto"/>
                      <w:sz w:val="18"/>
                      <w:szCs w:val="18"/>
                    </w:rPr>
                  </w:pPr>
                  <w:r>
                    <w:rPr>
                      <w:rFonts w:hint="eastAsia" w:ascii="Times New Roman" w:hAnsi="Times New Roman" w:cs="Times New Roman"/>
                      <w:bCs/>
                      <w:snapToGrid w:val="0"/>
                      <w:color w:val="auto"/>
                      <w:sz w:val="18"/>
                      <w:szCs w:val="18"/>
                      <w:lang w:val="en-US" w:eastAsia="zh-CN"/>
                    </w:rPr>
                    <w:t>/</w:t>
                  </w:r>
                </w:p>
              </w:tc>
              <w:tc>
                <w:tcPr>
                  <w:tcW w:w="513" w:type="pct"/>
                  <w:vMerge w:val="continue"/>
                  <w:tcBorders>
                    <w:tl2br w:val="nil"/>
                    <w:tr2bl w:val="nil"/>
                  </w:tcBorders>
                  <w:noWrap w:val="0"/>
                  <w:vAlign w:val="center"/>
                </w:tcPr>
                <w:p w14:paraId="48E12A56">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492" w:type="pct"/>
                  <w:vMerge w:val="continue"/>
                  <w:tcBorders>
                    <w:tl2br w:val="nil"/>
                    <w:tr2bl w:val="nil"/>
                  </w:tcBorders>
                  <w:noWrap w:val="0"/>
                  <w:vAlign w:val="center"/>
                </w:tcPr>
                <w:p w14:paraId="2EF510DA">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917" w:type="pct"/>
                  <w:vMerge w:val="continue"/>
                  <w:tcBorders>
                    <w:tl2br w:val="nil"/>
                    <w:tr2bl w:val="nil"/>
                  </w:tcBorders>
                  <w:noWrap w:val="0"/>
                  <w:vAlign w:val="center"/>
                </w:tcPr>
                <w:p w14:paraId="1B7DE92F">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r>
            <w:tr w14:paraId="7F2D8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6" w:type="pct"/>
                  <w:vMerge w:val="continue"/>
                  <w:tcBorders>
                    <w:tl2br w:val="nil"/>
                    <w:tr2bl w:val="nil"/>
                  </w:tcBorders>
                  <w:noWrap w:val="0"/>
                  <w:vAlign w:val="center"/>
                </w:tcPr>
                <w:p w14:paraId="0698F3B4">
                  <w:pPr>
                    <w:adjustRightInd w:val="0"/>
                    <w:snapToGrid w:val="0"/>
                    <w:spacing w:beforeLines="10" w:afterLines="10" w:line="259" w:lineRule="auto"/>
                    <w:jc w:val="center"/>
                    <w:rPr>
                      <w:rFonts w:hint="default" w:ascii="Times New Roman" w:hAnsi="Times New Roman" w:eastAsia="宋体" w:cs="Times New Roman"/>
                      <w:bCs/>
                      <w:snapToGrid w:val="0"/>
                      <w:color w:val="auto"/>
                      <w:sz w:val="18"/>
                      <w:szCs w:val="18"/>
                    </w:rPr>
                  </w:pPr>
                </w:p>
              </w:tc>
              <w:tc>
                <w:tcPr>
                  <w:tcW w:w="612" w:type="pct"/>
                  <w:vMerge w:val="continue"/>
                  <w:tcBorders>
                    <w:tl2br w:val="nil"/>
                    <w:tr2bl w:val="nil"/>
                  </w:tcBorders>
                  <w:noWrap w:val="0"/>
                  <w:vAlign w:val="center"/>
                </w:tcPr>
                <w:p w14:paraId="53C7C0CB">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543" w:type="pct"/>
                  <w:tcBorders>
                    <w:tl2br w:val="nil"/>
                    <w:tr2bl w:val="nil"/>
                  </w:tcBorders>
                  <w:noWrap w:val="0"/>
                  <w:vAlign w:val="center"/>
                </w:tcPr>
                <w:p w14:paraId="3A998C0E">
                  <w:pPr>
                    <w:widowControl/>
                    <w:adjustRightInd w:val="0"/>
                    <w:snapToGrid w:val="0"/>
                    <w:spacing w:beforeLines="0" w:afterLines="0" w:line="240" w:lineRule="auto"/>
                    <w:jc w:val="center"/>
                    <w:rPr>
                      <w:rFonts w:hint="default"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苯乙烯</w:t>
                  </w:r>
                </w:p>
              </w:tc>
              <w:tc>
                <w:tcPr>
                  <w:tcW w:w="491" w:type="pct"/>
                  <w:tcBorders>
                    <w:tl2br w:val="nil"/>
                    <w:tr2bl w:val="nil"/>
                  </w:tcBorders>
                  <w:noWrap w:val="0"/>
                  <w:vAlign w:val="center"/>
                </w:tcPr>
                <w:p w14:paraId="65793E71">
                  <w:pPr>
                    <w:keepNext w:val="0"/>
                    <w:keepLines w:val="0"/>
                    <w:widowControl/>
                    <w:suppressLineNumbers w:val="0"/>
                    <w:jc w:val="center"/>
                    <w:textAlignment w:val="center"/>
                    <w:rPr>
                      <w:rFonts w:hint="default" w:ascii="Times New Roman" w:hAnsi="Times New Roman" w:eastAsia="宋体" w:cs="Times New Roman"/>
                      <w:bCs/>
                      <w:snapToGrid w:val="0"/>
                      <w:color w:val="auto"/>
                      <w:kern w:val="2"/>
                      <w:sz w:val="18"/>
                      <w:szCs w:val="18"/>
                      <w:lang w:val="en-US" w:eastAsia="zh-CN" w:bidi="ar-SA"/>
                    </w:rPr>
                  </w:pPr>
                  <w:r>
                    <w:rPr>
                      <w:rFonts w:hint="eastAsia" w:ascii="Times New Roman" w:hAnsi="Times New Roman" w:cs="Times New Roman"/>
                      <w:bCs/>
                      <w:snapToGrid w:val="0"/>
                      <w:color w:val="auto"/>
                      <w:sz w:val="18"/>
                      <w:szCs w:val="18"/>
                      <w:lang w:val="en-US" w:eastAsia="zh-CN"/>
                    </w:rPr>
                    <w:t>/</w:t>
                  </w:r>
                </w:p>
              </w:tc>
              <w:tc>
                <w:tcPr>
                  <w:tcW w:w="693" w:type="pct"/>
                  <w:tcBorders>
                    <w:tl2br w:val="nil"/>
                    <w:tr2bl w:val="nil"/>
                  </w:tcBorders>
                  <w:noWrap w:val="0"/>
                  <w:vAlign w:val="center"/>
                </w:tcPr>
                <w:p w14:paraId="4AE9F70C">
                  <w:pPr>
                    <w:keepNext w:val="0"/>
                    <w:keepLines w:val="0"/>
                    <w:widowControl/>
                    <w:suppressLineNumbers w:val="0"/>
                    <w:jc w:val="center"/>
                    <w:textAlignment w:val="center"/>
                    <w:rPr>
                      <w:rFonts w:hint="default" w:ascii="Times New Roman" w:hAnsi="Times New Roman" w:eastAsia="宋体" w:cs="Times New Roman"/>
                      <w:bCs/>
                      <w:snapToGrid w:val="0"/>
                      <w:color w:val="auto"/>
                      <w:kern w:val="2"/>
                      <w:sz w:val="18"/>
                      <w:szCs w:val="18"/>
                      <w:lang w:val="en-US" w:eastAsia="zh-CN" w:bidi="ar-SA"/>
                    </w:rPr>
                  </w:pPr>
                  <w:r>
                    <w:rPr>
                      <w:rFonts w:hint="eastAsia" w:ascii="Times New Roman" w:hAnsi="Times New Roman" w:cs="Times New Roman"/>
                      <w:bCs/>
                      <w:snapToGrid w:val="0"/>
                      <w:color w:val="auto"/>
                      <w:sz w:val="18"/>
                      <w:szCs w:val="18"/>
                      <w:lang w:val="en-US" w:eastAsia="zh-CN"/>
                    </w:rPr>
                    <w:t>/</w:t>
                  </w:r>
                </w:p>
              </w:tc>
              <w:tc>
                <w:tcPr>
                  <w:tcW w:w="513" w:type="pct"/>
                  <w:vMerge w:val="continue"/>
                  <w:tcBorders>
                    <w:tl2br w:val="nil"/>
                    <w:tr2bl w:val="nil"/>
                  </w:tcBorders>
                  <w:noWrap w:val="0"/>
                  <w:vAlign w:val="center"/>
                </w:tcPr>
                <w:p w14:paraId="1231FB89">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492" w:type="pct"/>
                  <w:vMerge w:val="continue"/>
                  <w:tcBorders>
                    <w:tl2br w:val="nil"/>
                    <w:tr2bl w:val="nil"/>
                  </w:tcBorders>
                  <w:noWrap w:val="0"/>
                  <w:vAlign w:val="center"/>
                </w:tcPr>
                <w:p w14:paraId="09C1D577">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917" w:type="pct"/>
                  <w:vMerge w:val="continue"/>
                  <w:tcBorders>
                    <w:tl2br w:val="nil"/>
                    <w:tr2bl w:val="nil"/>
                  </w:tcBorders>
                  <w:noWrap w:val="0"/>
                  <w:vAlign w:val="center"/>
                </w:tcPr>
                <w:p w14:paraId="24CA57B3">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r>
            <w:tr w14:paraId="672EA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36" w:type="pct"/>
                  <w:vMerge w:val="continue"/>
                  <w:tcBorders>
                    <w:tl2br w:val="nil"/>
                    <w:tr2bl w:val="nil"/>
                  </w:tcBorders>
                  <w:noWrap w:val="0"/>
                  <w:vAlign w:val="center"/>
                </w:tcPr>
                <w:p w14:paraId="02E67A85">
                  <w:pPr>
                    <w:adjustRightInd w:val="0"/>
                    <w:snapToGrid w:val="0"/>
                    <w:spacing w:beforeLines="10" w:afterLines="10" w:line="259" w:lineRule="auto"/>
                    <w:jc w:val="center"/>
                    <w:rPr>
                      <w:rFonts w:hint="default" w:ascii="Times New Roman" w:hAnsi="Times New Roman" w:eastAsia="宋体" w:cs="Times New Roman"/>
                      <w:bCs/>
                      <w:snapToGrid w:val="0"/>
                      <w:color w:val="auto"/>
                      <w:sz w:val="18"/>
                      <w:szCs w:val="18"/>
                    </w:rPr>
                  </w:pPr>
                </w:p>
              </w:tc>
              <w:tc>
                <w:tcPr>
                  <w:tcW w:w="612" w:type="pct"/>
                  <w:vMerge w:val="continue"/>
                  <w:tcBorders>
                    <w:tl2br w:val="nil"/>
                    <w:tr2bl w:val="nil"/>
                  </w:tcBorders>
                  <w:noWrap w:val="0"/>
                  <w:vAlign w:val="center"/>
                </w:tcPr>
                <w:p w14:paraId="43091B3D">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543" w:type="pct"/>
                  <w:tcBorders>
                    <w:tl2br w:val="nil"/>
                    <w:tr2bl w:val="nil"/>
                  </w:tcBorders>
                  <w:noWrap w:val="0"/>
                  <w:vAlign w:val="center"/>
                </w:tcPr>
                <w:p w14:paraId="6755F3B2">
                  <w:pPr>
                    <w:widowControl/>
                    <w:adjustRightInd w:val="0"/>
                    <w:snapToGrid w:val="0"/>
                    <w:spacing w:beforeLines="0" w:afterLines="0" w:line="240" w:lineRule="auto"/>
                    <w:jc w:val="center"/>
                    <w:rPr>
                      <w:rFonts w:hint="default" w:ascii="Times New Roman" w:hAnsi="Times New Roman" w:eastAsia="宋体" w:cs="Times New Roman"/>
                      <w:bCs/>
                      <w:color w:val="auto"/>
                      <w:kern w:val="0"/>
                      <w:sz w:val="18"/>
                      <w:szCs w:val="18"/>
                      <w:lang w:val="en-US" w:eastAsia="zh-CN" w:bidi="ar-SA"/>
                    </w:rPr>
                  </w:pPr>
                  <w:r>
                    <w:rPr>
                      <w:rFonts w:hint="eastAsia" w:ascii="Times New Roman" w:hAnsi="Times New Roman" w:eastAsia="宋体" w:cs="Times New Roman"/>
                      <w:bCs/>
                      <w:color w:val="auto"/>
                      <w:kern w:val="0"/>
                      <w:sz w:val="18"/>
                      <w:szCs w:val="18"/>
                      <w:lang w:val="en-US" w:eastAsia="zh-CN" w:bidi="ar-SA"/>
                    </w:rPr>
                    <w:t>丙烯腈</w:t>
                  </w:r>
                </w:p>
              </w:tc>
              <w:tc>
                <w:tcPr>
                  <w:tcW w:w="491" w:type="pct"/>
                  <w:tcBorders>
                    <w:tl2br w:val="nil"/>
                    <w:tr2bl w:val="nil"/>
                  </w:tcBorders>
                  <w:noWrap w:val="0"/>
                  <w:vAlign w:val="center"/>
                </w:tcPr>
                <w:p w14:paraId="6D284C15">
                  <w:pPr>
                    <w:keepNext w:val="0"/>
                    <w:keepLines w:val="0"/>
                    <w:widowControl/>
                    <w:suppressLineNumbers w:val="0"/>
                    <w:jc w:val="center"/>
                    <w:textAlignment w:val="center"/>
                    <w:rPr>
                      <w:rFonts w:hint="default" w:ascii="Times New Roman" w:hAnsi="Times New Roman" w:eastAsia="宋体" w:cs="Times New Roman"/>
                      <w:bCs/>
                      <w:snapToGrid w:val="0"/>
                      <w:color w:val="auto"/>
                      <w:sz w:val="18"/>
                      <w:szCs w:val="18"/>
                    </w:rPr>
                  </w:pPr>
                  <w:r>
                    <w:rPr>
                      <w:rFonts w:hint="eastAsia" w:ascii="Times New Roman" w:hAnsi="Times New Roman" w:cs="Times New Roman"/>
                      <w:bCs/>
                      <w:snapToGrid w:val="0"/>
                      <w:color w:val="auto"/>
                      <w:sz w:val="18"/>
                      <w:szCs w:val="18"/>
                      <w:lang w:val="en-US" w:eastAsia="zh-CN"/>
                    </w:rPr>
                    <w:t>/</w:t>
                  </w:r>
                </w:p>
              </w:tc>
              <w:tc>
                <w:tcPr>
                  <w:tcW w:w="693" w:type="pct"/>
                  <w:tcBorders>
                    <w:tl2br w:val="nil"/>
                    <w:tr2bl w:val="nil"/>
                  </w:tcBorders>
                  <w:noWrap w:val="0"/>
                  <w:vAlign w:val="center"/>
                </w:tcPr>
                <w:p w14:paraId="487A9AAF">
                  <w:pPr>
                    <w:keepNext w:val="0"/>
                    <w:keepLines w:val="0"/>
                    <w:widowControl/>
                    <w:suppressLineNumbers w:val="0"/>
                    <w:jc w:val="center"/>
                    <w:textAlignment w:val="center"/>
                    <w:rPr>
                      <w:rFonts w:hint="default" w:ascii="Times New Roman" w:hAnsi="Times New Roman" w:eastAsia="宋体" w:cs="Times New Roman"/>
                      <w:bCs/>
                      <w:snapToGrid w:val="0"/>
                      <w:color w:val="auto"/>
                      <w:sz w:val="18"/>
                      <w:szCs w:val="18"/>
                    </w:rPr>
                  </w:pPr>
                  <w:r>
                    <w:rPr>
                      <w:rFonts w:hint="eastAsia" w:ascii="Times New Roman" w:hAnsi="Times New Roman" w:cs="Times New Roman"/>
                      <w:bCs/>
                      <w:snapToGrid w:val="0"/>
                      <w:color w:val="auto"/>
                      <w:sz w:val="18"/>
                      <w:szCs w:val="18"/>
                      <w:lang w:val="en-US" w:eastAsia="zh-CN"/>
                    </w:rPr>
                    <w:t>/</w:t>
                  </w:r>
                </w:p>
              </w:tc>
              <w:tc>
                <w:tcPr>
                  <w:tcW w:w="513" w:type="pct"/>
                  <w:vMerge w:val="continue"/>
                  <w:tcBorders>
                    <w:tl2br w:val="nil"/>
                    <w:tr2bl w:val="nil"/>
                  </w:tcBorders>
                  <w:noWrap w:val="0"/>
                  <w:vAlign w:val="center"/>
                </w:tcPr>
                <w:p w14:paraId="38A84DF0">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492" w:type="pct"/>
                  <w:vMerge w:val="continue"/>
                  <w:tcBorders>
                    <w:tl2br w:val="nil"/>
                    <w:tr2bl w:val="nil"/>
                  </w:tcBorders>
                  <w:noWrap w:val="0"/>
                  <w:vAlign w:val="center"/>
                </w:tcPr>
                <w:p w14:paraId="20796522">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917" w:type="pct"/>
                  <w:vMerge w:val="continue"/>
                  <w:tcBorders>
                    <w:tl2br w:val="nil"/>
                    <w:tr2bl w:val="nil"/>
                  </w:tcBorders>
                  <w:noWrap w:val="0"/>
                  <w:vAlign w:val="center"/>
                </w:tcPr>
                <w:p w14:paraId="6026ABCF">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r>
            <w:tr w14:paraId="4CF31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36" w:type="pct"/>
                  <w:vMerge w:val="continue"/>
                  <w:tcBorders>
                    <w:tl2br w:val="nil"/>
                    <w:tr2bl w:val="nil"/>
                  </w:tcBorders>
                  <w:noWrap w:val="0"/>
                  <w:vAlign w:val="center"/>
                </w:tcPr>
                <w:p w14:paraId="26CE6767">
                  <w:pPr>
                    <w:pStyle w:val="26"/>
                    <w:adjustRightInd w:val="0"/>
                    <w:snapToGrid w:val="0"/>
                    <w:spacing w:before="0" w:beforeAutospacing="0" w:after="0" w:afterAutospacing="0"/>
                    <w:jc w:val="center"/>
                    <w:rPr>
                      <w:rFonts w:hint="default" w:ascii="Times New Roman" w:hAnsi="Times New Roman" w:eastAsia="宋体" w:cs="Times New Roman"/>
                      <w:color w:val="auto"/>
                      <w:sz w:val="18"/>
                      <w:szCs w:val="18"/>
                    </w:rPr>
                  </w:pPr>
                </w:p>
              </w:tc>
              <w:tc>
                <w:tcPr>
                  <w:tcW w:w="612" w:type="pct"/>
                  <w:vMerge w:val="continue"/>
                  <w:tcBorders>
                    <w:tl2br w:val="nil"/>
                    <w:tr2bl w:val="nil"/>
                  </w:tcBorders>
                  <w:noWrap w:val="0"/>
                  <w:vAlign w:val="center"/>
                </w:tcPr>
                <w:p w14:paraId="22483721">
                  <w:pPr>
                    <w:pStyle w:val="26"/>
                    <w:adjustRightInd w:val="0"/>
                    <w:snapToGrid w:val="0"/>
                    <w:spacing w:before="0" w:beforeAutospacing="0" w:after="0" w:afterAutospacing="0"/>
                    <w:jc w:val="center"/>
                    <w:rPr>
                      <w:rFonts w:hint="default" w:ascii="Times New Roman" w:hAnsi="Times New Roman" w:eastAsia="宋体" w:cs="Times New Roman"/>
                      <w:color w:val="auto"/>
                      <w:sz w:val="18"/>
                      <w:szCs w:val="18"/>
                    </w:rPr>
                  </w:pPr>
                </w:p>
              </w:tc>
              <w:tc>
                <w:tcPr>
                  <w:tcW w:w="543" w:type="pct"/>
                  <w:tcBorders>
                    <w:tl2br w:val="nil"/>
                    <w:tr2bl w:val="nil"/>
                  </w:tcBorders>
                  <w:noWrap w:val="0"/>
                  <w:vAlign w:val="center"/>
                </w:tcPr>
                <w:p w14:paraId="6483D293">
                  <w:pPr>
                    <w:widowControl/>
                    <w:adjustRightInd w:val="0"/>
                    <w:snapToGrid w:val="0"/>
                    <w:spacing w:beforeLines="0" w:afterLines="0" w:line="240" w:lineRule="auto"/>
                    <w:jc w:val="center"/>
                    <w:rPr>
                      <w:rFonts w:hint="default" w:ascii="Times New Roman" w:hAnsi="Times New Roman" w:eastAsia="宋体" w:cs="Times New Roman"/>
                      <w:bCs/>
                      <w:color w:val="auto"/>
                      <w:kern w:val="0"/>
                      <w:sz w:val="18"/>
                      <w:szCs w:val="18"/>
                      <w:lang w:val="en-US" w:eastAsia="zh-CN" w:bidi="ar-SA"/>
                    </w:rPr>
                  </w:pPr>
                  <w:r>
                    <w:rPr>
                      <w:rFonts w:ascii="Times New Roman" w:hAnsi="Times New Roman" w:eastAsia="宋体" w:cs="Times New Roman"/>
                      <w:bCs/>
                      <w:color w:val="auto"/>
                      <w:kern w:val="0"/>
                      <w:sz w:val="18"/>
                      <w:szCs w:val="18"/>
                      <w:lang w:val="en-US" w:eastAsia="zh-CN" w:bidi="ar-SA"/>
                    </w:rPr>
                    <w:t>1,3-丁二烯</w:t>
                  </w:r>
                </w:p>
              </w:tc>
              <w:tc>
                <w:tcPr>
                  <w:tcW w:w="491" w:type="pct"/>
                  <w:tcBorders>
                    <w:tl2br w:val="nil"/>
                    <w:tr2bl w:val="nil"/>
                  </w:tcBorders>
                  <w:noWrap w:val="0"/>
                  <w:vAlign w:val="center"/>
                </w:tcPr>
                <w:p w14:paraId="40CCA308">
                  <w:pPr>
                    <w:widowControl/>
                    <w:jc w:val="center"/>
                    <w:textAlignment w:val="center"/>
                    <w:rPr>
                      <w:rFonts w:hint="default" w:ascii="Times New Roman" w:hAnsi="Times New Roman" w:eastAsia="宋体" w:cs="Times New Roman"/>
                      <w:bCs/>
                      <w:snapToGrid w:val="0"/>
                      <w:color w:val="auto"/>
                      <w:sz w:val="18"/>
                      <w:szCs w:val="18"/>
                    </w:rPr>
                  </w:pPr>
                  <w:r>
                    <w:rPr>
                      <w:rFonts w:hint="eastAsia" w:ascii="Times New Roman" w:hAnsi="Times New Roman" w:cs="Times New Roman"/>
                      <w:bCs/>
                      <w:snapToGrid w:val="0"/>
                      <w:color w:val="auto"/>
                      <w:sz w:val="18"/>
                      <w:szCs w:val="18"/>
                      <w:lang w:val="en-US" w:eastAsia="zh-CN"/>
                    </w:rPr>
                    <w:t>/</w:t>
                  </w:r>
                </w:p>
              </w:tc>
              <w:tc>
                <w:tcPr>
                  <w:tcW w:w="693" w:type="pct"/>
                  <w:tcBorders>
                    <w:tl2br w:val="nil"/>
                    <w:tr2bl w:val="nil"/>
                  </w:tcBorders>
                  <w:noWrap w:val="0"/>
                  <w:vAlign w:val="center"/>
                </w:tcPr>
                <w:p w14:paraId="2AD5A043">
                  <w:pPr>
                    <w:widowControl/>
                    <w:jc w:val="center"/>
                    <w:textAlignment w:val="center"/>
                    <w:rPr>
                      <w:rFonts w:hint="default" w:ascii="Times New Roman" w:hAnsi="Times New Roman" w:eastAsia="宋体" w:cs="Times New Roman"/>
                      <w:bCs/>
                      <w:snapToGrid w:val="0"/>
                      <w:color w:val="auto"/>
                      <w:sz w:val="18"/>
                      <w:szCs w:val="18"/>
                    </w:rPr>
                  </w:pPr>
                  <w:r>
                    <w:rPr>
                      <w:rFonts w:hint="eastAsia" w:ascii="Times New Roman" w:hAnsi="Times New Roman" w:cs="Times New Roman"/>
                      <w:bCs/>
                      <w:snapToGrid w:val="0"/>
                      <w:color w:val="auto"/>
                      <w:sz w:val="18"/>
                      <w:szCs w:val="18"/>
                      <w:lang w:val="en-US" w:eastAsia="zh-CN"/>
                    </w:rPr>
                    <w:t>/</w:t>
                  </w:r>
                </w:p>
              </w:tc>
              <w:tc>
                <w:tcPr>
                  <w:tcW w:w="513" w:type="pct"/>
                  <w:vMerge w:val="continue"/>
                  <w:tcBorders>
                    <w:tl2br w:val="nil"/>
                    <w:tr2bl w:val="nil"/>
                  </w:tcBorders>
                  <w:noWrap w:val="0"/>
                  <w:vAlign w:val="center"/>
                </w:tcPr>
                <w:p w14:paraId="1374BC33">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492" w:type="pct"/>
                  <w:vMerge w:val="continue"/>
                  <w:tcBorders>
                    <w:tl2br w:val="nil"/>
                    <w:tr2bl w:val="nil"/>
                  </w:tcBorders>
                  <w:noWrap w:val="0"/>
                  <w:vAlign w:val="center"/>
                </w:tcPr>
                <w:p w14:paraId="68ADF95E">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c>
                <w:tcPr>
                  <w:tcW w:w="917" w:type="pct"/>
                  <w:vMerge w:val="continue"/>
                  <w:tcBorders>
                    <w:tl2br w:val="nil"/>
                    <w:tr2bl w:val="nil"/>
                  </w:tcBorders>
                  <w:noWrap w:val="0"/>
                  <w:vAlign w:val="center"/>
                </w:tcPr>
                <w:p w14:paraId="7992627E">
                  <w:pPr>
                    <w:pStyle w:val="26"/>
                    <w:adjustRightInd w:val="0"/>
                    <w:snapToGrid w:val="0"/>
                    <w:spacing w:before="0" w:beforeAutospacing="0" w:after="0" w:afterAutospacing="0"/>
                    <w:jc w:val="center"/>
                    <w:rPr>
                      <w:rFonts w:hint="default" w:ascii="Times New Roman" w:hAnsi="Times New Roman" w:eastAsia="宋体" w:cs="Times New Roman"/>
                      <w:bCs/>
                      <w:snapToGrid w:val="0"/>
                      <w:color w:val="auto"/>
                      <w:sz w:val="18"/>
                      <w:szCs w:val="18"/>
                    </w:rPr>
                  </w:pPr>
                </w:p>
              </w:tc>
            </w:tr>
          </w:tbl>
          <w:p w14:paraId="45A5F7C7">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由上表可见，在非正常工况下，</w:t>
            </w:r>
            <w:r>
              <w:rPr>
                <w:rFonts w:hint="eastAsia" w:ascii="Times New Roman" w:hAnsi="Times New Roman" w:cs="Times New Roman"/>
                <w:color w:val="auto"/>
                <w:szCs w:val="21"/>
                <w:lang w:val="en-US" w:eastAsia="zh-CN"/>
              </w:rPr>
              <w:t>注塑废气排放口也不</w:t>
            </w:r>
            <w:r>
              <w:rPr>
                <w:rFonts w:hint="default" w:ascii="Times New Roman" w:hAnsi="Times New Roman" w:cs="Times New Roman"/>
                <w:color w:val="auto"/>
                <w:szCs w:val="21"/>
                <w:lang w:val="en-US" w:eastAsia="zh-CN"/>
              </w:rPr>
              <w:t>会</w:t>
            </w:r>
            <w:r>
              <w:rPr>
                <w:rFonts w:hint="default" w:ascii="Times New Roman" w:hAnsi="Times New Roman" w:cs="Times New Roman"/>
                <w:color w:val="auto"/>
                <w:szCs w:val="21"/>
              </w:rPr>
              <w:t>出现超标</w:t>
            </w:r>
            <w:r>
              <w:rPr>
                <w:rFonts w:hint="default" w:ascii="Times New Roman" w:hAnsi="Times New Roman" w:cs="Times New Roman"/>
                <w:color w:val="auto"/>
                <w:szCs w:val="21"/>
                <w:lang w:val="en-US" w:eastAsia="zh-CN"/>
              </w:rPr>
              <w:t>排放</w:t>
            </w:r>
            <w:r>
              <w:rPr>
                <w:rFonts w:hint="default" w:ascii="Times New Roman" w:hAnsi="Times New Roman" w:cs="Times New Roman"/>
                <w:color w:val="auto"/>
                <w:szCs w:val="21"/>
              </w:rPr>
              <w:t>的情况，</w:t>
            </w:r>
            <w:r>
              <w:rPr>
                <w:rFonts w:hint="eastAsia" w:ascii="Times New Roman" w:hAnsi="Times New Roman" w:cs="Times New Roman"/>
                <w:color w:val="auto"/>
                <w:szCs w:val="21"/>
                <w:lang w:eastAsia="zh-CN"/>
              </w:rPr>
              <w:t>但</w:t>
            </w:r>
            <w:r>
              <w:rPr>
                <w:rFonts w:hint="default" w:ascii="Times New Roman" w:hAnsi="Times New Roman" w:cs="Times New Roman"/>
                <w:color w:val="auto"/>
                <w:szCs w:val="21"/>
              </w:rPr>
              <w:t>措施发生故障会</w:t>
            </w:r>
            <w:r>
              <w:rPr>
                <w:rFonts w:hint="eastAsia" w:cs="Times New Roman"/>
                <w:color w:val="auto"/>
                <w:szCs w:val="21"/>
                <w:lang w:eastAsia="zh-CN"/>
              </w:rPr>
              <w:t>加重</w:t>
            </w:r>
            <w:r>
              <w:rPr>
                <w:rFonts w:hint="default" w:ascii="Times New Roman" w:hAnsi="Times New Roman" w:cs="Times New Roman"/>
                <w:color w:val="auto"/>
                <w:szCs w:val="21"/>
              </w:rPr>
              <w:t>对环境的污染。评价要求建设单位对环保设施进行定期的巡检，</w:t>
            </w:r>
            <w:r>
              <w:rPr>
                <w:rFonts w:hint="default" w:ascii="Times New Roman" w:hAnsi="Times New Roman" w:cs="Times New Roman"/>
                <w:color w:val="auto"/>
                <w:szCs w:val="21"/>
                <w:lang w:val="en-US" w:eastAsia="zh-CN"/>
              </w:rPr>
              <w:t>废气处理</w:t>
            </w:r>
            <w:r>
              <w:rPr>
                <w:rFonts w:hint="default" w:ascii="Times New Roman" w:hAnsi="Times New Roman" w:cs="Times New Roman"/>
                <w:color w:val="auto"/>
                <w:szCs w:val="21"/>
              </w:rPr>
              <w:t>装置出现异常情况</w:t>
            </w:r>
            <w:r>
              <w:rPr>
                <w:rFonts w:hint="default" w:ascii="Times New Roman" w:hAnsi="Times New Roman" w:cs="Times New Roman"/>
                <w:color w:val="auto"/>
                <w:szCs w:val="21"/>
                <w:lang w:val="en-US" w:eastAsia="zh-CN"/>
              </w:rPr>
              <w:t>需要</w:t>
            </w:r>
            <w:r>
              <w:rPr>
                <w:rFonts w:hint="default" w:ascii="Times New Roman" w:hAnsi="Times New Roman" w:cs="Times New Roman"/>
                <w:color w:val="auto"/>
                <w:szCs w:val="21"/>
              </w:rPr>
              <w:t>及时进行处理，确保环保设施的高效运行，杜绝非正常工况出现。</w:t>
            </w:r>
          </w:p>
          <w:p w14:paraId="497E3BFA">
            <w:pPr>
              <w:spacing w:line="360" w:lineRule="auto"/>
              <w:ind w:firstLine="422" w:firstLineChars="200"/>
              <w:rPr>
                <w:rFonts w:hint="default" w:ascii="Times New Roman" w:hAnsi="Times New Roman" w:cs="Times New Roman"/>
                <w:b/>
                <w:color w:val="auto"/>
                <w:szCs w:val="21"/>
              </w:rPr>
            </w:pPr>
            <w:r>
              <w:rPr>
                <w:rFonts w:hint="default" w:ascii="Times New Roman" w:hAnsi="Times New Roman" w:cs="Times New Roman"/>
                <w:b/>
                <w:color w:val="auto"/>
                <w:szCs w:val="21"/>
              </w:rPr>
              <w:t>（3）监测要求</w:t>
            </w:r>
          </w:p>
          <w:p w14:paraId="6076431B">
            <w:pPr>
              <w:adjustRightInd w:val="0"/>
              <w:snapToGrid w:val="0"/>
              <w:spacing w:line="360" w:lineRule="auto"/>
              <w:ind w:firstLine="380" w:firstLineChars="200"/>
              <w:rPr>
                <w:rFonts w:hint="default" w:ascii="Times New Roman" w:hAnsi="Times New Roman" w:cs="Times New Roman"/>
                <w:color w:val="auto"/>
                <w:szCs w:val="21"/>
              </w:rPr>
            </w:pPr>
            <w:r>
              <w:rPr>
                <w:rFonts w:hint="default" w:ascii="Times New Roman" w:hAnsi="Times New Roman" w:cs="Times New Roman"/>
                <w:bCs/>
                <w:color w:val="auto"/>
                <w:spacing w:val="-10"/>
                <w:szCs w:val="21"/>
                <w:lang w:val="en-US" w:eastAsia="zh-CN"/>
              </w:rPr>
              <w:t>本项目</w:t>
            </w:r>
            <w:r>
              <w:rPr>
                <w:rFonts w:hint="eastAsia" w:cs="Times New Roman"/>
                <w:bCs/>
                <w:color w:val="auto"/>
                <w:spacing w:val="-10"/>
                <w:szCs w:val="21"/>
                <w:lang w:val="en-US" w:eastAsia="zh-CN"/>
              </w:rPr>
              <w:t>行业类别为C2929塑料零件及其他塑料制品制造</w:t>
            </w:r>
            <w:r>
              <w:rPr>
                <w:rFonts w:hint="default" w:ascii="Times New Roman" w:hAnsi="Times New Roman" w:cs="Times New Roman"/>
                <w:bCs/>
                <w:color w:val="auto"/>
                <w:spacing w:val="-10"/>
                <w:szCs w:val="21"/>
                <w:lang w:eastAsia="zh-CN"/>
              </w:rPr>
              <w:t>，</w:t>
            </w:r>
            <w:r>
              <w:rPr>
                <w:rFonts w:hint="default" w:ascii="Times New Roman" w:hAnsi="Times New Roman" w:cs="Times New Roman"/>
                <w:bCs/>
                <w:color w:val="auto"/>
                <w:spacing w:val="-10"/>
                <w:szCs w:val="21"/>
                <w:lang w:val="en-US" w:eastAsia="zh-CN"/>
              </w:rPr>
              <w:t>根据</w:t>
            </w:r>
            <w:r>
              <w:rPr>
                <w:rFonts w:hint="default" w:ascii="Times New Roman" w:hAnsi="Times New Roman" w:eastAsia="宋体" w:cs="Times New Roman"/>
                <w:bCs/>
                <w:color w:val="auto"/>
                <w:spacing w:val="-10"/>
                <w:sz w:val="21"/>
                <w:szCs w:val="21"/>
                <w:lang w:val="en-US" w:eastAsia="zh-CN"/>
              </w:rPr>
              <w:t>《</w:t>
            </w:r>
            <w:r>
              <w:rPr>
                <w:rFonts w:hint="default" w:ascii="Times New Roman" w:hAnsi="Times New Roman" w:cs="Times New Roman"/>
                <w:bCs/>
                <w:color w:val="auto"/>
                <w:spacing w:val="-10"/>
                <w:szCs w:val="21"/>
              </w:rPr>
              <w:t>排污许可证申请与核发技术规范 橡胶和塑料制品工业》（HJ1122--2020）</w:t>
            </w:r>
            <w:r>
              <w:rPr>
                <w:rFonts w:hint="default" w:ascii="Times New Roman" w:hAnsi="Times New Roman" w:cs="Times New Roman"/>
                <w:bCs/>
                <w:color w:val="auto"/>
                <w:spacing w:val="-10"/>
                <w:szCs w:val="21"/>
                <w:lang w:eastAsia="zh-CN"/>
              </w:rPr>
              <w:t>，</w:t>
            </w:r>
            <w:r>
              <w:rPr>
                <w:rFonts w:hint="default" w:ascii="Times New Roman" w:hAnsi="Times New Roman" w:cs="Times New Roman"/>
                <w:bCs/>
                <w:color w:val="auto"/>
                <w:spacing w:val="-10"/>
                <w:szCs w:val="21"/>
              </w:rPr>
              <w:t>废气自行监测主要针对重点管理、简化管理项目。</w:t>
            </w:r>
            <w:r>
              <w:rPr>
                <w:rFonts w:hint="default" w:ascii="Times New Roman" w:hAnsi="Times New Roman" w:cs="Times New Roman"/>
                <w:color w:val="auto"/>
                <w:kern w:val="0"/>
                <w:szCs w:val="21"/>
              </w:rPr>
              <w:t>本标准未</w:t>
            </w:r>
            <w:r>
              <w:rPr>
                <w:rFonts w:hint="default" w:ascii="Times New Roman" w:hAnsi="Times New Roman" w:cs="Times New Roman"/>
                <w:color w:val="auto"/>
                <w:kern w:val="0"/>
                <w:szCs w:val="21"/>
                <w:lang w:eastAsia="zh-CN"/>
              </w:rPr>
              <w:t>作</w:t>
            </w:r>
            <w:r>
              <w:rPr>
                <w:rFonts w:hint="default" w:ascii="Times New Roman" w:hAnsi="Times New Roman" w:cs="Times New Roman"/>
                <w:color w:val="auto"/>
                <w:kern w:val="0"/>
                <w:szCs w:val="21"/>
              </w:rPr>
              <w:t>规定，但排放工业废气、废水或者国家规定的有毒有害污染物的橡胶制品工业排污单位其他产污设施和排放口，参照《排污许可证申请与核发技术规范 总则》（HJ 942）执行。</w:t>
            </w:r>
          </w:p>
          <w:p w14:paraId="55F4D671">
            <w:pPr>
              <w:spacing w:line="360" w:lineRule="auto"/>
              <w:ind w:firstLine="380" w:firstLineChars="200"/>
              <w:rPr>
                <w:rFonts w:hint="default" w:ascii="Times New Roman" w:hAnsi="Times New Roman" w:cs="Times New Roman"/>
                <w:color w:val="auto"/>
                <w:szCs w:val="21"/>
              </w:rPr>
            </w:pPr>
            <w:r>
              <w:rPr>
                <w:rFonts w:hint="default" w:ascii="Times New Roman" w:hAnsi="Times New Roman" w:cs="Times New Roman"/>
                <w:bCs/>
                <w:color w:val="auto"/>
                <w:spacing w:val="-10"/>
                <w:szCs w:val="21"/>
              </w:rPr>
              <w:t>根据《固定污染源排污许可分类管理名录》（2019年版）可知，本项目属于登记管理，故项目参照《排污单位自行监测技术指南 总则》（HJ819-2017）、</w:t>
            </w:r>
            <w:r>
              <w:rPr>
                <w:rFonts w:hint="default" w:ascii="Times New Roman" w:hAnsi="Times New Roman" w:cs="Times New Roman"/>
                <w:color w:val="auto"/>
                <w:szCs w:val="21"/>
              </w:rPr>
              <w:t>《排污单位自行监测技术指南橡胶和塑料制品》</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HJ 1207—2021</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等</w:t>
            </w:r>
            <w:r>
              <w:rPr>
                <w:rFonts w:hint="default" w:ascii="Times New Roman" w:hAnsi="Times New Roman" w:cs="Times New Roman"/>
                <w:bCs/>
                <w:color w:val="auto"/>
                <w:spacing w:val="-10"/>
                <w:szCs w:val="21"/>
              </w:rPr>
              <w:t>要求进行自行监测，</w:t>
            </w:r>
            <w:r>
              <w:rPr>
                <w:rFonts w:hint="default" w:ascii="Times New Roman" w:hAnsi="Times New Roman" w:cs="Times New Roman"/>
                <w:color w:val="auto"/>
                <w:szCs w:val="21"/>
              </w:rPr>
              <w:t>自行监测情况见下表：</w:t>
            </w:r>
          </w:p>
          <w:p w14:paraId="135DF876">
            <w:pPr>
              <w:adjustRightInd w:val="0"/>
              <w:snapToGrid w:val="0"/>
              <w:ind w:firstLine="422" w:firstLineChars="200"/>
              <w:jc w:val="center"/>
              <w:rPr>
                <w:rFonts w:hint="default" w:ascii="Times New Roman" w:hAnsi="Times New Roman" w:cs="Times New Roman"/>
                <w:b/>
                <w:color w:val="auto"/>
              </w:rPr>
            </w:pPr>
            <w:r>
              <w:rPr>
                <w:rFonts w:hint="default" w:ascii="Times New Roman" w:hAnsi="Times New Roman" w:cs="Times New Roman"/>
                <w:b/>
                <w:color w:val="auto"/>
              </w:rPr>
              <w:t>表4-</w:t>
            </w:r>
            <w:r>
              <w:rPr>
                <w:rFonts w:hint="eastAsia" w:ascii="Times New Roman" w:hAnsi="Times New Roman" w:cs="Times New Roman"/>
                <w:b/>
                <w:color w:val="auto"/>
                <w:lang w:val="en-US" w:eastAsia="zh-CN"/>
              </w:rPr>
              <w:t>5</w:t>
            </w:r>
            <w:r>
              <w:rPr>
                <w:rFonts w:hint="default" w:ascii="Times New Roman" w:hAnsi="Times New Roman" w:cs="Times New Roman"/>
                <w:b/>
                <w:color w:val="auto"/>
              </w:rPr>
              <w:t xml:space="preserve">  本项目废气自行监测情况一览表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6"/>
              <w:gridCol w:w="1048"/>
              <w:gridCol w:w="2542"/>
              <w:gridCol w:w="717"/>
              <w:gridCol w:w="2770"/>
            </w:tblGrid>
            <w:tr w14:paraId="3DEC3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191" w:type="pct"/>
                  <w:gridSpan w:val="2"/>
                  <w:noWrap w:val="0"/>
                  <w:vAlign w:val="center"/>
                </w:tcPr>
                <w:p w14:paraId="398C0421">
                  <w:pPr>
                    <w:adjustRightInd w:val="0"/>
                    <w:snapToGrid w:val="0"/>
                    <w:jc w:val="center"/>
                    <w:rPr>
                      <w:rFonts w:hint="default" w:ascii="Times New Roman" w:hAnsi="Times New Roman" w:eastAsia="宋体" w:cs="Times New Roman"/>
                      <w:b/>
                      <w:color w:val="auto"/>
                      <w:sz w:val="18"/>
                      <w:szCs w:val="18"/>
                    </w:rPr>
                  </w:pPr>
                  <w:r>
                    <w:rPr>
                      <w:rFonts w:hint="default" w:ascii="Times New Roman" w:hAnsi="Times New Roman" w:eastAsia="宋体" w:cs="Times New Roman"/>
                      <w:b/>
                      <w:color w:val="auto"/>
                      <w:sz w:val="18"/>
                      <w:szCs w:val="18"/>
                    </w:rPr>
                    <w:t>监测点位</w:t>
                  </w:r>
                </w:p>
              </w:tc>
              <w:tc>
                <w:tcPr>
                  <w:tcW w:w="1606" w:type="pct"/>
                  <w:noWrap w:val="0"/>
                  <w:vAlign w:val="center"/>
                </w:tcPr>
                <w:p w14:paraId="3ABCD648">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监测指标</w:t>
                  </w:r>
                </w:p>
              </w:tc>
              <w:tc>
                <w:tcPr>
                  <w:tcW w:w="453" w:type="pct"/>
                  <w:noWrap w:val="0"/>
                  <w:vAlign w:val="center"/>
                </w:tcPr>
                <w:p w14:paraId="06322843">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监测频次</w:t>
                  </w:r>
                </w:p>
              </w:tc>
              <w:tc>
                <w:tcPr>
                  <w:tcW w:w="1749" w:type="pct"/>
                  <w:noWrap w:val="0"/>
                  <w:vAlign w:val="center"/>
                </w:tcPr>
                <w:p w14:paraId="44B023BE">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执行标准</w:t>
                  </w:r>
                </w:p>
              </w:tc>
            </w:tr>
            <w:tr w14:paraId="5D97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2" w:hRule="atLeast"/>
                <w:jc w:val="center"/>
              </w:trPr>
              <w:tc>
                <w:tcPr>
                  <w:tcW w:w="529" w:type="pct"/>
                  <w:noWrap w:val="0"/>
                  <w:vAlign w:val="center"/>
                </w:tcPr>
                <w:p w14:paraId="12A939CF">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有组织</w:t>
                  </w:r>
                </w:p>
              </w:tc>
              <w:tc>
                <w:tcPr>
                  <w:tcW w:w="662" w:type="pct"/>
                  <w:noWrap w:val="0"/>
                  <w:vAlign w:val="center"/>
                </w:tcPr>
                <w:p w14:paraId="3E8B1879">
                  <w:pPr>
                    <w:adjustRightInd w:val="0"/>
                    <w:snapToGrid w:val="0"/>
                    <w:spacing w:beforeLines="10" w:afterLines="10" w:line="259"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0"/>
                      <w:sz w:val="18"/>
                      <w:szCs w:val="18"/>
                      <w:lang w:val="en-US" w:eastAsia="zh-CN"/>
                    </w:rPr>
                    <w:t>注塑废气排放口</w:t>
                  </w:r>
                </w:p>
              </w:tc>
              <w:tc>
                <w:tcPr>
                  <w:tcW w:w="1606" w:type="pct"/>
                  <w:noWrap w:val="0"/>
                  <w:vAlign w:val="center"/>
                </w:tcPr>
                <w:p w14:paraId="1861CDD7">
                  <w:pPr>
                    <w:pStyle w:val="26"/>
                    <w:jc w:val="center"/>
                    <w:outlineLvl w:val="0"/>
                    <w:rPr>
                      <w:rFonts w:hint="default" w:ascii="Times New Roman" w:hAnsi="Times New Roman" w:eastAsia="宋体" w:cs="Times New Roman"/>
                      <w:color w:val="auto"/>
                      <w:kern w:val="0"/>
                      <w:sz w:val="18"/>
                      <w:szCs w:val="18"/>
                      <w:highlight w:val="none"/>
                      <w:vertAlign w:val="baseline"/>
                      <w:lang w:val="en-US" w:eastAsia="zh-CN" w:bidi="ar-SA"/>
                    </w:rPr>
                  </w:pPr>
                  <w:r>
                    <w:rPr>
                      <w:rFonts w:hint="default" w:ascii="Times New Roman" w:hAnsi="Times New Roman" w:eastAsia="宋体" w:cs="Times New Roman"/>
                      <w:color w:val="auto"/>
                      <w:sz w:val="18"/>
                      <w:szCs w:val="18"/>
                      <w:highlight w:val="none"/>
                      <w:lang w:val="en-US" w:eastAsia="zh-CN"/>
                    </w:rPr>
                    <w:t>非甲烷总烃、苯乙烯、丙烯腈、甲苯、乙苯、颗粒物、</w:t>
                  </w:r>
                  <w:r>
                    <w:rPr>
                      <w:rFonts w:hint="default" w:ascii="Times New Roman" w:hAnsi="Times New Roman" w:eastAsia="宋体" w:cs="Times New Roman"/>
                      <w:color w:val="auto"/>
                      <w:sz w:val="18"/>
                      <w:szCs w:val="18"/>
                      <w:lang w:val="en-US" w:eastAsia="zh-CN"/>
                    </w:rPr>
                    <w:t>1，3-丁二烯</w:t>
                  </w:r>
                  <w:r>
                    <w:rPr>
                      <w:rFonts w:hint="default" w:ascii="Times New Roman" w:hAnsi="Times New Roman" w:eastAsia="宋体" w:cs="Times New Roman"/>
                      <w:color w:val="auto"/>
                      <w:sz w:val="18"/>
                      <w:szCs w:val="18"/>
                      <w:vertAlign w:val="superscript"/>
                      <w:lang w:val="en-US" w:eastAsia="zh-CN"/>
                    </w:rPr>
                    <w:t>①</w:t>
                  </w:r>
                </w:p>
              </w:tc>
              <w:tc>
                <w:tcPr>
                  <w:tcW w:w="453" w:type="pct"/>
                  <w:vMerge w:val="restart"/>
                  <w:noWrap w:val="0"/>
                  <w:vAlign w:val="center"/>
                </w:tcPr>
                <w:p w14:paraId="32A429E3">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验收时监测一次，之后每年一次</w:t>
                  </w:r>
                </w:p>
              </w:tc>
              <w:tc>
                <w:tcPr>
                  <w:tcW w:w="1749" w:type="pct"/>
                  <w:noWrap w:val="0"/>
                  <w:vAlign w:val="center"/>
                </w:tcPr>
                <w:p w14:paraId="1107AF9A">
                  <w:pPr>
                    <w:pStyle w:val="59"/>
                    <w:spacing w:beforeLines="0" w:afterLines="0" w:line="240" w:lineRule="auto"/>
                    <w:ind w:left="0" w:leftChars="0"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2"/>
                      <w:sz w:val="18"/>
                      <w:szCs w:val="18"/>
                      <w:highlight w:val="none"/>
                      <w:lang w:val="en-US" w:eastAsia="zh-CN" w:bidi="ar-SA"/>
                    </w:rPr>
                    <w:t>《</w:t>
                  </w:r>
                  <w:r>
                    <w:rPr>
                      <w:rFonts w:hint="default" w:ascii="Times New Roman" w:hAnsi="Times New Roman" w:eastAsia="宋体" w:cs="Times New Roman"/>
                      <w:color w:val="auto"/>
                      <w:sz w:val="18"/>
                      <w:szCs w:val="18"/>
                      <w:highlight w:val="none"/>
                      <w:lang w:val="en-US" w:eastAsia="zh-CN"/>
                    </w:rPr>
                    <w:t>合成树脂工业污染物排放标准》</w:t>
                  </w:r>
                  <w:r>
                    <w:rPr>
                      <w:rFonts w:hint="default" w:ascii="Times New Roman" w:hAnsi="Times New Roman" w:cs="Times New Roman"/>
                      <w:color w:val="auto"/>
                      <w:sz w:val="18"/>
                      <w:szCs w:val="18"/>
                      <w:highlight w:val="none"/>
                      <w:lang w:val="en-US" w:eastAsia="zh-CN"/>
                    </w:rPr>
                    <w:t>（</w:t>
                  </w:r>
                  <w:r>
                    <w:rPr>
                      <w:rFonts w:hint="eastAsia" w:ascii="Times New Roman" w:cs="Times New Roman"/>
                      <w:color w:val="auto"/>
                      <w:sz w:val="18"/>
                      <w:szCs w:val="18"/>
                      <w:highlight w:val="none"/>
                      <w:lang w:val="en-US" w:eastAsia="zh-CN"/>
                    </w:rPr>
                    <w:t>GB 31572</w:t>
                  </w:r>
                  <w:r>
                    <w:rPr>
                      <w:rFonts w:hint="default" w:ascii="Times New Roman" w:hAnsi="Times New Roman" w:cs="Times New Roman"/>
                      <w:color w:val="auto"/>
                      <w:sz w:val="18"/>
                      <w:szCs w:val="18"/>
                      <w:highlight w:val="none"/>
                      <w:lang w:val="en-US" w:eastAsia="zh-CN"/>
                    </w:rPr>
                    <w:t>-2015（含2024年修改单）</w:t>
                  </w:r>
                </w:p>
              </w:tc>
            </w:tr>
            <w:tr w14:paraId="4987C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8" w:hRule="atLeast"/>
                <w:jc w:val="center"/>
              </w:trPr>
              <w:tc>
                <w:tcPr>
                  <w:tcW w:w="529" w:type="pct"/>
                  <w:vMerge w:val="restart"/>
                  <w:noWrap w:val="0"/>
                  <w:vAlign w:val="center"/>
                </w:tcPr>
                <w:p w14:paraId="3460BA7F">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无组织</w:t>
                  </w:r>
                </w:p>
              </w:tc>
              <w:tc>
                <w:tcPr>
                  <w:tcW w:w="662" w:type="pct"/>
                  <w:noWrap w:val="0"/>
                  <w:vAlign w:val="center"/>
                </w:tcPr>
                <w:p w14:paraId="25EDBF20">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厂界</w:t>
                  </w:r>
                </w:p>
                <w:p w14:paraId="23DF0205">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（上、下风向）</w:t>
                  </w:r>
                </w:p>
              </w:tc>
              <w:tc>
                <w:tcPr>
                  <w:tcW w:w="1606" w:type="pct"/>
                  <w:noWrap w:val="0"/>
                  <w:vAlign w:val="center"/>
                </w:tcPr>
                <w:p w14:paraId="11124C83">
                  <w:pPr>
                    <w:pStyle w:val="115"/>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highlight w:val="none"/>
                      <w:lang w:val="en-US" w:eastAsia="zh-CN"/>
                    </w:rPr>
                    <w:t>非甲烷总烃、甲苯、颗粒物</w:t>
                  </w:r>
                  <w:r>
                    <w:rPr>
                      <w:rFonts w:hint="eastAsia" w:ascii="Times New Roman" w:hAnsi="Times New Roman" w:eastAsia="宋体" w:cs="Times New Roman"/>
                      <w:color w:val="auto"/>
                      <w:sz w:val="18"/>
                      <w:szCs w:val="18"/>
                      <w:vertAlign w:val="baseline"/>
                      <w:lang w:val="en-US" w:eastAsia="zh-CN"/>
                    </w:rPr>
                    <w:t>、</w:t>
                  </w:r>
                  <w:r>
                    <w:rPr>
                      <w:rFonts w:hint="default" w:ascii="Times New Roman" w:hAnsi="Times New Roman" w:eastAsia="宋体" w:cs="Times New Roman"/>
                      <w:color w:val="auto"/>
                      <w:sz w:val="18"/>
                      <w:szCs w:val="18"/>
                    </w:rPr>
                    <w:t>臭气浓度</w:t>
                  </w:r>
                </w:p>
              </w:tc>
              <w:tc>
                <w:tcPr>
                  <w:tcW w:w="453" w:type="pct"/>
                  <w:vMerge w:val="continue"/>
                  <w:noWrap w:val="0"/>
                  <w:vAlign w:val="center"/>
                </w:tcPr>
                <w:p w14:paraId="0843E397">
                  <w:pPr>
                    <w:adjustRightInd w:val="0"/>
                    <w:snapToGrid w:val="0"/>
                    <w:jc w:val="center"/>
                    <w:rPr>
                      <w:rFonts w:hint="default" w:ascii="Times New Roman" w:hAnsi="Times New Roman" w:eastAsia="宋体" w:cs="Times New Roman"/>
                      <w:color w:val="auto"/>
                      <w:sz w:val="18"/>
                      <w:szCs w:val="18"/>
                    </w:rPr>
                  </w:pPr>
                </w:p>
              </w:tc>
              <w:tc>
                <w:tcPr>
                  <w:tcW w:w="1749" w:type="pct"/>
                  <w:noWrap w:val="0"/>
                  <w:vAlign w:val="center"/>
                </w:tcPr>
                <w:p w14:paraId="37769F62">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《合成树脂工业污染物排放标准》</w:t>
                  </w:r>
                  <w:r>
                    <w:rPr>
                      <w:rFonts w:hint="eastAsia" w:cs="Times New Roman"/>
                      <w:color w:val="auto"/>
                      <w:sz w:val="18"/>
                      <w:szCs w:val="18"/>
                      <w:lang w:val="en-US" w:eastAsia="zh-CN"/>
                    </w:rPr>
                    <w:t>（GB 31572-2015），含2024年修改单）</w:t>
                  </w:r>
                  <w:r>
                    <w:rPr>
                      <w:rFonts w:hint="default" w:ascii="Times New Roman" w:hAnsi="Times New Roman" w:eastAsia="宋体" w:cs="Times New Roman"/>
                      <w:color w:val="auto"/>
                      <w:sz w:val="18"/>
                      <w:szCs w:val="18"/>
                      <w:lang w:val="en-US" w:eastAsia="zh-CN"/>
                    </w:rPr>
                    <w:t>表9标准</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《恶臭污染物排放标准》（</w:t>
                  </w:r>
                  <w:r>
                    <w:rPr>
                      <w:rFonts w:hint="eastAsia" w:cs="Times New Roman"/>
                      <w:color w:val="auto"/>
                      <w:sz w:val="18"/>
                      <w:szCs w:val="18"/>
                      <w:lang w:eastAsia="zh-CN"/>
                    </w:rPr>
                    <w:t>GB 1455</w:t>
                  </w:r>
                  <w:r>
                    <w:rPr>
                      <w:rFonts w:hint="default" w:ascii="Times New Roman" w:hAnsi="Times New Roman" w:eastAsia="宋体" w:cs="Times New Roman"/>
                      <w:color w:val="auto"/>
                      <w:sz w:val="18"/>
                      <w:szCs w:val="18"/>
                    </w:rPr>
                    <w:t>4-93）</w:t>
                  </w:r>
                </w:p>
              </w:tc>
            </w:tr>
            <w:tr w14:paraId="459C9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529" w:type="pct"/>
                  <w:vMerge w:val="continue"/>
                  <w:noWrap w:val="0"/>
                  <w:vAlign w:val="top"/>
                </w:tcPr>
                <w:p w14:paraId="76A86307">
                  <w:pPr>
                    <w:adjustRightInd w:val="0"/>
                    <w:snapToGrid w:val="0"/>
                    <w:jc w:val="center"/>
                    <w:rPr>
                      <w:rFonts w:hint="default" w:ascii="Times New Roman" w:hAnsi="Times New Roman" w:eastAsia="宋体" w:cs="Times New Roman"/>
                      <w:color w:val="auto"/>
                      <w:sz w:val="18"/>
                      <w:szCs w:val="18"/>
                    </w:rPr>
                  </w:pPr>
                </w:p>
              </w:tc>
              <w:tc>
                <w:tcPr>
                  <w:tcW w:w="0" w:type="auto"/>
                  <w:noWrap w:val="0"/>
                  <w:vAlign w:val="center"/>
                </w:tcPr>
                <w:p w14:paraId="35090505">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厂房外1m处</w:t>
                  </w:r>
                </w:p>
              </w:tc>
              <w:tc>
                <w:tcPr>
                  <w:tcW w:w="0" w:type="auto"/>
                  <w:noWrap w:val="0"/>
                  <w:vAlign w:val="center"/>
                </w:tcPr>
                <w:p w14:paraId="14D4058B">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非甲烷总烃</w:t>
                  </w:r>
                </w:p>
              </w:tc>
              <w:tc>
                <w:tcPr>
                  <w:tcW w:w="453" w:type="pct"/>
                  <w:vMerge w:val="continue"/>
                  <w:noWrap w:val="0"/>
                  <w:vAlign w:val="center"/>
                </w:tcPr>
                <w:p w14:paraId="724FBAA0">
                  <w:pPr>
                    <w:adjustRightInd w:val="0"/>
                    <w:snapToGrid w:val="0"/>
                    <w:jc w:val="center"/>
                    <w:rPr>
                      <w:rFonts w:hint="default" w:ascii="Times New Roman" w:hAnsi="Times New Roman" w:eastAsia="宋体" w:cs="Times New Roman"/>
                      <w:color w:val="auto"/>
                      <w:kern w:val="2"/>
                      <w:sz w:val="18"/>
                      <w:szCs w:val="18"/>
                      <w:lang w:val="en-US" w:eastAsia="zh-CN" w:bidi="ar-SA"/>
                    </w:rPr>
                  </w:pPr>
                </w:p>
              </w:tc>
              <w:tc>
                <w:tcPr>
                  <w:tcW w:w="1749" w:type="pct"/>
                  <w:noWrap w:val="0"/>
                  <w:vAlign w:val="center"/>
                </w:tcPr>
                <w:p w14:paraId="0BD6764E">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《挥发性有机物无组织排放控制标准》（</w:t>
                  </w:r>
                  <w:r>
                    <w:rPr>
                      <w:rFonts w:hint="eastAsia" w:cs="Times New Roman"/>
                      <w:color w:val="auto"/>
                      <w:sz w:val="18"/>
                      <w:szCs w:val="18"/>
                      <w:lang w:eastAsia="zh-CN"/>
                    </w:rPr>
                    <w:t>GB 37822</w:t>
                  </w:r>
                  <w:r>
                    <w:rPr>
                      <w:rFonts w:hint="default" w:ascii="Times New Roman" w:hAnsi="Times New Roman" w:eastAsia="宋体" w:cs="Times New Roman"/>
                      <w:color w:val="auto"/>
                      <w:sz w:val="18"/>
                      <w:szCs w:val="18"/>
                    </w:rPr>
                    <w:t>-2019）表A.1标准</w:t>
                  </w:r>
                </w:p>
              </w:tc>
            </w:tr>
            <w:tr w14:paraId="79F2F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5"/>
                  <w:noWrap w:val="0"/>
                  <w:vAlign w:val="top"/>
                </w:tcPr>
                <w:p w14:paraId="6465A3D8">
                  <w:pPr>
                    <w:adjustRightInd w:val="0"/>
                    <w:snapToGrid w:val="0"/>
                    <w:jc w:val="both"/>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eastAsia="zh-CN"/>
                    </w:rPr>
                    <w:t>备注：①</w:t>
                  </w:r>
                  <w:r>
                    <w:rPr>
                      <w:rFonts w:hint="default" w:ascii="Times New Roman" w:hAnsi="Times New Roman" w:eastAsia="宋体" w:cs="Times New Roman"/>
                      <w:color w:val="auto"/>
                      <w:sz w:val="18"/>
                      <w:szCs w:val="18"/>
                      <w:lang w:val="en-US" w:eastAsia="zh-CN"/>
                    </w:rPr>
                    <w:t>待国家污染物监测方法标准发布后实施。</w:t>
                  </w:r>
                </w:p>
              </w:tc>
            </w:tr>
          </w:tbl>
          <w:p w14:paraId="28927ED5">
            <w:pPr>
              <w:adjustRightInd w:val="0"/>
              <w:snapToGrid w:val="0"/>
              <w:spacing w:line="360" w:lineRule="auto"/>
              <w:ind w:firstLine="422" w:firstLineChars="200"/>
              <w:rPr>
                <w:rFonts w:hint="default" w:ascii="Times New Roman" w:hAnsi="Times New Roman" w:cs="Times New Roman"/>
                <w:b/>
                <w:color w:val="auto"/>
              </w:rPr>
            </w:pPr>
            <w:r>
              <w:rPr>
                <w:rFonts w:hint="default" w:ascii="Times New Roman" w:hAnsi="Times New Roman" w:cs="Times New Roman"/>
                <w:b/>
                <w:color w:val="auto"/>
              </w:rPr>
              <w:t>（5）排放影响</w:t>
            </w:r>
          </w:p>
          <w:p w14:paraId="13B07073">
            <w:pPr>
              <w:adjustRightInd w:val="0"/>
              <w:snapToGrid w:val="0"/>
              <w:spacing w:line="360" w:lineRule="auto"/>
              <w:ind w:firstLine="380" w:firstLineChars="200"/>
              <w:rPr>
                <w:rFonts w:hint="default" w:ascii="Times New Roman" w:hAnsi="Times New Roman" w:cs="Times New Roman"/>
                <w:color w:val="auto"/>
              </w:rPr>
            </w:pPr>
            <w:r>
              <w:rPr>
                <w:rFonts w:hint="default" w:ascii="Times New Roman" w:hAnsi="Times New Roman" w:cs="Times New Roman"/>
                <w:bCs/>
                <w:color w:val="auto"/>
                <w:spacing w:val="-10"/>
                <w:szCs w:val="21"/>
              </w:rPr>
              <w:t>本项目所在区域环境空气质量属于不达标区，采取大气污染综合</w:t>
            </w:r>
            <w:r>
              <w:rPr>
                <w:rFonts w:hint="default" w:ascii="Times New Roman" w:hAnsi="Times New Roman" w:cs="Times New Roman"/>
                <w:color w:val="auto"/>
              </w:rPr>
              <w:t>治理实施方案后可改善区域环境质量达标情况；</w:t>
            </w:r>
            <w:r>
              <w:rPr>
                <w:rFonts w:hint="default" w:ascii="Times New Roman" w:hAnsi="Times New Roman" w:cs="Times New Roman"/>
                <w:bCs/>
                <w:color w:val="auto"/>
                <w:spacing w:val="-10"/>
                <w:szCs w:val="21"/>
              </w:rPr>
              <w:t>本项目</w:t>
            </w:r>
            <w:r>
              <w:rPr>
                <w:rFonts w:hint="default" w:ascii="Times New Roman" w:hAnsi="Times New Roman" w:cs="Times New Roman"/>
                <w:color w:val="auto"/>
              </w:rPr>
              <w:t>建成后会对项目所在区域排放一定的大气污染物，</w:t>
            </w:r>
            <w:r>
              <w:rPr>
                <w:rFonts w:hint="default" w:ascii="Times New Roman" w:hAnsi="Times New Roman" w:eastAsia="宋体" w:cs="Times New Roman"/>
                <w:color w:val="auto"/>
              </w:rPr>
              <w:t>项目500m范围内大气环境保护目标</w:t>
            </w:r>
            <w:r>
              <w:rPr>
                <w:rFonts w:hint="eastAsia" w:ascii="Times New Roman" w:hAnsi="Times New Roman" w:cs="Times New Roman"/>
                <w:color w:val="auto"/>
                <w:lang w:eastAsia="zh-CN"/>
              </w:rPr>
              <w:t>主要为东侧</w:t>
            </w:r>
            <w:r>
              <w:rPr>
                <w:rFonts w:hint="eastAsia" w:ascii="Times New Roman" w:hAnsi="Times New Roman" w:cs="Times New Roman"/>
                <w:color w:val="auto"/>
                <w:lang w:val="en-US" w:eastAsia="zh-CN"/>
              </w:rPr>
              <w:t>55m</w:t>
            </w:r>
            <w:r>
              <w:rPr>
                <w:rFonts w:hint="eastAsia" w:ascii="Times New Roman" w:hAnsi="Times New Roman" w:cs="Times New Roman"/>
                <w:color w:val="auto"/>
                <w:lang w:eastAsia="zh-CN"/>
              </w:rPr>
              <w:t>的</w:t>
            </w:r>
            <w:r>
              <w:rPr>
                <w:rFonts w:hint="eastAsia" w:ascii="Times New Roman" w:hAnsi="Times New Roman" w:cs="Times New Roman"/>
                <w:color w:val="auto"/>
                <w:lang w:val="en-US" w:eastAsia="zh-CN"/>
              </w:rPr>
              <w:t>合川区凤翔路消防救援站</w:t>
            </w:r>
            <w:r>
              <w:rPr>
                <w:rFonts w:hint="default" w:ascii="Times New Roman" w:hAnsi="Times New Roman" w:cs="Times New Roman"/>
                <w:color w:val="auto"/>
              </w:rPr>
              <w:t>，</w:t>
            </w:r>
            <w:r>
              <w:rPr>
                <w:rFonts w:hint="eastAsia" w:ascii="Times New Roman" w:hAnsi="Times New Roman" w:cs="Times New Roman"/>
                <w:color w:val="auto"/>
                <w:lang w:eastAsia="zh-CN"/>
              </w:rPr>
              <w:t>西南侧</w:t>
            </w:r>
            <w:r>
              <w:rPr>
                <w:rFonts w:hint="eastAsia" w:ascii="Times New Roman" w:hAnsi="Times New Roman" w:cs="Times New Roman"/>
                <w:color w:val="auto"/>
                <w:lang w:val="en-US" w:eastAsia="zh-CN"/>
              </w:rPr>
              <w:t>75m的大坝子居民点、东南侧305m的散户居民、南侧410m处的散户居民、东南侧480m处的散户居民，</w:t>
            </w:r>
            <w:r>
              <w:rPr>
                <w:rFonts w:hint="eastAsia" w:ascii="Times New Roman" w:hAnsi="Times New Roman" w:cs="Times New Roman"/>
                <w:color w:val="auto"/>
                <w:sz w:val="21"/>
                <w:szCs w:val="21"/>
                <w:lang w:eastAsia="zh-CN"/>
              </w:rPr>
              <w:t>但</w:t>
            </w:r>
            <w:r>
              <w:rPr>
                <w:rFonts w:ascii="Times New Roman" w:hAnsi="Times New Roman" w:cs="Times New Roman"/>
                <w:color w:val="auto"/>
                <w:sz w:val="21"/>
                <w:szCs w:val="21"/>
              </w:rPr>
              <w:t>经</w:t>
            </w:r>
            <w:r>
              <w:rPr>
                <w:rFonts w:hint="eastAsia" w:ascii="Times New Roman" w:hAnsi="Times New Roman" w:cs="Times New Roman"/>
                <w:color w:val="auto"/>
                <w:sz w:val="21"/>
                <w:szCs w:val="21"/>
                <w:lang w:eastAsia="zh-CN"/>
              </w:rPr>
              <w:t>核算</w:t>
            </w:r>
            <w:r>
              <w:rPr>
                <w:rFonts w:ascii="Times New Roman" w:hAnsi="Times New Roman" w:cs="Times New Roman"/>
                <w:color w:val="auto"/>
                <w:sz w:val="21"/>
                <w:szCs w:val="21"/>
              </w:rPr>
              <w:t>，本项目废气经处理后能够进行达标排放，故对周边环境影响可接受。</w:t>
            </w:r>
          </w:p>
          <w:p w14:paraId="5BDC0B14">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rPr>
              <w:t>综上，</w:t>
            </w:r>
            <w:r>
              <w:rPr>
                <w:rFonts w:hint="default" w:ascii="Times New Roman" w:hAnsi="Times New Roman" w:cs="Times New Roman"/>
                <w:bCs/>
                <w:color w:val="auto"/>
                <w:spacing w:val="-10"/>
                <w:szCs w:val="21"/>
              </w:rPr>
              <w:t>本项目废气经上述措施处理后，对环境空气影响较小。</w:t>
            </w:r>
          </w:p>
          <w:p w14:paraId="04BD4E54">
            <w:pPr>
              <w:adjustRightInd w:val="0"/>
              <w:snapToGrid w:val="0"/>
              <w:spacing w:line="360" w:lineRule="auto"/>
              <w:rPr>
                <w:rFonts w:hint="default" w:ascii="Times New Roman" w:hAnsi="Times New Roman" w:eastAsia="宋体" w:cs="Times New Roman"/>
                <w:b/>
                <w:bCs/>
                <w:color w:val="auto"/>
                <w:spacing w:val="-10"/>
                <w:szCs w:val="21"/>
              </w:rPr>
            </w:pPr>
            <w:r>
              <w:rPr>
                <w:rFonts w:hint="default" w:ascii="Times New Roman" w:hAnsi="Times New Roman" w:eastAsia="宋体" w:cs="Times New Roman"/>
                <w:b/>
                <w:bCs/>
                <w:color w:val="auto"/>
                <w:spacing w:val="-10"/>
                <w:szCs w:val="21"/>
              </w:rPr>
              <w:t>4.3废水环境影响及保护措施</w:t>
            </w:r>
          </w:p>
          <w:p w14:paraId="5C57BE57">
            <w:pPr>
              <w:adjustRightInd w:val="0"/>
              <w:snapToGrid w:val="0"/>
              <w:spacing w:line="360" w:lineRule="auto"/>
              <w:ind w:firstLine="382" w:firstLineChars="200"/>
              <w:rPr>
                <w:rFonts w:hint="default" w:ascii="Times New Roman" w:hAnsi="Times New Roman" w:eastAsia="宋体" w:cs="Times New Roman"/>
                <w:b/>
                <w:bCs/>
                <w:color w:val="auto"/>
                <w:spacing w:val="-10"/>
                <w:szCs w:val="21"/>
              </w:rPr>
            </w:pPr>
            <w:r>
              <w:rPr>
                <w:rFonts w:hint="default" w:ascii="Times New Roman" w:hAnsi="Times New Roman" w:eastAsia="宋体" w:cs="Times New Roman"/>
                <w:b/>
                <w:bCs/>
                <w:color w:val="auto"/>
                <w:spacing w:val="-10"/>
                <w:szCs w:val="21"/>
              </w:rPr>
              <w:t>（1）给、排水情况</w:t>
            </w:r>
          </w:p>
          <w:p w14:paraId="232FA4AD">
            <w:pPr>
              <w:adjustRightInd w:val="0"/>
              <w:snapToGrid w:val="0"/>
              <w:spacing w:line="360" w:lineRule="auto"/>
              <w:ind w:firstLine="382" w:firstLineChars="200"/>
              <w:rPr>
                <w:rFonts w:hint="default" w:ascii="Times New Roman" w:hAnsi="Times New Roman" w:eastAsia="宋体" w:cs="Times New Roman"/>
                <w:b/>
                <w:bCs/>
                <w:color w:val="auto"/>
                <w:spacing w:val="-10"/>
                <w:szCs w:val="21"/>
              </w:rPr>
            </w:pPr>
            <w:r>
              <w:rPr>
                <w:rFonts w:hint="default" w:ascii="Times New Roman" w:hAnsi="Times New Roman" w:eastAsia="宋体" w:cs="Times New Roman"/>
                <w:b/>
                <w:bCs/>
                <w:color w:val="auto"/>
                <w:spacing w:val="-10"/>
                <w:szCs w:val="21"/>
              </w:rPr>
              <w:t>①生活污水</w:t>
            </w:r>
          </w:p>
          <w:p w14:paraId="0D09D7E9">
            <w:pPr>
              <w:spacing w:line="360" w:lineRule="auto"/>
              <w:ind w:firstLine="48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项目劳动定员</w:t>
            </w:r>
            <w:r>
              <w:rPr>
                <w:rFonts w:hint="eastAsia" w:ascii="Times New Roman" w:hAnsi="Times New Roman" w:cs="Times New Roman"/>
                <w:color w:val="auto"/>
                <w:sz w:val="21"/>
                <w:szCs w:val="21"/>
                <w:lang w:val="en-US" w:eastAsia="zh-CN"/>
              </w:rPr>
              <w:t>10</w:t>
            </w:r>
            <w:r>
              <w:rPr>
                <w:rFonts w:hint="default" w:ascii="Times New Roman" w:hAnsi="Times New Roman" w:eastAsia="宋体" w:cs="Times New Roman"/>
                <w:color w:val="auto"/>
                <w:sz w:val="21"/>
                <w:szCs w:val="21"/>
                <w:lang w:eastAsia="zh-CN"/>
              </w:rPr>
              <w:t>人</w:t>
            </w:r>
            <w:r>
              <w:rPr>
                <w:rFonts w:hint="default" w:ascii="Times New Roman" w:hAnsi="Times New Roman" w:eastAsia="宋体" w:cs="Times New Roman"/>
                <w:color w:val="auto"/>
                <w:sz w:val="21"/>
                <w:szCs w:val="21"/>
              </w:rPr>
              <w:t>，不设食堂、住宿，年工作300天。生活用水量按50L/人•d计，排污系数取0.9，则项目生活用水量为</w:t>
            </w:r>
            <w:r>
              <w:rPr>
                <w:rFonts w:hint="eastAsia" w:ascii="Times New Roman" w:hAnsi="Times New Roman" w:cs="Times New Roman"/>
                <w:color w:val="auto"/>
                <w:sz w:val="21"/>
                <w:szCs w:val="21"/>
                <w:lang w:val="en-US" w:eastAsia="zh-CN"/>
              </w:rPr>
              <w:t>0.5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rPr>
              <w:t>/d（</w:t>
            </w:r>
            <w:r>
              <w:rPr>
                <w:rFonts w:hint="eastAsia" w:ascii="Times New Roman" w:hAnsi="Times New Roman" w:cs="Times New Roman"/>
                <w:color w:val="auto"/>
                <w:sz w:val="21"/>
                <w:szCs w:val="21"/>
                <w:lang w:val="en-US" w:eastAsia="zh-CN"/>
              </w:rPr>
              <w:t>50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rPr>
              <w:t>/a），废水量为</w:t>
            </w:r>
            <w:r>
              <w:rPr>
                <w:rFonts w:hint="eastAsia" w:ascii="Times New Roman" w:hAnsi="Times New Roman" w:cs="Times New Roman"/>
                <w:color w:val="auto"/>
                <w:sz w:val="21"/>
                <w:szCs w:val="21"/>
                <w:lang w:val="en-US" w:eastAsia="zh-CN"/>
              </w:rPr>
              <w:t>0.45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rPr>
              <w:t>/d（</w:t>
            </w:r>
            <w:r>
              <w:rPr>
                <w:rFonts w:hint="eastAsia" w:ascii="Times New Roman" w:hAnsi="Times New Roman" w:cs="Times New Roman"/>
                <w:color w:val="auto"/>
                <w:sz w:val="21"/>
                <w:szCs w:val="21"/>
                <w:lang w:val="en-US" w:eastAsia="zh-CN"/>
              </w:rPr>
              <w:t>135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rPr>
              <w:t>/a）。</w:t>
            </w:r>
          </w:p>
          <w:p w14:paraId="58916F73">
            <w:pPr>
              <w:spacing w:line="360" w:lineRule="auto"/>
              <w:ind w:firstLine="48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项目厂区需要每</w:t>
            </w:r>
            <w:r>
              <w:rPr>
                <w:rFonts w:hint="default" w:ascii="Times New Roman" w:hAnsi="Times New Roman" w:eastAsia="宋体" w:cs="Times New Roman"/>
                <w:color w:val="auto"/>
                <w:sz w:val="21"/>
                <w:szCs w:val="21"/>
                <w:lang w:val="en-US" w:eastAsia="zh-CN"/>
              </w:rPr>
              <w:t>周</w:t>
            </w:r>
            <w:r>
              <w:rPr>
                <w:rFonts w:hint="default" w:ascii="Times New Roman" w:hAnsi="Times New Roman" w:eastAsia="宋体" w:cs="Times New Roman"/>
                <w:color w:val="auto"/>
                <w:sz w:val="21"/>
                <w:szCs w:val="21"/>
              </w:rPr>
              <w:t>对地面进行拖地清洁</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每月按4次考虑</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，项目厂区需要清洁的面积</w:t>
            </w:r>
            <w:r>
              <w:rPr>
                <w:rFonts w:hint="default" w:ascii="Times New Roman" w:hAnsi="Times New Roman" w:eastAsia="宋体" w:cs="Times New Roman"/>
                <w:color w:val="auto"/>
                <w:sz w:val="21"/>
                <w:szCs w:val="21"/>
                <w:lang w:eastAsia="zh-CN"/>
              </w:rPr>
              <w:t>约</w:t>
            </w:r>
            <w:r>
              <w:rPr>
                <w:rFonts w:hint="default" w:ascii="Times New Roman" w:hAnsi="Times New Roman" w:eastAsia="宋体" w:cs="Times New Roman"/>
                <w:color w:val="auto"/>
                <w:sz w:val="21"/>
                <w:szCs w:val="21"/>
              </w:rPr>
              <w:t>为</w:t>
            </w:r>
            <w:r>
              <w:rPr>
                <w:rFonts w:hint="eastAsia" w:ascii="Times New Roman" w:hAnsi="Times New Roman" w:cs="Times New Roman"/>
                <w:color w:val="auto"/>
                <w:sz w:val="21"/>
                <w:szCs w:val="21"/>
                <w:lang w:val="en-US" w:eastAsia="zh-CN"/>
              </w:rPr>
              <w:t>600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eastAsia" w:cs="Times New Roman"/>
                <w:color w:val="auto"/>
                <w:sz w:val="21"/>
                <w:szCs w:val="21"/>
                <w:vertAlign w:val="baseline"/>
                <w:lang w:eastAsia="zh-CN"/>
              </w:rPr>
              <w:t>（</w:t>
            </w:r>
            <w:r>
              <w:rPr>
                <w:rFonts w:hint="eastAsia" w:cs="Times New Roman"/>
                <w:color w:val="auto"/>
                <w:sz w:val="21"/>
                <w:szCs w:val="21"/>
                <w:vertAlign w:val="baseline"/>
                <w:lang w:val="en-US" w:eastAsia="zh-CN"/>
              </w:rPr>
              <w:t>生产区面积减去设备所占区域面积</w:t>
            </w:r>
            <w:r>
              <w:rPr>
                <w:rFonts w:hint="eastAsia" w:cs="Times New Roman"/>
                <w:color w:val="auto"/>
                <w:sz w:val="21"/>
                <w:szCs w:val="21"/>
                <w:vertAlign w:val="baseline"/>
                <w:lang w:eastAsia="zh-CN"/>
              </w:rPr>
              <w:t>）</w:t>
            </w:r>
            <w:r>
              <w:rPr>
                <w:rFonts w:hint="default" w:ascii="Times New Roman" w:hAnsi="Times New Roman" w:eastAsia="宋体" w:cs="Times New Roman"/>
                <w:color w:val="auto"/>
                <w:sz w:val="21"/>
                <w:szCs w:val="21"/>
              </w:rPr>
              <w:t>，单次拖地清洁用水定额按照0.5L/（</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rPr>
              <w:t>.次）计算，则地面清洁废水用量为</w:t>
            </w:r>
            <w:r>
              <w:rPr>
                <w:rFonts w:hint="default" w:ascii="Times New Roman" w:hAnsi="Times New Roman" w:eastAsia="宋体" w:cs="Times New Roman"/>
                <w:color w:val="auto"/>
                <w:sz w:val="21"/>
                <w:szCs w:val="21"/>
                <w:lang w:val="en-US" w:eastAsia="zh-CN"/>
              </w:rPr>
              <w:t>0.0</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8</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/d（</w:t>
            </w:r>
            <w:r>
              <w:rPr>
                <w:rFonts w:hint="eastAsia" w:ascii="Times New Roman" w:hAnsi="Times New Roman" w:cs="Times New Roman"/>
                <w:color w:val="auto"/>
                <w:sz w:val="21"/>
                <w:szCs w:val="21"/>
                <w:lang w:val="en-US" w:eastAsia="zh-CN"/>
              </w:rPr>
              <w:t>14.4</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/a），排污系数取0.9，核算出排水量为</w:t>
            </w:r>
            <w:r>
              <w:rPr>
                <w:rFonts w:hint="default" w:ascii="Times New Roman" w:hAnsi="Times New Roman" w:eastAsia="宋体" w:cs="Times New Roman"/>
                <w:color w:val="auto"/>
                <w:sz w:val="21"/>
                <w:szCs w:val="21"/>
                <w:lang w:val="en-US" w:eastAsia="zh-CN"/>
              </w:rPr>
              <w:t>0.</w:t>
            </w:r>
            <w:r>
              <w:rPr>
                <w:rFonts w:hint="eastAsia" w:ascii="Times New Roman" w:hAnsi="Times New Roman" w:cs="Times New Roman"/>
                <w:color w:val="auto"/>
                <w:sz w:val="21"/>
                <w:szCs w:val="21"/>
                <w:lang w:val="en-US" w:eastAsia="zh-CN"/>
              </w:rPr>
              <w:t>0432</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/d（</w:t>
            </w:r>
            <w:r>
              <w:rPr>
                <w:rFonts w:hint="eastAsia" w:ascii="Times New Roman" w:hAnsi="Times New Roman" w:cs="Times New Roman"/>
                <w:color w:val="auto"/>
                <w:sz w:val="21"/>
                <w:szCs w:val="21"/>
                <w:lang w:val="en-US" w:eastAsia="zh-CN"/>
              </w:rPr>
              <w:t>12.96</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/a）。</w:t>
            </w:r>
          </w:p>
          <w:p w14:paraId="1E2E393A">
            <w:pPr>
              <w:spacing w:line="360" w:lineRule="auto"/>
              <w:ind w:firstLine="422" w:firstLineChars="20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②</w:t>
            </w:r>
            <w:r>
              <w:rPr>
                <w:rFonts w:hint="default" w:ascii="Times New Roman" w:hAnsi="Times New Roman" w:cs="Times New Roman"/>
                <w:b/>
                <w:color w:val="auto"/>
                <w:sz w:val="21"/>
                <w:szCs w:val="21"/>
                <w:lang w:eastAsia="zh-CN"/>
              </w:rPr>
              <w:t>冷却塔</w:t>
            </w:r>
            <w:r>
              <w:rPr>
                <w:rFonts w:hint="default" w:ascii="Times New Roman" w:hAnsi="Times New Roman" w:eastAsia="宋体" w:cs="Times New Roman"/>
                <w:b/>
                <w:color w:val="auto"/>
                <w:sz w:val="21"/>
                <w:szCs w:val="21"/>
                <w:lang w:eastAsia="zh-CN"/>
              </w:rPr>
              <w:t>补充用水</w:t>
            </w:r>
          </w:p>
          <w:p w14:paraId="35FE61B3">
            <w:pPr>
              <w:adjustRightInd w:val="0"/>
              <w:snapToGrid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根据工艺流程描述可知：冷却水通过间接冷却的方式来冷却</w:t>
            </w:r>
            <w:r>
              <w:rPr>
                <w:rFonts w:hint="default" w:ascii="Times New Roman" w:hAnsi="Times New Roman" w:eastAsia="宋体" w:cs="Times New Roman"/>
                <w:color w:val="auto"/>
                <w:sz w:val="21"/>
                <w:szCs w:val="21"/>
                <w:lang w:val="en-US" w:eastAsia="zh-CN"/>
              </w:rPr>
              <w:t>注塑机</w:t>
            </w:r>
            <w:r>
              <w:rPr>
                <w:rFonts w:hint="default" w:ascii="Times New Roman" w:hAnsi="Times New Roman" w:eastAsia="宋体" w:cs="Times New Roman"/>
                <w:color w:val="auto"/>
                <w:sz w:val="21"/>
                <w:szCs w:val="21"/>
                <w:lang w:eastAsia="zh-CN"/>
              </w:rPr>
              <w:t>模具，不与模具直接接触，因此冷却水较为清洁，通过管道输送至</w:t>
            </w:r>
            <w:r>
              <w:rPr>
                <w:rFonts w:hint="default" w:ascii="Times New Roman" w:hAnsi="Times New Roman" w:cs="Times New Roman"/>
                <w:color w:val="auto"/>
                <w:sz w:val="21"/>
                <w:szCs w:val="21"/>
                <w:lang w:eastAsia="zh-CN"/>
              </w:rPr>
              <w:t>冷却塔</w:t>
            </w:r>
            <w:r>
              <w:rPr>
                <w:rFonts w:hint="default" w:ascii="Times New Roman" w:hAnsi="Times New Roman" w:eastAsia="宋体" w:cs="Times New Roman"/>
                <w:color w:val="auto"/>
                <w:sz w:val="21"/>
                <w:szCs w:val="21"/>
                <w:lang w:eastAsia="zh-CN"/>
              </w:rPr>
              <w:t>冷却后循环使用。</w:t>
            </w:r>
            <w:r>
              <w:rPr>
                <w:rFonts w:hint="default" w:ascii="Times New Roman" w:hAnsi="Times New Roman" w:eastAsia="宋体" w:cs="Times New Roman"/>
                <w:color w:val="auto"/>
                <w:sz w:val="21"/>
                <w:szCs w:val="21"/>
              </w:rPr>
              <w:t>根据设备一览表可知，本项目共</w:t>
            </w:r>
            <w:r>
              <w:rPr>
                <w:rFonts w:hint="default" w:ascii="Times New Roman" w:hAnsi="Times New Roman" w:eastAsia="宋体" w:cs="Times New Roman"/>
                <w:color w:val="auto"/>
                <w:sz w:val="21"/>
                <w:szCs w:val="21"/>
                <w:lang w:eastAsia="zh-CN"/>
              </w:rPr>
              <w:t>设置</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台</w:t>
            </w:r>
            <w:r>
              <w:rPr>
                <w:rFonts w:hint="default" w:ascii="Times New Roman" w:hAnsi="Times New Roman" w:cs="Times New Roman"/>
                <w:color w:val="auto"/>
                <w:sz w:val="21"/>
                <w:szCs w:val="21"/>
                <w:lang w:eastAsia="zh-CN"/>
              </w:rPr>
              <w:t>冷却塔</w:t>
            </w:r>
            <w:r>
              <w:rPr>
                <w:rFonts w:hint="default" w:ascii="Times New Roman" w:hAnsi="Times New Roman" w:cs="Times New Roman"/>
                <w:bCs/>
                <w:color w:val="auto"/>
                <w:spacing w:val="-10"/>
                <w:szCs w:val="21"/>
                <w:lang w:val="en-US" w:eastAsia="zh-CN"/>
              </w:rPr>
              <w:t>（并配有1座冷却水池，尺寸约</w:t>
            </w:r>
            <w:r>
              <w:rPr>
                <w:rFonts w:hint="default" w:ascii="Times New Roman" w:hAnsi="Times New Roman" w:cs="Times New Roman"/>
                <w:b w:val="0"/>
                <w:bCs/>
                <w:color w:val="auto"/>
                <w:spacing w:val="-10"/>
                <w:szCs w:val="21"/>
                <w:lang w:val="en-US" w:eastAsia="zh-CN"/>
              </w:rPr>
              <w:t>为</w:t>
            </w:r>
            <w:r>
              <w:rPr>
                <w:rFonts w:hint="default" w:ascii="Times New Roman" w:hAnsi="Times New Roman" w:cs="Times New Roman"/>
                <w:b w:val="0"/>
                <w:bCs/>
                <w:color w:val="auto"/>
                <w:szCs w:val="21"/>
                <w:lang w:val="en-US" w:eastAsia="zh-CN"/>
              </w:rPr>
              <w:t>2</w:t>
            </w:r>
            <w:r>
              <w:rPr>
                <w:rFonts w:hint="default" w:ascii="Times New Roman" w:hAnsi="Times New Roman" w:cs="Times New Roman"/>
                <w:b w:val="0"/>
                <w:bCs/>
                <w:color w:val="auto"/>
                <w:szCs w:val="21"/>
              </w:rPr>
              <w:t>m×</w:t>
            </w:r>
            <w:r>
              <w:rPr>
                <w:rFonts w:hint="default" w:ascii="Times New Roman" w:hAnsi="Times New Roman" w:cs="Times New Roman"/>
                <w:b w:val="0"/>
                <w:bCs/>
                <w:color w:val="auto"/>
                <w:szCs w:val="21"/>
                <w:lang w:val="en-US" w:eastAsia="zh-CN"/>
              </w:rPr>
              <w:t>2</w:t>
            </w:r>
            <w:r>
              <w:rPr>
                <w:rFonts w:hint="default" w:ascii="Times New Roman" w:hAnsi="Times New Roman" w:cs="Times New Roman"/>
                <w:b w:val="0"/>
                <w:bCs/>
                <w:color w:val="auto"/>
                <w:szCs w:val="21"/>
              </w:rPr>
              <w:t>m×</w:t>
            </w:r>
            <w:r>
              <w:rPr>
                <w:rFonts w:hint="default" w:ascii="Times New Roman" w:hAnsi="Times New Roman" w:cs="Times New Roman"/>
                <w:b w:val="0"/>
                <w:bCs/>
                <w:color w:val="auto"/>
                <w:szCs w:val="21"/>
                <w:lang w:val="en-US" w:eastAsia="zh-CN"/>
              </w:rPr>
              <w:t>1.5</w:t>
            </w:r>
            <w:r>
              <w:rPr>
                <w:rFonts w:hint="default" w:ascii="Times New Roman" w:hAnsi="Times New Roman" w:cs="Times New Roman"/>
                <w:b w:val="0"/>
                <w:bCs/>
                <w:color w:val="auto"/>
                <w:szCs w:val="21"/>
              </w:rPr>
              <w:t>m</w:t>
            </w:r>
            <w:r>
              <w:rPr>
                <w:rFonts w:hint="default" w:ascii="Times New Roman" w:hAnsi="Times New Roman" w:cs="Times New Roman"/>
                <w:b w:val="0"/>
                <w:bCs/>
                <w:color w:val="auto"/>
                <w:spacing w:val="-10"/>
                <w:szCs w:val="21"/>
                <w:lang w:val="en-US" w:eastAsia="zh-CN"/>
              </w:rPr>
              <w:t>）</w:t>
            </w:r>
            <w:r>
              <w:rPr>
                <w:rFonts w:hint="default" w:ascii="Times New Roman" w:hAnsi="Times New Roman" w:eastAsia="宋体" w:cs="Times New Roman"/>
                <w:b w:val="0"/>
                <w:bCs/>
                <w:color w:val="auto"/>
                <w:sz w:val="21"/>
                <w:szCs w:val="21"/>
              </w:rPr>
              <w:t>，合计循环水量为</w:t>
            </w:r>
            <w:r>
              <w:rPr>
                <w:rFonts w:hint="eastAsia" w:ascii="Times New Roman" w:hAnsi="Times New Roman" w:cs="Times New Roman"/>
                <w:b w:val="0"/>
                <w:bCs/>
                <w:color w:val="auto"/>
                <w:sz w:val="21"/>
                <w:szCs w:val="21"/>
                <w:lang w:val="en-US" w:eastAsia="zh-CN"/>
              </w:rPr>
              <w:t>8</w:t>
            </w:r>
            <w:r>
              <w:rPr>
                <w:rFonts w:hint="default" w:ascii="Times New Roman" w:hAnsi="Times New Roman" w:eastAsia="宋体" w:cs="Times New Roman"/>
                <w:b w:val="0"/>
                <w:bCs/>
                <w:color w:val="auto"/>
                <w:sz w:val="21"/>
                <w:szCs w:val="21"/>
              </w:rPr>
              <w:t>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/h（</w:t>
            </w:r>
            <w:r>
              <w:rPr>
                <w:rFonts w:hint="eastAsia" w:ascii="Times New Roman" w:hAnsi="Times New Roman" w:cs="Times New Roman"/>
                <w:b w:val="0"/>
                <w:bCs/>
                <w:color w:val="auto"/>
                <w:sz w:val="21"/>
                <w:szCs w:val="21"/>
                <w:lang w:val="en-US" w:eastAsia="zh-CN"/>
              </w:rPr>
              <w:t>192</w:t>
            </w:r>
            <w:r>
              <w:rPr>
                <w:rFonts w:hint="default" w:ascii="Times New Roman" w:hAnsi="Times New Roman" w:eastAsia="宋体" w:cs="Times New Roman"/>
                <w:b w:val="0"/>
                <w:bCs/>
                <w:color w:val="auto"/>
                <w:sz w:val="21"/>
                <w:szCs w:val="21"/>
              </w:rPr>
              <w:t>m</w:t>
            </w:r>
            <w:r>
              <w:rPr>
                <w:rFonts w:hint="default" w:ascii="Times New Roman" w:hAnsi="Times New Roman" w:eastAsia="宋体" w:cs="Times New Roman"/>
                <w:b w:val="0"/>
                <w:bCs/>
                <w:color w:val="auto"/>
                <w:sz w:val="21"/>
                <w:szCs w:val="21"/>
                <w:vertAlign w:val="superscript"/>
              </w:rPr>
              <w:t>3</w:t>
            </w:r>
            <w:r>
              <w:rPr>
                <w:rFonts w:hint="default" w:ascii="Times New Roman" w:hAnsi="Times New Roman" w:eastAsia="宋体" w:cs="Times New Roman"/>
                <w:b w:val="0"/>
                <w:bCs/>
                <w:color w:val="auto"/>
                <w:sz w:val="21"/>
                <w:szCs w:val="21"/>
              </w:rPr>
              <w:t>/d），由于蒸发损耗，将做定期补充，不外排。</w:t>
            </w:r>
            <w:r>
              <w:rPr>
                <w:rFonts w:hint="default" w:ascii="Times New Roman" w:hAnsi="Times New Roman" w:eastAsia="宋体" w:cs="Times New Roman"/>
                <w:color w:val="auto"/>
                <w:sz w:val="21"/>
                <w:szCs w:val="21"/>
              </w:rPr>
              <w:t>每天</w:t>
            </w:r>
            <w:r>
              <w:rPr>
                <w:rFonts w:hint="default" w:ascii="Times New Roman" w:hAnsi="Times New Roman" w:eastAsia="宋体" w:cs="Times New Roman"/>
                <w:color w:val="auto"/>
                <w:sz w:val="21"/>
                <w:szCs w:val="21"/>
                <w:lang w:eastAsia="zh-CN"/>
              </w:rPr>
              <w:t>蒸发</w:t>
            </w:r>
            <w:r>
              <w:rPr>
                <w:rFonts w:hint="default" w:ascii="Times New Roman" w:hAnsi="Times New Roman" w:eastAsia="宋体" w:cs="Times New Roman"/>
                <w:color w:val="auto"/>
                <w:sz w:val="21"/>
                <w:szCs w:val="21"/>
              </w:rPr>
              <w:t>损耗量按</w:t>
            </w:r>
            <w:r>
              <w:rPr>
                <w:rFonts w:hint="default" w:ascii="Times New Roman" w:hAnsi="Times New Roman" w:eastAsia="宋体" w:cs="Times New Roman"/>
                <w:color w:val="auto"/>
                <w:sz w:val="21"/>
                <w:szCs w:val="21"/>
                <w:lang w:eastAsia="zh-CN"/>
              </w:rPr>
              <w:t>循环水量的</w:t>
            </w:r>
            <w:r>
              <w:rPr>
                <w:rFonts w:hint="eastAsia"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rPr>
              <w:t>%计，</w:t>
            </w:r>
            <w:r>
              <w:rPr>
                <w:rFonts w:hint="default" w:ascii="Times New Roman" w:hAnsi="Times New Roman" w:eastAsia="宋体" w:cs="Times New Roman"/>
                <w:color w:val="auto"/>
                <w:sz w:val="21"/>
                <w:szCs w:val="21"/>
                <w:lang w:eastAsia="zh-CN"/>
              </w:rPr>
              <w:t>设备连接自来水，每天自动</w:t>
            </w:r>
            <w:r>
              <w:rPr>
                <w:rFonts w:hint="default" w:ascii="Times New Roman" w:hAnsi="Times New Roman" w:eastAsia="宋体" w:cs="Times New Roman"/>
                <w:color w:val="auto"/>
                <w:sz w:val="21"/>
                <w:szCs w:val="21"/>
              </w:rPr>
              <w:t>补充，则补充水量为</w:t>
            </w:r>
            <w:r>
              <w:rPr>
                <w:rFonts w:hint="eastAsia" w:ascii="Times New Roman" w:hAnsi="Times New Roman" w:cs="Times New Roman"/>
                <w:color w:val="auto"/>
                <w:sz w:val="21"/>
                <w:szCs w:val="21"/>
                <w:lang w:val="en-US" w:eastAsia="zh-CN"/>
              </w:rPr>
              <w:t>3.84</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/d（</w:t>
            </w:r>
            <w:r>
              <w:rPr>
                <w:rFonts w:hint="eastAsia" w:ascii="Times New Roman" w:hAnsi="Times New Roman" w:cs="Times New Roman"/>
                <w:color w:val="auto"/>
                <w:sz w:val="21"/>
                <w:szCs w:val="21"/>
                <w:lang w:val="en-US" w:eastAsia="zh-CN"/>
              </w:rPr>
              <w:t>1152</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/a）。</w:t>
            </w:r>
          </w:p>
          <w:p w14:paraId="2381F5EA">
            <w:pPr>
              <w:adjustRightInd w:val="0"/>
              <w:snapToGrid w:val="0"/>
              <w:ind w:firstLine="422" w:firstLineChars="20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表4-</w:t>
            </w:r>
            <w:r>
              <w:rPr>
                <w:rFonts w:hint="eastAsia" w:ascii="Times New Roman" w:hAnsi="Times New Roman" w:cs="Times New Roman"/>
                <w:b/>
                <w:color w:val="auto"/>
                <w:szCs w:val="21"/>
                <w:lang w:val="en-US" w:eastAsia="zh-CN"/>
              </w:rPr>
              <w:t>6</w:t>
            </w:r>
            <w:r>
              <w:rPr>
                <w:rFonts w:hint="default" w:ascii="Times New Roman" w:hAnsi="Times New Roman" w:eastAsia="宋体" w:cs="Times New Roman"/>
                <w:b/>
                <w:color w:val="auto"/>
                <w:szCs w:val="21"/>
              </w:rPr>
              <w:t xml:space="preserve">  项目给、排水情况一览表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61"/>
              <w:gridCol w:w="1377"/>
              <w:gridCol w:w="1317"/>
              <w:gridCol w:w="831"/>
              <w:gridCol w:w="1130"/>
              <w:gridCol w:w="874"/>
              <w:gridCol w:w="1023"/>
            </w:tblGrid>
            <w:tr w14:paraId="39954E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730" w:type="pct"/>
                  <w:gridSpan w:val="2"/>
                  <w:vMerge w:val="restart"/>
                  <w:noWrap w:val="0"/>
                  <w:vAlign w:val="center"/>
                </w:tcPr>
                <w:p w14:paraId="38A2BA96">
                  <w:pPr>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类别</w:t>
                  </w:r>
                </w:p>
              </w:tc>
              <w:tc>
                <w:tcPr>
                  <w:tcW w:w="832" w:type="pct"/>
                  <w:vMerge w:val="restart"/>
                  <w:noWrap w:val="0"/>
                  <w:vAlign w:val="center"/>
                </w:tcPr>
                <w:p w14:paraId="2894F4B1">
                  <w:pPr>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用水标准</w:t>
                  </w:r>
                </w:p>
              </w:tc>
              <w:tc>
                <w:tcPr>
                  <w:tcW w:w="1239" w:type="pct"/>
                  <w:gridSpan w:val="2"/>
                  <w:noWrap w:val="0"/>
                  <w:tcMar>
                    <w:left w:w="0" w:type="dxa"/>
                    <w:right w:w="0" w:type="dxa"/>
                  </w:tcMar>
                  <w:vAlign w:val="center"/>
                </w:tcPr>
                <w:p w14:paraId="7D58D1CD">
                  <w:pPr>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用量</w:t>
                  </w:r>
                </w:p>
              </w:tc>
              <w:tc>
                <w:tcPr>
                  <w:tcW w:w="1198" w:type="pct"/>
                  <w:gridSpan w:val="2"/>
                  <w:noWrap w:val="0"/>
                  <w:tcMar>
                    <w:left w:w="0" w:type="dxa"/>
                    <w:right w:w="0" w:type="dxa"/>
                  </w:tcMar>
                  <w:vAlign w:val="center"/>
                </w:tcPr>
                <w:p w14:paraId="219833C2">
                  <w:pPr>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排水量</w:t>
                  </w:r>
                </w:p>
              </w:tc>
            </w:tr>
            <w:tr w14:paraId="3147A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1730" w:type="pct"/>
                  <w:gridSpan w:val="2"/>
                  <w:vMerge w:val="continue"/>
                  <w:noWrap w:val="0"/>
                  <w:vAlign w:val="center"/>
                </w:tcPr>
                <w:p w14:paraId="7BB94772">
                  <w:pPr>
                    <w:jc w:val="center"/>
                    <w:rPr>
                      <w:rFonts w:hint="default" w:ascii="Times New Roman" w:hAnsi="Times New Roman" w:eastAsia="宋体" w:cs="Times New Roman"/>
                      <w:bCs/>
                      <w:color w:val="auto"/>
                      <w:sz w:val="18"/>
                      <w:szCs w:val="18"/>
                    </w:rPr>
                  </w:pPr>
                </w:p>
              </w:tc>
              <w:tc>
                <w:tcPr>
                  <w:tcW w:w="832" w:type="pct"/>
                  <w:vMerge w:val="continue"/>
                  <w:noWrap w:val="0"/>
                  <w:vAlign w:val="center"/>
                </w:tcPr>
                <w:p w14:paraId="209350AE">
                  <w:pPr>
                    <w:jc w:val="center"/>
                    <w:rPr>
                      <w:rFonts w:hint="default" w:ascii="Times New Roman" w:hAnsi="Times New Roman" w:eastAsia="宋体" w:cs="Times New Roman"/>
                      <w:bCs/>
                      <w:color w:val="auto"/>
                      <w:sz w:val="18"/>
                      <w:szCs w:val="18"/>
                    </w:rPr>
                  </w:pPr>
                </w:p>
              </w:tc>
              <w:tc>
                <w:tcPr>
                  <w:tcW w:w="525" w:type="pct"/>
                  <w:noWrap w:val="0"/>
                  <w:tcMar>
                    <w:left w:w="0" w:type="dxa"/>
                    <w:right w:w="0" w:type="dxa"/>
                  </w:tcMar>
                  <w:vAlign w:val="center"/>
                </w:tcPr>
                <w:p w14:paraId="58921A1D">
                  <w:pPr>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日用水量（</w:t>
                  </w:r>
                  <w:r>
                    <w:rPr>
                      <w:rFonts w:hint="default" w:ascii="Times New Roman" w:hAnsi="Times New Roman" w:eastAsia="宋体" w:cs="Times New Roman"/>
                      <w:bCs/>
                      <w:color w:val="auto"/>
                      <w:sz w:val="18"/>
                      <w:szCs w:val="18"/>
                      <w:highlight w:val="none"/>
                    </w:rPr>
                    <w:t>m</w:t>
                  </w:r>
                  <w:r>
                    <w:rPr>
                      <w:rFonts w:hint="default" w:ascii="Times New Roman" w:hAnsi="Times New Roman" w:eastAsia="宋体" w:cs="Times New Roman"/>
                      <w:bCs/>
                      <w:color w:val="auto"/>
                      <w:sz w:val="18"/>
                      <w:szCs w:val="18"/>
                      <w:highlight w:val="none"/>
                      <w:vertAlign w:val="superscript"/>
                    </w:rPr>
                    <w:t>3</w:t>
                  </w:r>
                  <w:r>
                    <w:rPr>
                      <w:rFonts w:hint="default" w:ascii="Times New Roman" w:hAnsi="Times New Roman" w:eastAsia="宋体" w:cs="Times New Roman"/>
                      <w:bCs/>
                      <w:color w:val="auto"/>
                      <w:sz w:val="18"/>
                      <w:szCs w:val="18"/>
                    </w:rPr>
                    <w:t>/d）</w:t>
                  </w:r>
                </w:p>
              </w:tc>
              <w:tc>
                <w:tcPr>
                  <w:tcW w:w="714" w:type="pct"/>
                  <w:noWrap w:val="0"/>
                  <w:vAlign w:val="center"/>
                </w:tcPr>
                <w:p w14:paraId="51AA3EA0">
                  <w:pPr>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年用水量</w:t>
                  </w:r>
                </w:p>
                <w:p w14:paraId="0CEF4192">
                  <w:pPr>
                    <w:jc w:val="center"/>
                    <w:rPr>
                      <w:rFonts w:hint="default" w:ascii="Times New Roman" w:hAnsi="Times New Roman" w:eastAsia="宋体" w:cs="Times New Roman"/>
                      <w:bCs/>
                      <w:color w:val="auto"/>
                      <w:sz w:val="18"/>
                      <w:szCs w:val="18"/>
                    </w:rPr>
                  </w:pPr>
                  <w:r>
                    <w:rPr>
                      <w:rFonts w:hint="eastAsia" w:cs="Times New Roman"/>
                      <w:bCs/>
                      <w:color w:val="auto"/>
                      <w:sz w:val="18"/>
                      <w:szCs w:val="18"/>
                      <w:highlight w:val="none"/>
                      <w:lang w:eastAsia="zh-CN"/>
                    </w:rPr>
                    <w:t>(</w:t>
                  </w:r>
                  <w:r>
                    <w:rPr>
                      <w:rFonts w:hint="default" w:ascii="Times New Roman" w:hAnsi="Times New Roman" w:eastAsia="宋体" w:cs="Times New Roman"/>
                      <w:bCs/>
                      <w:color w:val="auto"/>
                      <w:sz w:val="18"/>
                      <w:szCs w:val="18"/>
                      <w:highlight w:val="none"/>
                    </w:rPr>
                    <w:t>m</w:t>
                  </w:r>
                  <w:r>
                    <w:rPr>
                      <w:rFonts w:hint="default" w:ascii="Times New Roman" w:hAnsi="Times New Roman" w:eastAsia="宋体" w:cs="Times New Roman"/>
                      <w:bCs/>
                      <w:color w:val="auto"/>
                      <w:sz w:val="18"/>
                      <w:szCs w:val="18"/>
                      <w:highlight w:val="none"/>
                      <w:vertAlign w:val="superscript"/>
                    </w:rPr>
                    <w:t>3</w:t>
                  </w:r>
                  <w:r>
                    <w:rPr>
                      <w:rFonts w:hint="default" w:ascii="Times New Roman" w:hAnsi="Times New Roman" w:eastAsia="宋体" w:cs="Times New Roman"/>
                      <w:bCs/>
                      <w:color w:val="auto"/>
                      <w:sz w:val="18"/>
                      <w:szCs w:val="18"/>
                    </w:rPr>
                    <w:t>/a</w:t>
                  </w:r>
                  <w:r>
                    <w:rPr>
                      <w:rFonts w:hint="eastAsia" w:cs="Times New Roman"/>
                      <w:bCs/>
                      <w:color w:val="auto"/>
                      <w:sz w:val="18"/>
                      <w:szCs w:val="18"/>
                      <w:lang w:eastAsia="zh-CN"/>
                    </w:rPr>
                    <w:t>)</w:t>
                  </w:r>
                </w:p>
              </w:tc>
              <w:tc>
                <w:tcPr>
                  <w:tcW w:w="552" w:type="pct"/>
                  <w:noWrap w:val="0"/>
                  <w:tcMar>
                    <w:left w:w="0" w:type="dxa"/>
                    <w:right w:w="0" w:type="dxa"/>
                  </w:tcMar>
                  <w:vAlign w:val="center"/>
                </w:tcPr>
                <w:p w14:paraId="0807353C">
                  <w:pPr>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日排水量</w:t>
                  </w:r>
                  <w:r>
                    <w:rPr>
                      <w:rFonts w:hint="default" w:ascii="Times New Roman" w:hAnsi="Times New Roman" w:eastAsia="宋体" w:cs="Times New Roman"/>
                      <w:bCs/>
                      <w:color w:val="auto"/>
                      <w:sz w:val="18"/>
                      <w:szCs w:val="18"/>
                      <w:highlight w:val="none"/>
                      <w:lang w:eastAsia="zh-CN"/>
                    </w:rPr>
                    <w:t>（</w:t>
                  </w:r>
                  <w:r>
                    <w:rPr>
                      <w:rFonts w:hint="default" w:ascii="Times New Roman" w:hAnsi="Times New Roman" w:eastAsia="宋体" w:cs="Times New Roman"/>
                      <w:bCs/>
                      <w:color w:val="auto"/>
                      <w:sz w:val="18"/>
                      <w:szCs w:val="18"/>
                      <w:highlight w:val="none"/>
                    </w:rPr>
                    <w:t>m</w:t>
                  </w:r>
                  <w:r>
                    <w:rPr>
                      <w:rFonts w:hint="default" w:ascii="Times New Roman" w:hAnsi="Times New Roman" w:eastAsia="宋体" w:cs="Times New Roman"/>
                      <w:bCs/>
                      <w:color w:val="auto"/>
                      <w:sz w:val="18"/>
                      <w:szCs w:val="18"/>
                      <w:highlight w:val="none"/>
                      <w:vertAlign w:val="superscript"/>
                    </w:rPr>
                    <w:t>3</w:t>
                  </w:r>
                  <w:r>
                    <w:rPr>
                      <w:rFonts w:hint="default" w:ascii="Times New Roman" w:hAnsi="Times New Roman" w:eastAsia="宋体" w:cs="Times New Roman"/>
                      <w:bCs/>
                      <w:color w:val="auto"/>
                      <w:sz w:val="18"/>
                      <w:szCs w:val="18"/>
                    </w:rPr>
                    <w:t>/d）</w:t>
                  </w:r>
                </w:p>
              </w:tc>
              <w:tc>
                <w:tcPr>
                  <w:tcW w:w="646" w:type="pct"/>
                  <w:noWrap w:val="0"/>
                  <w:vAlign w:val="center"/>
                </w:tcPr>
                <w:p w14:paraId="6FEFD1E1">
                  <w:pPr>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年排水量</w:t>
                  </w:r>
                </w:p>
                <w:p w14:paraId="1CEB48C5">
                  <w:pPr>
                    <w:jc w:val="center"/>
                    <w:rPr>
                      <w:rFonts w:hint="default" w:ascii="Times New Roman" w:hAnsi="Times New Roman" w:eastAsia="宋体" w:cs="Times New Roman"/>
                      <w:bCs/>
                      <w:color w:val="auto"/>
                      <w:sz w:val="18"/>
                      <w:szCs w:val="18"/>
                    </w:rPr>
                  </w:pPr>
                  <w:r>
                    <w:rPr>
                      <w:rFonts w:hint="eastAsia" w:cs="Times New Roman"/>
                      <w:bCs/>
                      <w:color w:val="auto"/>
                      <w:sz w:val="18"/>
                      <w:szCs w:val="18"/>
                      <w:highlight w:val="none"/>
                      <w:lang w:eastAsia="zh-CN"/>
                    </w:rPr>
                    <w:t>(</w:t>
                  </w:r>
                  <w:r>
                    <w:rPr>
                      <w:rFonts w:hint="default" w:ascii="Times New Roman" w:hAnsi="Times New Roman" w:eastAsia="宋体" w:cs="Times New Roman"/>
                      <w:bCs/>
                      <w:color w:val="auto"/>
                      <w:sz w:val="18"/>
                      <w:szCs w:val="18"/>
                      <w:highlight w:val="none"/>
                    </w:rPr>
                    <w:t>m</w:t>
                  </w:r>
                  <w:r>
                    <w:rPr>
                      <w:rFonts w:hint="default" w:ascii="Times New Roman" w:hAnsi="Times New Roman" w:eastAsia="宋体" w:cs="Times New Roman"/>
                      <w:bCs/>
                      <w:color w:val="auto"/>
                      <w:sz w:val="18"/>
                      <w:szCs w:val="18"/>
                      <w:highlight w:val="none"/>
                      <w:vertAlign w:val="superscript"/>
                    </w:rPr>
                    <w:t>3</w:t>
                  </w:r>
                  <w:r>
                    <w:rPr>
                      <w:rFonts w:hint="default" w:ascii="Times New Roman" w:hAnsi="Times New Roman" w:eastAsia="宋体" w:cs="Times New Roman"/>
                      <w:bCs/>
                      <w:color w:val="auto"/>
                      <w:sz w:val="18"/>
                      <w:szCs w:val="18"/>
                    </w:rPr>
                    <w:t>/a</w:t>
                  </w:r>
                  <w:r>
                    <w:rPr>
                      <w:rFonts w:hint="eastAsia" w:cs="Times New Roman"/>
                      <w:bCs/>
                      <w:color w:val="auto"/>
                      <w:sz w:val="18"/>
                      <w:szCs w:val="18"/>
                      <w:lang w:eastAsia="zh-CN"/>
                    </w:rPr>
                    <w:t>)</w:t>
                  </w:r>
                </w:p>
              </w:tc>
            </w:tr>
            <w:tr w14:paraId="372CC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 w:hRule="atLeast"/>
                <w:jc w:val="center"/>
              </w:trPr>
              <w:tc>
                <w:tcPr>
                  <w:tcW w:w="860" w:type="pct"/>
                  <w:vMerge w:val="restart"/>
                  <w:noWrap w:val="0"/>
                  <w:vAlign w:val="center"/>
                </w:tcPr>
                <w:p w14:paraId="4F80850C">
                  <w:pPr>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生活用水</w:t>
                  </w:r>
                </w:p>
              </w:tc>
              <w:tc>
                <w:tcPr>
                  <w:tcW w:w="869" w:type="pct"/>
                  <w:noWrap w:val="0"/>
                  <w:vAlign w:val="center"/>
                </w:tcPr>
                <w:p w14:paraId="375DC78E">
                  <w:pPr>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员工（</w:t>
                  </w:r>
                  <w:r>
                    <w:rPr>
                      <w:rFonts w:hint="eastAsia" w:ascii="Times New Roman" w:hAnsi="Times New Roman" w:cs="Times New Roman"/>
                      <w:bCs/>
                      <w:color w:val="auto"/>
                      <w:sz w:val="18"/>
                      <w:szCs w:val="18"/>
                      <w:lang w:val="en-US" w:eastAsia="zh-CN"/>
                    </w:rPr>
                    <w:t>10</w:t>
                  </w:r>
                  <w:r>
                    <w:rPr>
                      <w:rFonts w:hint="default" w:ascii="Times New Roman" w:hAnsi="Times New Roman" w:eastAsia="宋体" w:cs="Times New Roman"/>
                      <w:bCs/>
                      <w:color w:val="auto"/>
                      <w:sz w:val="18"/>
                      <w:szCs w:val="18"/>
                    </w:rPr>
                    <w:t>）</w:t>
                  </w:r>
                </w:p>
              </w:tc>
              <w:tc>
                <w:tcPr>
                  <w:tcW w:w="832" w:type="pct"/>
                  <w:noWrap w:val="0"/>
                  <w:vAlign w:val="center"/>
                </w:tcPr>
                <w:p w14:paraId="3992D874">
                  <w:pPr>
                    <w:jc w:val="center"/>
                    <w:rPr>
                      <w:rFonts w:hint="default" w:ascii="Times New Roman" w:hAnsi="Times New Roman" w:eastAsia="宋体" w:cs="Times New Roman"/>
                      <w:bCs/>
                      <w:color w:val="auto"/>
                      <w:sz w:val="18"/>
                      <w:szCs w:val="18"/>
                    </w:rPr>
                  </w:pPr>
                  <w:r>
                    <w:rPr>
                      <w:rFonts w:hint="default" w:ascii="Times New Roman" w:hAnsi="Times New Roman" w:eastAsia="宋体" w:cs="Times New Roman"/>
                      <w:bCs/>
                      <w:color w:val="auto"/>
                      <w:sz w:val="18"/>
                      <w:szCs w:val="18"/>
                    </w:rPr>
                    <w:t>50L/人·d</w:t>
                  </w:r>
                </w:p>
              </w:tc>
              <w:tc>
                <w:tcPr>
                  <w:tcW w:w="525" w:type="pct"/>
                  <w:noWrap w:val="0"/>
                  <w:vAlign w:val="center"/>
                </w:tcPr>
                <w:p w14:paraId="00263F20">
                  <w:pPr>
                    <w:jc w:val="center"/>
                    <w:rPr>
                      <w:rFonts w:hint="default" w:ascii="Times New Roman" w:hAnsi="Times New Roman" w:eastAsia="宋体" w:cs="Times New Roman"/>
                      <w:bCs/>
                      <w:color w:val="auto"/>
                      <w:sz w:val="18"/>
                      <w:szCs w:val="18"/>
                      <w:lang w:val="en-US" w:eastAsia="zh-CN"/>
                    </w:rPr>
                  </w:pPr>
                  <w:r>
                    <w:rPr>
                      <w:rFonts w:hint="eastAsia" w:ascii="Times New Roman" w:hAnsi="Times New Roman" w:cs="Times New Roman"/>
                      <w:bCs/>
                      <w:color w:val="auto"/>
                      <w:sz w:val="18"/>
                      <w:szCs w:val="18"/>
                      <w:lang w:val="en-US" w:eastAsia="zh-CN"/>
                    </w:rPr>
                    <w:t>0.5</w:t>
                  </w:r>
                </w:p>
              </w:tc>
              <w:tc>
                <w:tcPr>
                  <w:tcW w:w="714" w:type="pct"/>
                  <w:noWrap w:val="0"/>
                  <w:vAlign w:val="center"/>
                </w:tcPr>
                <w:p w14:paraId="737A3AC2">
                  <w:pPr>
                    <w:jc w:val="center"/>
                    <w:rPr>
                      <w:rFonts w:hint="default" w:ascii="Times New Roman" w:hAnsi="Times New Roman" w:eastAsia="宋体" w:cs="Times New Roman"/>
                      <w:bCs/>
                      <w:color w:val="auto"/>
                      <w:sz w:val="18"/>
                      <w:szCs w:val="18"/>
                      <w:lang w:val="en-US" w:eastAsia="zh-CN"/>
                    </w:rPr>
                  </w:pPr>
                  <w:r>
                    <w:rPr>
                      <w:rFonts w:hint="eastAsia" w:ascii="Times New Roman" w:hAnsi="Times New Roman" w:cs="Times New Roman"/>
                      <w:bCs/>
                      <w:color w:val="auto"/>
                      <w:sz w:val="18"/>
                      <w:szCs w:val="18"/>
                      <w:lang w:val="en-US" w:eastAsia="zh-CN"/>
                    </w:rPr>
                    <w:t>150</w:t>
                  </w:r>
                </w:p>
              </w:tc>
              <w:tc>
                <w:tcPr>
                  <w:tcW w:w="552" w:type="pct"/>
                  <w:noWrap w:val="0"/>
                  <w:vAlign w:val="center"/>
                </w:tcPr>
                <w:p w14:paraId="35941104">
                  <w:pPr>
                    <w:jc w:val="center"/>
                    <w:rPr>
                      <w:rFonts w:hint="default" w:ascii="Times New Roman" w:hAnsi="Times New Roman" w:eastAsia="宋体" w:cs="Times New Roman"/>
                      <w:bCs/>
                      <w:color w:val="auto"/>
                      <w:sz w:val="18"/>
                      <w:szCs w:val="18"/>
                      <w:lang w:val="en-US" w:eastAsia="zh-CN"/>
                    </w:rPr>
                  </w:pPr>
                  <w:r>
                    <w:rPr>
                      <w:rFonts w:hint="eastAsia" w:ascii="Times New Roman" w:hAnsi="Times New Roman" w:cs="Times New Roman"/>
                      <w:bCs/>
                      <w:color w:val="auto"/>
                      <w:sz w:val="18"/>
                      <w:szCs w:val="18"/>
                      <w:lang w:val="en-US" w:eastAsia="zh-CN"/>
                    </w:rPr>
                    <w:t>0.45</w:t>
                  </w:r>
                </w:p>
              </w:tc>
              <w:tc>
                <w:tcPr>
                  <w:tcW w:w="646" w:type="pct"/>
                  <w:noWrap w:val="0"/>
                  <w:vAlign w:val="center"/>
                </w:tcPr>
                <w:p w14:paraId="7D6A7746">
                  <w:pPr>
                    <w:jc w:val="center"/>
                    <w:rPr>
                      <w:rFonts w:hint="default" w:ascii="Times New Roman" w:hAnsi="Times New Roman" w:eastAsia="宋体" w:cs="Times New Roman"/>
                      <w:bCs/>
                      <w:color w:val="auto"/>
                      <w:sz w:val="18"/>
                      <w:szCs w:val="18"/>
                      <w:lang w:val="en-US" w:eastAsia="zh-CN"/>
                    </w:rPr>
                  </w:pPr>
                  <w:r>
                    <w:rPr>
                      <w:rFonts w:hint="eastAsia" w:ascii="Times New Roman" w:hAnsi="Times New Roman" w:cs="Times New Roman"/>
                      <w:bCs/>
                      <w:color w:val="auto"/>
                      <w:sz w:val="18"/>
                      <w:szCs w:val="18"/>
                      <w:lang w:val="en-US" w:eastAsia="zh-CN"/>
                    </w:rPr>
                    <w:t>135</w:t>
                  </w:r>
                </w:p>
              </w:tc>
            </w:tr>
            <w:tr w14:paraId="787FD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 w:hRule="atLeast"/>
                <w:jc w:val="center"/>
              </w:trPr>
              <w:tc>
                <w:tcPr>
                  <w:tcW w:w="860" w:type="pct"/>
                  <w:vMerge w:val="continue"/>
                  <w:noWrap w:val="0"/>
                  <w:vAlign w:val="center"/>
                </w:tcPr>
                <w:p w14:paraId="6E4C9D7C">
                  <w:pPr>
                    <w:jc w:val="center"/>
                    <w:rPr>
                      <w:rFonts w:hint="default" w:ascii="Times New Roman" w:hAnsi="Times New Roman" w:eastAsia="宋体" w:cs="Times New Roman"/>
                      <w:bCs/>
                      <w:color w:val="auto"/>
                      <w:sz w:val="18"/>
                      <w:szCs w:val="18"/>
                    </w:rPr>
                  </w:pPr>
                </w:p>
              </w:tc>
              <w:tc>
                <w:tcPr>
                  <w:tcW w:w="869" w:type="pct"/>
                  <w:noWrap w:val="0"/>
                  <w:vAlign w:val="center"/>
                </w:tcPr>
                <w:p w14:paraId="78018CD9">
                  <w:pPr>
                    <w:jc w:val="center"/>
                    <w:rPr>
                      <w:rFonts w:hint="default" w:ascii="Times New Roman" w:hAnsi="Times New Roman" w:eastAsia="宋体" w:cs="Times New Roman"/>
                      <w:bCs/>
                      <w:color w:val="auto"/>
                      <w:kern w:val="2"/>
                      <w:sz w:val="18"/>
                      <w:szCs w:val="18"/>
                      <w:lang w:val="en-US" w:eastAsia="zh-CN" w:bidi="ar-SA"/>
                    </w:rPr>
                  </w:pPr>
                  <w:r>
                    <w:rPr>
                      <w:rFonts w:hint="default" w:ascii="Times New Roman" w:hAnsi="Times New Roman" w:eastAsia="宋体" w:cs="Times New Roman"/>
                      <w:bCs/>
                      <w:color w:val="auto"/>
                      <w:sz w:val="18"/>
                      <w:szCs w:val="18"/>
                      <w:lang w:eastAsia="zh-CN"/>
                    </w:rPr>
                    <w:t>地面清洁废水</w:t>
                  </w:r>
                </w:p>
              </w:tc>
              <w:tc>
                <w:tcPr>
                  <w:tcW w:w="832" w:type="pct"/>
                  <w:noWrap w:val="0"/>
                  <w:vAlign w:val="center"/>
                </w:tcPr>
                <w:p w14:paraId="3472F4E8">
                  <w:pPr>
                    <w:jc w:val="center"/>
                    <w:rPr>
                      <w:rFonts w:hint="default" w:ascii="Times New Roman" w:hAnsi="Times New Roman" w:eastAsia="宋体" w:cs="Times New Roman"/>
                      <w:bCs/>
                      <w:color w:val="auto"/>
                      <w:kern w:val="2"/>
                      <w:sz w:val="18"/>
                      <w:szCs w:val="18"/>
                      <w:lang w:val="en-US" w:eastAsia="zh-CN" w:bidi="ar-SA"/>
                    </w:rPr>
                  </w:pPr>
                  <w:r>
                    <w:rPr>
                      <w:rFonts w:hint="default" w:ascii="Times New Roman" w:hAnsi="Times New Roman" w:eastAsia="宋体" w:cs="Times New Roman"/>
                      <w:color w:val="auto"/>
                      <w:sz w:val="18"/>
                      <w:szCs w:val="18"/>
                    </w:rPr>
                    <w:t>0.5L/（</w:t>
                  </w:r>
                  <w:r>
                    <w:rPr>
                      <w:rFonts w:hint="default" w:ascii="Times New Roman" w:hAnsi="Times New Roman" w:eastAsia="宋体" w:cs="Times New Roman"/>
                      <w:color w:val="auto"/>
                      <w:sz w:val="18"/>
                      <w:szCs w:val="18"/>
                      <w:highlight w:val="none"/>
                    </w:rPr>
                    <w:t>m</w:t>
                  </w:r>
                  <w:r>
                    <w:rPr>
                      <w:rFonts w:hint="default" w:ascii="Times New Roman" w:hAnsi="Times New Roman" w:eastAsia="宋体" w:cs="Times New Roman"/>
                      <w:color w:val="auto"/>
                      <w:sz w:val="18"/>
                      <w:szCs w:val="18"/>
                      <w:highlight w:val="none"/>
                      <w:vertAlign w:val="superscript"/>
                    </w:rPr>
                    <w:t>2</w:t>
                  </w:r>
                  <w:r>
                    <w:rPr>
                      <w:rFonts w:hint="default" w:ascii="Times New Roman" w:hAnsi="Times New Roman" w:eastAsia="宋体" w:cs="Times New Roman"/>
                      <w:color w:val="auto"/>
                      <w:sz w:val="18"/>
                      <w:szCs w:val="18"/>
                    </w:rPr>
                    <w:t>.次）</w:t>
                  </w:r>
                </w:p>
              </w:tc>
              <w:tc>
                <w:tcPr>
                  <w:tcW w:w="525" w:type="pct"/>
                  <w:noWrap w:val="0"/>
                  <w:vAlign w:val="center"/>
                </w:tcPr>
                <w:p w14:paraId="4CA5588C">
                  <w:pPr>
                    <w:jc w:val="center"/>
                    <w:rPr>
                      <w:rFonts w:hint="default" w:ascii="Times New Roman" w:hAnsi="Times New Roman" w:eastAsia="宋体" w:cs="Times New Roman"/>
                      <w:bCs/>
                      <w:color w:val="auto"/>
                      <w:kern w:val="2"/>
                      <w:sz w:val="18"/>
                      <w:szCs w:val="18"/>
                      <w:lang w:val="en-US" w:eastAsia="zh-CN" w:bidi="ar-SA"/>
                    </w:rPr>
                  </w:pPr>
                  <w:r>
                    <w:rPr>
                      <w:rFonts w:hint="eastAsia" w:ascii="Times New Roman" w:hAnsi="Times New Roman" w:eastAsia="宋体" w:cs="Times New Roman"/>
                      <w:bCs/>
                      <w:color w:val="auto"/>
                      <w:kern w:val="2"/>
                      <w:sz w:val="18"/>
                      <w:szCs w:val="18"/>
                      <w:lang w:val="en-US" w:eastAsia="zh-CN" w:bidi="ar-SA"/>
                    </w:rPr>
                    <w:t>0.048</w:t>
                  </w:r>
                </w:p>
              </w:tc>
              <w:tc>
                <w:tcPr>
                  <w:tcW w:w="714" w:type="pct"/>
                  <w:noWrap w:val="0"/>
                  <w:vAlign w:val="center"/>
                </w:tcPr>
                <w:p w14:paraId="2CD685D8">
                  <w:pPr>
                    <w:jc w:val="center"/>
                    <w:rPr>
                      <w:rFonts w:hint="default" w:ascii="Times New Roman" w:hAnsi="Times New Roman" w:eastAsia="宋体" w:cs="Times New Roman"/>
                      <w:bCs/>
                      <w:color w:val="auto"/>
                      <w:kern w:val="2"/>
                      <w:sz w:val="18"/>
                      <w:szCs w:val="18"/>
                      <w:lang w:val="en-US" w:eastAsia="zh-CN" w:bidi="ar-SA"/>
                    </w:rPr>
                  </w:pPr>
                  <w:r>
                    <w:rPr>
                      <w:rFonts w:hint="eastAsia" w:ascii="Times New Roman" w:hAnsi="Times New Roman" w:eastAsia="宋体" w:cs="Times New Roman"/>
                      <w:bCs/>
                      <w:color w:val="auto"/>
                      <w:kern w:val="2"/>
                      <w:sz w:val="18"/>
                      <w:szCs w:val="18"/>
                      <w:lang w:val="en-US" w:eastAsia="zh-CN" w:bidi="ar-SA"/>
                    </w:rPr>
                    <w:t>14.4</w:t>
                  </w:r>
                </w:p>
              </w:tc>
              <w:tc>
                <w:tcPr>
                  <w:tcW w:w="552" w:type="pct"/>
                  <w:noWrap w:val="0"/>
                  <w:vAlign w:val="center"/>
                </w:tcPr>
                <w:p w14:paraId="353BF3F5">
                  <w:pPr>
                    <w:jc w:val="center"/>
                    <w:rPr>
                      <w:rFonts w:hint="default" w:ascii="Times New Roman" w:hAnsi="Times New Roman" w:eastAsia="宋体" w:cs="Times New Roman"/>
                      <w:bCs/>
                      <w:color w:val="auto"/>
                      <w:kern w:val="2"/>
                      <w:sz w:val="18"/>
                      <w:szCs w:val="18"/>
                      <w:lang w:val="en-US" w:eastAsia="zh-CN" w:bidi="ar-SA"/>
                    </w:rPr>
                  </w:pPr>
                  <w:r>
                    <w:rPr>
                      <w:rFonts w:hint="eastAsia" w:ascii="Times New Roman" w:hAnsi="Times New Roman" w:eastAsia="宋体" w:cs="Times New Roman"/>
                      <w:bCs/>
                      <w:color w:val="auto"/>
                      <w:kern w:val="2"/>
                      <w:sz w:val="18"/>
                      <w:szCs w:val="18"/>
                      <w:lang w:val="en-US" w:eastAsia="zh-CN" w:bidi="ar-SA"/>
                    </w:rPr>
                    <w:t>0.0432</w:t>
                  </w:r>
                </w:p>
              </w:tc>
              <w:tc>
                <w:tcPr>
                  <w:tcW w:w="646" w:type="pct"/>
                  <w:noWrap w:val="0"/>
                  <w:vAlign w:val="center"/>
                </w:tcPr>
                <w:p w14:paraId="759DBB12">
                  <w:pPr>
                    <w:jc w:val="center"/>
                    <w:rPr>
                      <w:rFonts w:hint="default" w:ascii="Times New Roman" w:hAnsi="Times New Roman" w:eastAsia="宋体" w:cs="Times New Roman"/>
                      <w:bCs/>
                      <w:color w:val="auto"/>
                      <w:kern w:val="2"/>
                      <w:sz w:val="18"/>
                      <w:szCs w:val="18"/>
                      <w:lang w:val="en-US" w:eastAsia="zh-CN" w:bidi="ar-SA"/>
                    </w:rPr>
                  </w:pPr>
                  <w:r>
                    <w:rPr>
                      <w:rFonts w:hint="eastAsia" w:ascii="Times New Roman" w:hAnsi="Times New Roman" w:eastAsia="宋体" w:cs="Times New Roman"/>
                      <w:bCs/>
                      <w:color w:val="auto"/>
                      <w:kern w:val="2"/>
                      <w:sz w:val="18"/>
                      <w:szCs w:val="18"/>
                      <w:lang w:val="en-US" w:eastAsia="zh-CN" w:bidi="ar-SA"/>
                    </w:rPr>
                    <w:t>12.96</w:t>
                  </w:r>
                </w:p>
              </w:tc>
            </w:tr>
            <w:tr w14:paraId="260E8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 w:hRule="atLeast"/>
                <w:jc w:val="center"/>
              </w:trPr>
              <w:tc>
                <w:tcPr>
                  <w:tcW w:w="860" w:type="pct"/>
                  <w:noWrap w:val="0"/>
                  <w:vAlign w:val="center"/>
                </w:tcPr>
                <w:p w14:paraId="770F02A3">
                  <w:pPr>
                    <w:jc w:val="center"/>
                    <w:rPr>
                      <w:rFonts w:hint="default" w:ascii="Times New Roman" w:hAnsi="Times New Roman" w:eastAsia="宋体" w:cs="Times New Roman"/>
                      <w:bCs/>
                      <w:color w:val="auto"/>
                      <w:sz w:val="18"/>
                      <w:szCs w:val="18"/>
                      <w:lang w:eastAsia="zh-CN"/>
                    </w:rPr>
                  </w:pPr>
                  <w:r>
                    <w:rPr>
                      <w:rFonts w:hint="default" w:ascii="Times New Roman" w:hAnsi="Times New Roman" w:cs="Times New Roman"/>
                      <w:bCs/>
                      <w:color w:val="auto"/>
                      <w:sz w:val="18"/>
                      <w:szCs w:val="18"/>
                      <w:lang w:eastAsia="zh-CN"/>
                    </w:rPr>
                    <w:t>冷却塔</w:t>
                  </w:r>
                </w:p>
              </w:tc>
              <w:tc>
                <w:tcPr>
                  <w:tcW w:w="869" w:type="pct"/>
                  <w:noWrap w:val="0"/>
                  <w:vAlign w:val="center"/>
                </w:tcPr>
                <w:p w14:paraId="7C724365">
                  <w:pPr>
                    <w:jc w:val="center"/>
                    <w:rPr>
                      <w:rFonts w:hint="default" w:ascii="Times New Roman" w:hAnsi="Times New Roman" w:eastAsia="宋体" w:cs="Times New Roman"/>
                      <w:bCs/>
                      <w:color w:val="auto"/>
                      <w:sz w:val="18"/>
                      <w:szCs w:val="18"/>
                      <w:vertAlign w:val="baseline"/>
                      <w:lang w:val="en-US" w:eastAsia="zh-CN"/>
                    </w:rPr>
                  </w:pPr>
                  <w:r>
                    <w:rPr>
                      <w:rFonts w:hint="default" w:ascii="Times New Roman" w:hAnsi="Times New Roman" w:eastAsia="宋体" w:cs="Times New Roman"/>
                      <w:bCs/>
                      <w:color w:val="auto"/>
                      <w:sz w:val="18"/>
                      <w:szCs w:val="18"/>
                      <w:vertAlign w:val="baseline"/>
                      <w:lang w:val="en-US" w:eastAsia="zh-CN"/>
                    </w:rPr>
                    <w:t>补充用水</w:t>
                  </w:r>
                </w:p>
              </w:tc>
              <w:tc>
                <w:tcPr>
                  <w:tcW w:w="832" w:type="pct"/>
                  <w:noWrap w:val="0"/>
                  <w:vAlign w:val="center"/>
                </w:tcPr>
                <w:p w14:paraId="27D0B7E3">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8</w:t>
                  </w:r>
                  <w:r>
                    <w:rPr>
                      <w:rFonts w:hint="default" w:ascii="Times New Roman" w:hAnsi="Times New Roman" w:eastAsia="宋体" w:cs="Times New Roman"/>
                      <w:color w:val="auto"/>
                      <w:sz w:val="18"/>
                      <w:szCs w:val="18"/>
                    </w:rPr>
                    <w:t>m</w:t>
                  </w:r>
                  <w:r>
                    <w:rPr>
                      <w:rFonts w:hint="default" w:ascii="Times New Roman" w:hAnsi="Times New Roman" w:eastAsia="宋体" w:cs="Times New Roman"/>
                      <w:color w:val="auto"/>
                      <w:sz w:val="18"/>
                      <w:szCs w:val="18"/>
                      <w:vertAlign w:val="superscript"/>
                    </w:rPr>
                    <w:t>3</w:t>
                  </w:r>
                  <w:r>
                    <w:rPr>
                      <w:rFonts w:hint="default" w:ascii="Times New Roman" w:hAnsi="Times New Roman" w:eastAsia="宋体" w:cs="Times New Roman"/>
                      <w:color w:val="auto"/>
                      <w:sz w:val="18"/>
                      <w:szCs w:val="18"/>
                    </w:rPr>
                    <w:t>/d</w:t>
                  </w:r>
                </w:p>
              </w:tc>
              <w:tc>
                <w:tcPr>
                  <w:tcW w:w="525" w:type="pct"/>
                  <w:noWrap w:val="0"/>
                  <w:vAlign w:val="center"/>
                </w:tcPr>
                <w:p w14:paraId="4365FA3A">
                  <w:pPr>
                    <w:jc w:val="center"/>
                    <w:rPr>
                      <w:rFonts w:hint="default" w:ascii="Times New Roman" w:hAnsi="Times New Roman" w:eastAsia="宋体" w:cs="Times New Roman"/>
                      <w:bCs/>
                      <w:color w:val="auto"/>
                      <w:sz w:val="18"/>
                      <w:szCs w:val="18"/>
                      <w:lang w:val="en-US" w:eastAsia="zh-CN"/>
                    </w:rPr>
                  </w:pPr>
                  <w:r>
                    <w:rPr>
                      <w:rFonts w:hint="eastAsia" w:ascii="Times New Roman" w:hAnsi="Times New Roman" w:eastAsia="宋体" w:cs="Times New Roman"/>
                      <w:bCs/>
                      <w:color w:val="auto"/>
                      <w:sz w:val="18"/>
                      <w:szCs w:val="18"/>
                      <w:lang w:val="en-US" w:eastAsia="zh-CN"/>
                    </w:rPr>
                    <w:t>3.84</w:t>
                  </w:r>
                </w:p>
              </w:tc>
              <w:tc>
                <w:tcPr>
                  <w:tcW w:w="714" w:type="pct"/>
                  <w:noWrap w:val="0"/>
                  <w:vAlign w:val="center"/>
                </w:tcPr>
                <w:p w14:paraId="5FD654CB">
                  <w:pPr>
                    <w:jc w:val="center"/>
                    <w:rPr>
                      <w:rFonts w:hint="default" w:ascii="Times New Roman" w:hAnsi="Times New Roman" w:eastAsia="宋体" w:cs="Times New Roman"/>
                      <w:bCs/>
                      <w:color w:val="auto"/>
                      <w:sz w:val="18"/>
                      <w:szCs w:val="18"/>
                      <w:lang w:val="en-US" w:eastAsia="zh-CN"/>
                    </w:rPr>
                  </w:pPr>
                  <w:r>
                    <w:rPr>
                      <w:rFonts w:hint="eastAsia" w:ascii="Times New Roman" w:hAnsi="Times New Roman" w:eastAsia="宋体" w:cs="Times New Roman"/>
                      <w:bCs/>
                      <w:color w:val="auto"/>
                      <w:sz w:val="18"/>
                      <w:szCs w:val="18"/>
                      <w:lang w:val="en-US" w:eastAsia="zh-CN"/>
                    </w:rPr>
                    <w:t>1152</w:t>
                  </w:r>
                </w:p>
              </w:tc>
              <w:tc>
                <w:tcPr>
                  <w:tcW w:w="552" w:type="pct"/>
                  <w:noWrap w:val="0"/>
                  <w:vAlign w:val="center"/>
                </w:tcPr>
                <w:p w14:paraId="0291AB94">
                  <w:pPr>
                    <w:jc w:val="center"/>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bCs/>
                      <w:color w:val="auto"/>
                      <w:sz w:val="18"/>
                      <w:szCs w:val="18"/>
                      <w:lang w:val="en-US" w:eastAsia="zh-CN"/>
                    </w:rPr>
                    <w:t>/</w:t>
                  </w:r>
                </w:p>
              </w:tc>
              <w:tc>
                <w:tcPr>
                  <w:tcW w:w="646" w:type="pct"/>
                  <w:noWrap w:val="0"/>
                  <w:vAlign w:val="center"/>
                </w:tcPr>
                <w:p w14:paraId="233A7ED0">
                  <w:pPr>
                    <w:jc w:val="center"/>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bCs/>
                      <w:color w:val="auto"/>
                      <w:sz w:val="18"/>
                      <w:szCs w:val="18"/>
                      <w:lang w:val="en-US" w:eastAsia="zh-CN"/>
                    </w:rPr>
                    <w:t>/</w:t>
                  </w:r>
                </w:p>
              </w:tc>
            </w:tr>
            <w:tr w14:paraId="1BEEE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 w:hRule="atLeast"/>
                <w:jc w:val="center"/>
              </w:trPr>
              <w:tc>
                <w:tcPr>
                  <w:tcW w:w="2562" w:type="pct"/>
                  <w:gridSpan w:val="3"/>
                  <w:noWrap w:val="0"/>
                  <w:vAlign w:val="center"/>
                </w:tcPr>
                <w:p w14:paraId="26C04EF6">
                  <w:pPr>
                    <w:jc w:val="center"/>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color w:val="auto"/>
                      <w:sz w:val="18"/>
                      <w:szCs w:val="18"/>
                    </w:rPr>
                    <w:t>合计</w:t>
                  </w:r>
                </w:p>
              </w:tc>
              <w:tc>
                <w:tcPr>
                  <w:tcW w:w="525" w:type="pct"/>
                  <w:noWrap w:val="0"/>
                  <w:vAlign w:val="center"/>
                </w:tcPr>
                <w:p w14:paraId="043AE77E">
                  <w:pPr>
                    <w:jc w:val="center"/>
                    <w:rPr>
                      <w:rFonts w:hint="default" w:ascii="Times New Roman" w:hAnsi="Times New Roman" w:eastAsia="宋体" w:cs="Times New Roman"/>
                      <w:b/>
                      <w:bCs w:val="0"/>
                      <w:color w:val="auto"/>
                      <w:kern w:val="2"/>
                      <w:sz w:val="18"/>
                      <w:szCs w:val="18"/>
                      <w:lang w:val="en-US" w:eastAsia="zh-CN" w:bidi="ar-SA"/>
                    </w:rPr>
                  </w:pPr>
                  <w:r>
                    <w:rPr>
                      <w:rFonts w:hint="eastAsia" w:ascii="Times New Roman" w:hAnsi="Times New Roman" w:eastAsia="宋体" w:cs="Times New Roman"/>
                      <w:b/>
                      <w:bCs w:val="0"/>
                      <w:color w:val="auto"/>
                      <w:kern w:val="2"/>
                      <w:sz w:val="18"/>
                      <w:szCs w:val="18"/>
                      <w:lang w:val="en-US" w:eastAsia="zh-CN" w:bidi="ar-SA"/>
                    </w:rPr>
                    <w:t>4.388</w:t>
                  </w:r>
                </w:p>
              </w:tc>
              <w:tc>
                <w:tcPr>
                  <w:tcW w:w="714" w:type="pct"/>
                  <w:noWrap w:val="0"/>
                  <w:vAlign w:val="center"/>
                </w:tcPr>
                <w:p w14:paraId="09DBABBC">
                  <w:pPr>
                    <w:jc w:val="center"/>
                    <w:rPr>
                      <w:rFonts w:hint="default" w:ascii="Times New Roman" w:hAnsi="Times New Roman" w:eastAsia="宋体" w:cs="Times New Roman"/>
                      <w:b/>
                      <w:bCs w:val="0"/>
                      <w:color w:val="auto"/>
                      <w:kern w:val="2"/>
                      <w:sz w:val="18"/>
                      <w:szCs w:val="18"/>
                      <w:lang w:val="en-US" w:eastAsia="zh-CN" w:bidi="ar-SA"/>
                    </w:rPr>
                  </w:pPr>
                  <w:r>
                    <w:rPr>
                      <w:rFonts w:hint="eastAsia" w:ascii="Times New Roman" w:hAnsi="Times New Roman" w:eastAsia="宋体" w:cs="Times New Roman"/>
                      <w:b/>
                      <w:bCs w:val="0"/>
                      <w:color w:val="auto"/>
                      <w:kern w:val="2"/>
                      <w:sz w:val="18"/>
                      <w:szCs w:val="18"/>
                      <w:lang w:val="en-US" w:eastAsia="zh-CN" w:bidi="ar-SA"/>
                    </w:rPr>
                    <w:t>1316.4</w:t>
                  </w:r>
                </w:p>
              </w:tc>
              <w:tc>
                <w:tcPr>
                  <w:tcW w:w="552" w:type="pct"/>
                  <w:noWrap w:val="0"/>
                  <w:vAlign w:val="center"/>
                </w:tcPr>
                <w:p w14:paraId="3248D54F">
                  <w:pPr>
                    <w:jc w:val="center"/>
                    <w:rPr>
                      <w:rFonts w:hint="default" w:ascii="Times New Roman" w:hAnsi="Times New Roman" w:eastAsia="宋体" w:cs="Times New Roman"/>
                      <w:b/>
                      <w:bCs w:val="0"/>
                      <w:color w:val="auto"/>
                      <w:kern w:val="2"/>
                      <w:sz w:val="18"/>
                      <w:szCs w:val="18"/>
                      <w:lang w:val="en-US" w:eastAsia="zh-CN" w:bidi="ar-SA"/>
                    </w:rPr>
                  </w:pPr>
                  <w:r>
                    <w:rPr>
                      <w:rFonts w:hint="eastAsia" w:ascii="Times New Roman" w:hAnsi="Times New Roman" w:eastAsia="宋体" w:cs="Times New Roman"/>
                      <w:b/>
                      <w:bCs w:val="0"/>
                      <w:color w:val="auto"/>
                      <w:kern w:val="2"/>
                      <w:sz w:val="18"/>
                      <w:szCs w:val="18"/>
                      <w:lang w:val="en-US" w:eastAsia="zh-CN" w:bidi="ar-SA"/>
                    </w:rPr>
                    <w:t>0.4932</w:t>
                  </w:r>
                </w:p>
              </w:tc>
              <w:tc>
                <w:tcPr>
                  <w:tcW w:w="646" w:type="pct"/>
                  <w:noWrap w:val="0"/>
                  <w:vAlign w:val="center"/>
                </w:tcPr>
                <w:p w14:paraId="1DC3B6C6">
                  <w:pPr>
                    <w:jc w:val="center"/>
                    <w:rPr>
                      <w:rFonts w:hint="default" w:ascii="Times New Roman" w:hAnsi="Times New Roman" w:eastAsia="宋体" w:cs="Times New Roman"/>
                      <w:b/>
                      <w:bCs w:val="0"/>
                      <w:color w:val="auto"/>
                      <w:kern w:val="2"/>
                      <w:sz w:val="18"/>
                      <w:szCs w:val="18"/>
                      <w:lang w:val="en-US" w:eastAsia="zh-CN" w:bidi="ar-SA"/>
                    </w:rPr>
                  </w:pPr>
                  <w:r>
                    <w:rPr>
                      <w:rFonts w:hint="eastAsia" w:ascii="Times New Roman" w:hAnsi="Times New Roman" w:eastAsia="宋体" w:cs="Times New Roman"/>
                      <w:b/>
                      <w:bCs w:val="0"/>
                      <w:color w:val="auto"/>
                      <w:kern w:val="2"/>
                      <w:sz w:val="18"/>
                      <w:szCs w:val="18"/>
                      <w:lang w:val="en-US" w:eastAsia="zh-CN" w:bidi="ar-SA"/>
                    </w:rPr>
                    <w:t>147.96</w:t>
                  </w:r>
                </w:p>
              </w:tc>
            </w:tr>
          </w:tbl>
          <w:p w14:paraId="761682BC">
            <w:pPr>
              <w:adjustRightInd w:val="0"/>
              <w:snapToGrid w:val="0"/>
              <w:rPr>
                <w:rFonts w:hint="default" w:ascii="Times New Roman" w:hAnsi="Times New Roman" w:eastAsia="宋体" w:cs="Times New Roman"/>
                <w:b/>
                <w:bCs/>
                <w:color w:val="auto"/>
                <w:spacing w:val="-10"/>
                <w:szCs w:val="21"/>
              </w:rPr>
            </w:pPr>
            <w:r>
              <w:rPr>
                <w:rFonts w:hint="default" w:ascii="Times New Roman" w:hAnsi="Times New Roman" w:eastAsia="宋体" w:cs="Times New Roman"/>
                <w:b/>
                <w:bCs/>
                <w:color w:val="auto"/>
                <w:spacing w:val="-10"/>
                <w:szCs w:val="21"/>
              </w:rPr>
              <w:t>水平衡图：</w:t>
            </w:r>
          </w:p>
          <w:p w14:paraId="71C2652D">
            <w:pPr>
              <w:spacing w:line="36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lang w:val="en-US" w:eastAsia="zh-CN"/>
              </w:rPr>
              <w:drawing>
                <wp:inline distT="0" distB="0" distL="114300" distR="114300">
                  <wp:extent cx="4753610" cy="1819910"/>
                  <wp:effectExtent l="0" t="0" r="8890" b="8890"/>
                  <wp:docPr id="4" name="F360BE8B-6686-4F3D-AEAF-501FE73E4058-2" descr="C:/Users/Administrator/AppData/Local/Temp/绘图1(3).png绘图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360BE8B-6686-4F3D-AEAF-501FE73E4058-2" descr="C:/Users/Administrator/AppData/Local/Temp/绘图1(3).png绘图1(3)"/>
                          <pic:cNvPicPr>
                            <a:picLocks noChangeAspect="1"/>
                          </pic:cNvPicPr>
                        </pic:nvPicPr>
                        <pic:blipFill>
                          <a:blip r:embed="rId13"/>
                          <a:stretch>
                            <a:fillRect/>
                          </a:stretch>
                        </pic:blipFill>
                        <pic:spPr>
                          <a:xfrm>
                            <a:off x="0" y="0"/>
                            <a:ext cx="4753610" cy="1819910"/>
                          </a:xfrm>
                          <a:prstGeom prst="rect">
                            <a:avLst/>
                          </a:prstGeom>
                          <a:noFill/>
                          <a:ln>
                            <a:noFill/>
                          </a:ln>
                        </pic:spPr>
                      </pic:pic>
                    </a:graphicData>
                  </a:graphic>
                </wp:inline>
              </w:drawing>
            </w:r>
          </w:p>
          <w:p w14:paraId="69EC565C">
            <w:pPr>
              <w:spacing w:line="36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 xml:space="preserve">图4.1 </w:t>
            </w:r>
            <w:r>
              <w:rPr>
                <w:rFonts w:hint="default" w:ascii="Times New Roman" w:hAnsi="Times New Roman" w:eastAsia="宋体" w:cs="Times New Roman"/>
                <w:b/>
                <w:color w:val="auto"/>
                <w:szCs w:val="21"/>
                <w:lang w:val="en-US" w:eastAsia="zh-CN"/>
              </w:rPr>
              <w:t xml:space="preserve"> </w:t>
            </w:r>
            <w:r>
              <w:rPr>
                <w:rFonts w:hint="default" w:ascii="Times New Roman" w:hAnsi="Times New Roman" w:eastAsia="宋体" w:cs="Times New Roman"/>
                <w:b/>
                <w:color w:val="auto"/>
                <w:szCs w:val="21"/>
              </w:rPr>
              <w:t>水平衡图（单位：</w:t>
            </w:r>
            <w:r>
              <w:rPr>
                <w:rFonts w:hint="default" w:ascii="Times New Roman" w:hAnsi="Times New Roman" w:eastAsia="宋体" w:cs="Times New Roman"/>
                <w:b/>
                <w:color w:val="auto"/>
                <w:szCs w:val="21"/>
                <w:highlight w:val="none"/>
              </w:rPr>
              <w:t>m</w:t>
            </w:r>
            <w:r>
              <w:rPr>
                <w:rFonts w:hint="default" w:ascii="Times New Roman" w:hAnsi="Times New Roman" w:eastAsia="宋体" w:cs="Times New Roman"/>
                <w:b/>
                <w:color w:val="auto"/>
                <w:szCs w:val="21"/>
                <w:highlight w:val="none"/>
                <w:vertAlign w:val="superscript"/>
              </w:rPr>
              <w:t>3</w:t>
            </w:r>
            <w:r>
              <w:rPr>
                <w:rFonts w:hint="default" w:ascii="Times New Roman" w:hAnsi="Times New Roman" w:eastAsia="宋体" w:cs="Times New Roman"/>
                <w:b/>
                <w:color w:val="auto"/>
                <w:szCs w:val="21"/>
              </w:rPr>
              <w:t>/d）</w:t>
            </w:r>
          </w:p>
          <w:p w14:paraId="43E2FB20">
            <w:pPr>
              <w:adjustRightInd w:val="0"/>
              <w:snapToGrid w:val="0"/>
              <w:spacing w:line="360" w:lineRule="auto"/>
              <w:ind w:firstLine="420" w:firstLineChars="200"/>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本项目营运期产生的</w:t>
            </w:r>
            <w:r>
              <w:rPr>
                <w:rFonts w:hint="eastAsia" w:ascii="Times New Roman" w:hAnsi="Times New Roman" w:cs="Times New Roman"/>
                <w:color w:val="auto"/>
                <w:sz w:val="21"/>
                <w:szCs w:val="21"/>
                <w:lang w:val="en-US" w:eastAsia="zh-CN"/>
              </w:rPr>
              <w:t>地面清洁废水与生活污水</w:t>
            </w:r>
            <w:r>
              <w:rPr>
                <w:rFonts w:hint="default" w:ascii="Times New Roman" w:hAnsi="Times New Roman" w:eastAsia="宋体" w:cs="Times New Roman"/>
                <w:color w:val="auto"/>
                <w:sz w:val="21"/>
                <w:szCs w:val="21"/>
                <w:lang w:val="en-US" w:eastAsia="zh-CN"/>
              </w:rPr>
              <w:t>一起</w:t>
            </w:r>
            <w:r>
              <w:rPr>
                <w:rFonts w:hint="eastAsia" w:ascii="Times New Roman" w:hAnsi="Times New Roman" w:cs="Times New Roman"/>
                <w:color w:val="auto"/>
                <w:sz w:val="21"/>
                <w:szCs w:val="21"/>
                <w:lang w:val="en-US" w:eastAsia="zh-CN"/>
              </w:rPr>
              <w:t>排入重庆三花门业现有生化池处理达</w:t>
            </w:r>
            <w:r>
              <w:rPr>
                <w:rFonts w:hint="default" w:ascii="Times New Roman" w:hAnsi="Times New Roman" w:eastAsia="宋体" w:cs="Times New Roman"/>
                <w:color w:val="auto"/>
                <w:sz w:val="21"/>
                <w:szCs w:val="21"/>
              </w:rPr>
              <w:t>《污水综合排放标准》（GB8978-1996）三级标准后</w:t>
            </w:r>
            <w:r>
              <w:rPr>
                <w:rFonts w:hint="default" w:ascii="Times New Roman" w:hAnsi="Times New Roman" w:eastAsia="宋体" w:cs="Times New Roman"/>
                <w:color w:val="auto"/>
                <w:sz w:val="21"/>
                <w:szCs w:val="21"/>
                <w:lang w:eastAsia="zh-CN"/>
              </w:rPr>
              <w:t>排</w:t>
            </w:r>
            <w:r>
              <w:rPr>
                <w:rFonts w:hint="default" w:ascii="Times New Roman" w:hAnsi="Times New Roman" w:eastAsia="宋体" w:cs="Times New Roman"/>
                <w:color w:val="auto"/>
                <w:sz w:val="21"/>
                <w:szCs w:val="21"/>
              </w:rPr>
              <w:t>入</w:t>
            </w:r>
            <w:r>
              <w:rPr>
                <w:rFonts w:hint="default" w:ascii="Times New Roman" w:hAnsi="Times New Roman" w:eastAsia="宋体" w:cs="Times New Roman"/>
                <w:color w:val="auto"/>
                <w:sz w:val="21"/>
                <w:szCs w:val="21"/>
                <w:lang w:eastAsia="zh-CN"/>
              </w:rPr>
              <w:t>园区</w:t>
            </w:r>
            <w:r>
              <w:rPr>
                <w:rFonts w:hint="default" w:ascii="Times New Roman" w:hAnsi="Times New Roman" w:eastAsia="宋体" w:cs="Times New Roman"/>
                <w:color w:val="auto"/>
                <w:sz w:val="21"/>
                <w:szCs w:val="21"/>
              </w:rPr>
              <w:t>污水管网进入</w:t>
            </w:r>
            <w:r>
              <w:rPr>
                <w:rFonts w:hint="eastAsia" w:ascii="Times New Roman" w:hAnsi="Times New Roman" w:cs="Times New Roman"/>
                <w:color w:val="auto"/>
                <w:sz w:val="21"/>
                <w:szCs w:val="21"/>
                <w:lang w:eastAsia="zh-CN"/>
              </w:rPr>
              <w:t>南溪组团A区污水处理厂</w:t>
            </w:r>
            <w:r>
              <w:rPr>
                <w:rFonts w:hint="default" w:ascii="Times New Roman" w:hAnsi="Times New Roman" w:eastAsia="宋体" w:cs="Times New Roman"/>
                <w:color w:val="auto"/>
                <w:sz w:val="21"/>
                <w:szCs w:val="21"/>
              </w:rPr>
              <w:t>进一步处理</w:t>
            </w:r>
            <w:r>
              <w:rPr>
                <w:rFonts w:hint="eastAsia" w:ascii="Times New Roman" w:hAnsi="Times New Roman" w:cs="Times New Roman"/>
                <w:color w:val="auto"/>
                <w:sz w:val="21"/>
                <w:szCs w:val="21"/>
                <w:lang w:eastAsia="zh-CN"/>
              </w:rPr>
              <w:t>达《城镇污水处理厂污染物排放标准》（GB18918-2002）一级B标后排入建梁河，最后汇入嘉陵江</w:t>
            </w:r>
            <w:r>
              <w:rPr>
                <w:rFonts w:hint="default" w:ascii="Times New Roman" w:hAnsi="Times New Roman" w:eastAsia="宋体" w:cs="Times New Roman"/>
                <w:color w:val="auto"/>
                <w:sz w:val="21"/>
                <w:szCs w:val="21"/>
              </w:rPr>
              <w:t>。</w:t>
            </w:r>
          </w:p>
          <w:p w14:paraId="109C5EF1">
            <w:pPr>
              <w:adjustRightInd w:val="0"/>
              <w:snapToGrid w:val="0"/>
              <w:spacing w:line="360" w:lineRule="auto"/>
              <w:ind w:firstLine="480" w:firstLineChars="200"/>
              <w:rPr>
                <w:rFonts w:hint="default" w:ascii="Times New Roman" w:hAnsi="Times New Roman" w:cs="Times New Roman"/>
                <w:bCs/>
                <w:color w:val="auto"/>
                <w:sz w:val="24"/>
              </w:rPr>
            </w:pPr>
          </w:p>
        </w:tc>
      </w:tr>
    </w:tbl>
    <w:p w14:paraId="02FC1210">
      <w:pPr>
        <w:pStyle w:val="26"/>
        <w:outlineLvl w:val="0"/>
        <w:rPr>
          <w:rFonts w:hint="default" w:ascii="Times New Roman" w:hAnsi="Times New Roman" w:cs="Times New Roman"/>
          <w:snapToGrid w:val="0"/>
          <w:color w:val="auto"/>
          <w:sz w:val="30"/>
          <w:szCs w:val="30"/>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3D89B3EA">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cs="Times New Roman"/>
          <w:b/>
          <w:snapToGrid w:val="0"/>
          <w:color w:val="auto"/>
          <w:sz w:val="21"/>
          <w:szCs w:val="21"/>
          <w:lang w:eastAsia="zh-CN"/>
        </w:rPr>
      </w:pPr>
      <w:r>
        <w:rPr>
          <w:rFonts w:hint="default" w:ascii="Times New Roman" w:hAnsi="Times New Roman" w:cs="Times New Roman"/>
          <w:b/>
          <w:snapToGrid w:val="0"/>
          <w:color w:val="auto"/>
          <w:sz w:val="21"/>
          <w:szCs w:val="21"/>
          <w:lang w:eastAsia="zh-CN"/>
        </w:rPr>
        <w:t>表4-</w:t>
      </w:r>
      <w:r>
        <w:rPr>
          <w:rFonts w:hint="eastAsia" w:ascii="Times New Roman" w:hAnsi="Times New Roman" w:cs="Times New Roman"/>
          <w:b/>
          <w:snapToGrid w:val="0"/>
          <w:color w:val="auto"/>
          <w:sz w:val="21"/>
          <w:szCs w:val="21"/>
          <w:lang w:val="en-US" w:eastAsia="zh-CN"/>
        </w:rPr>
        <w:t>7</w:t>
      </w:r>
      <w:r>
        <w:rPr>
          <w:rFonts w:hint="default" w:ascii="Times New Roman" w:hAnsi="Times New Roman" w:cs="Times New Roman"/>
          <w:b/>
          <w:snapToGrid w:val="0"/>
          <w:color w:val="auto"/>
          <w:sz w:val="21"/>
          <w:szCs w:val="21"/>
          <w:lang w:val="en-US" w:eastAsia="zh-CN"/>
        </w:rPr>
        <w:t xml:space="preserve">  </w:t>
      </w:r>
      <w:r>
        <w:rPr>
          <w:rFonts w:hint="default" w:ascii="Times New Roman" w:hAnsi="Times New Roman" w:cs="Times New Roman"/>
          <w:b/>
          <w:snapToGrid w:val="0"/>
          <w:color w:val="auto"/>
          <w:sz w:val="21"/>
          <w:szCs w:val="21"/>
          <w:lang w:eastAsia="zh-CN"/>
        </w:rPr>
        <w:t>废水污染源源强核算结果及相关参数一览表</w:t>
      </w:r>
    </w:p>
    <w:tbl>
      <w:tblPr>
        <w:tblStyle w:val="31"/>
        <w:tblW w:w="54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940"/>
        <w:gridCol w:w="868"/>
        <w:gridCol w:w="655"/>
        <w:gridCol w:w="1106"/>
        <w:gridCol w:w="1240"/>
        <w:gridCol w:w="753"/>
        <w:gridCol w:w="803"/>
        <w:gridCol w:w="1106"/>
        <w:gridCol w:w="848"/>
        <w:gridCol w:w="643"/>
        <w:gridCol w:w="2056"/>
        <w:gridCol w:w="1007"/>
        <w:gridCol w:w="829"/>
        <w:gridCol w:w="705"/>
      </w:tblGrid>
      <w:tr w14:paraId="011E3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Merge w:val="restart"/>
            <w:tcBorders>
              <w:tl2br w:val="nil"/>
              <w:tr2bl w:val="nil"/>
            </w:tcBorders>
            <w:noWrap w:val="0"/>
            <w:vAlign w:val="center"/>
          </w:tcPr>
          <w:p w14:paraId="4648111A">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vertAlign w:val="baseline"/>
                <w:lang w:eastAsia="zh-CN"/>
              </w:rPr>
            </w:pPr>
            <w:r>
              <w:rPr>
                <w:rFonts w:hint="default" w:ascii="Times New Roman" w:hAnsi="Times New Roman" w:eastAsia="宋体" w:cs="Times New Roman"/>
                <w:b/>
                <w:bCs/>
                <w:snapToGrid w:val="0"/>
                <w:color w:val="auto"/>
                <w:sz w:val="18"/>
                <w:szCs w:val="18"/>
                <w:lang w:eastAsia="zh-CN"/>
              </w:rPr>
              <w:t>工序</w:t>
            </w:r>
          </w:p>
        </w:tc>
        <w:tc>
          <w:tcPr>
            <w:tcW w:w="315" w:type="pct"/>
            <w:vMerge w:val="restart"/>
            <w:tcBorders>
              <w:tl2br w:val="nil"/>
              <w:tr2bl w:val="nil"/>
            </w:tcBorders>
            <w:noWrap w:val="0"/>
            <w:vAlign w:val="center"/>
          </w:tcPr>
          <w:p w14:paraId="0ED9DA1E">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sz w:val="18"/>
                <w:szCs w:val="18"/>
                <w:lang w:eastAsia="zh-CN"/>
              </w:rPr>
              <w:t>污染源</w:t>
            </w:r>
          </w:p>
        </w:tc>
        <w:tc>
          <w:tcPr>
            <w:tcW w:w="290" w:type="pct"/>
            <w:vMerge w:val="restart"/>
            <w:tcBorders>
              <w:tl2br w:val="nil"/>
              <w:tr2bl w:val="nil"/>
            </w:tcBorders>
            <w:noWrap w:val="0"/>
            <w:vAlign w:val="center"/>
          </w:tcPr>
          <w:p w14:paraId="434CEFD0">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sz w:val="18"/>
                <w:szCs w:val="18"/>
                <w:lang w:eastAsia="zh-CN"/>
              </w:rPr>
              <w:t>污染物</w:t>
            </w:r>
          </w:p>
        </w:tc>
        <w:tc>
          <w:tcPr>
            <w:tcW w:w="1005" w:type="pct"/>
            <w:gridSpan w:val="3"/>
            <w:tcBorders>
              <w:tl2br w:val="nil"/>
              <w:tr2bl w:val="nil"/>
            </w:tcBorders>
            <w:noWrap w:val="0"/>
            <w:vAlign w:val="center"/>
          </w:tcPr>
          <w:p w14:paraId="59AFE644">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污染物产生</w:t>
            </w:r>
          </w:p>
        </w:tc>
        <w:tc>
          <w:tcPr>
            <w:tcW w:w="521" w:type="pct"/>
            <w:gridSpan w:val="2"/>
            <w:tcBorders>
              <w:tl2br w:val="nil"/>
              <w:tr2bl w:val="nil"/>
            </w:tcBorders>
            <w:noWrap w:val="0"/>
            <w:vAlign w:val="center"/>
          </w:tcPr>
          <w:p w14:paraId="1482DDFF">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vertAlign w:val="baseline"/>
                <w:lang w:eastAsia="zh-CN"/>
              </w:rPr>
            </w:pPr>
            <w:r>
              <w:rPr>
                <w:rFonts w:hint="default" w:ascii="Times New Roman" w:hAnsi="Times New Roman" w:eastAsia="宋体" w:cs="Times New Roman"/>
                <w:b/>
                <w:bCs/>
                <w:snapToGrid w:val="0"/>
                <w:color w:val="auto"/>
                <w:sz w:val="18"/>
                <w:szCs w:val="18"/>
                <w:lang w:eastAsia="zh-CN"/>
              </w:rPr>
              <w:t>治理设施</w:t>
            </w:r>
          </w:p>
        </w:tc>
        <w:tc>
          <w:tcPr>
            <w:tcW w:w="654" w:type="pct"/>
            <w:gridSpan w:val="2"/>
            <w:tcBorders>
              <w:tl2br w:val="nil"/>
              <w:tr2bl w:val="nil"/>
            </w:tcBorders>
            <w:noWrap w:val="0"/>
            <w:vAlign w:val="center"/>
          </w:tcPr>
          <w:p w14:paraId="2FEFF13E">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污染物排放</w:t>
            </w:r>
          </w:p>
        </w:tc>
        <w:tc>
          <w:tcPr>
            <w:tcW w:w="215" w:type="pct"/>
            <w:vMerge w:val="restart"/>
            <w:tcBorders>
              <w:tl2br w:val="nil"/>
              <w:tr2bl w:val="nil"/>
            </w:tcBorders>
            <w:noWrap w:val="0"/>
            <w:vAlign w:val="center"/>
          </w:tcPr>
          <w:p w14:paraId="3C840235">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排放去向</w:t>
            </w:r>
          </w:p>
        </w:tc>
        <w:tc>
          <w:tcPr>
            <w:tcW w:w="689" w:type="pct"/>
            <w:vMerge w:val="restart"/>
            <w:tcBorders>
              <w:tl2br w:val="nil"/>
              <w:tr2bl w:val="nil"/>
            </w:tcBorders>
            <w:noWrap w:val="0"/>
            <w:vAlign w:val="center"/>
          </w:tcPr>
          <w:p w14:paraId="46212021">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执行标准</w:t>
            </w:r>
          </w:p>
        </w:tc>
        <w:tc>
          <w:tcPr>
            <w:tcW w:w="337" w:type="pct"/>
            <w:vMerge w:val="restart"/>
            <w:tcBorders>
              <w:tl2br w:val="nil"/>
              <w:tr2bl w:val="nil"/>
            </w:tcBorders>
            <w:noWrap w:val="0"/>
            <w:vAlign w:val="center"/>
          </w:tcPr>
          <w:p w14:paraId="01427BC6">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排放浓度</w:t>
            </w:r>
          </w:p>
        </w:tc>
        <w:tc>
          <w:tcPr>
            <w:tcW w:w="277" w:type="pct"/>
            <w:vMerge w:val="restart"/>
            <w:tcBorders>
              <w:tl2br w:val="nil"/>
              <w:tr2bl w:val="nil"/>
            </w:tcBorders>
            <w:noWrap w:val="0"/>
            <w:vAlign w:val="center"/>
          </w:tcPr>
          <w:p w14:paraId="2F8E5E0E">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排放量</w:t>
            </w:r>
          </w:p>
        </w:tc>
        <w:tc>
          <w:tcPr>
            <w:tcW w:w="236" w:type="pct"/>
            <w:vMerge w:val="restart"/>
            <w:tcBorders>
              <w:tl2br w:val="nil"/>
              <w:tr2bl w:val="nil"/>
            </w:tcBorders>
            <w:noWrap w:val="0"/>
            <w:vAlign w:val="center"/>
          </w:tcPr>
          <w:p w14:paraId="56430C06">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lang w:eastAsia="zh-CN"/>
              </w:rPr>
            </w:pPr>
            <w:r>
              <w:rPr>
                <w:rFonts w:hint="default" w:ascii="Times New Roman" w:hAnsi="Times New Roman" w:eastAsia="宋体" w:cs="Times New Roman"/>
                <w:b/>
                <w:bCs/>
                <w:snapToGrid w:val="0"/>
                <w:color w:val="auto"/>
                <w:sz w:val="18"/>
                <w:szCs w:val="18"/>
                <w:lang w:eastAsia="zh-CN"/>
              </w:rPr>
              <w:t>排放时间</w:t>
            </w:r>
          </w:p>
        </w:tc>
      </w:tr>
      <w:tr w14:paraId="1984E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455" w:type="pct"/>
            <w:vMerge w:val="continue"/>
            <w:tcBorders>
              <w:tl2br w:val="nil"/>
              <w:tr2bl w:val="nil"/>
            </w:tcBorders>
            <w:noWrap w:val="0"/>
            <w:vAlign w:val="center"/>
          </w:tcPr>
          <w:p w14:paraId="537BA5F4">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vertAlign w:val="baseline"/>
                <w:lang w:eastAsia="zh-CN"/>
              </w:rPr>
            </w:pPr>
          </w:p>
        </w:tc>
        <w:tc>
          <w:tcPr>
            <w:tcW w:w="315" w:type="pct"/>
            <w:vMerge w:val="continue"/>
            <w:tcBorders>
              <w:tl2br w:val="nil"/>
              <w:tr2bl w:val="nil"/>
            </w:tcBorders>
            <w:noWrap w:val="0"/>
            <w:vAlign w:val="center"/>
          </w:tcPr>
          <w:p w14:paraId="741AFE53">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vertAlign w:val="baseline"/>
                <w:lang w:eastAsia="zh-CN"/>
              </w:rPr>
            </w:pPr>
          </w:p>
        </w:tc>
        <w:tc>
          <w:tcPr>
            <w:tcW w:w="290" w:type="pct"/>
            <w:vMerge w:val="continue"/>
            <w:tcBorders>
              <w:tl2br w:val="nil"/>
              <w:tr2bl w:val="nil"/>
            </w:tcBorders>
            <w:noWrap w:val="0"/>
            <w:vAlign w:val="center"/>
          </w:tcPr>
          <w:p w14:paraId="7E733C70">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vertAlign w:val="baseline"/>
                <w:lang w:eastAsia="zh-CN"/>
              </w:rPr>
            </w:pPr>
          </w:p>
        </w:tc>
        <w:tc>
          <w:tcPr>
            <w:tcW w:w="219" w:type="pct"/>
            <w:vMerge w:val="restart"/>
            <w:tcBorders>
              <w:tl2br w:val="nil"/>
              <w:tr2bl w:val="nil"/>
            </w:tcBorders>
            <w:noWrap w:val="0"/>
            <w:vAlign w:val="center"/>
          </w:tcPr>
          <w:p w14:paraId="5A125916">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bCs/>
                <w:snapToGrid w:val="0"/>
                <w:color w:val="auto"/>
                <w:sz w:val="18"/>
                <w:szCs w:val="18"/>
                <w:vertAlign w:val="baseline"/>
                <w:lang w:eastAsia="zh-CN"/>
              </w:rPr>
            </w:pPr>
            <w:r>
              <w:rPr>
                <w:rFonts w:hint="default" w:ascii="Times New Roman" w:hAnsi="Times New Roman" w:eastAsia="宋体" w:cs="Times New Roman"/>
                <w:b/>
                <w:bCs/>
                <w:snapToGrid w:val="0"/>
                <w:color w:val="auto"/>
                <w:sz w:val="18"/>
                <w:szCs w:val="18"/>
                <w:lang w:eastAsia="zh-CN"/>
              </w:rPr>
              <w:t>核算方法</w:t>
            </w:r>
          </w:p>
        </w:tc>
        <w:tc>
          <w:tcPr>
            <w:tcW w:w="370" w:type="pct"/>
            <w:vMerge w:val="restart"/>
            <w:tcBorders>
              <w:tl2br w:val="nil"/>
              <w:tr2bl w:val="nil"/>
            </w:tcBorders>
            <w:noWrap w:val="0"/>
            <w:vAlign w:val="center"/>
          </w:tcPr>
          <w:p w14:paraId="3197ADE8">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sz w:val="18"/>
                <w:szCs w:val="18"/>
                <w:lang w:eastAsia="zh-CN"/>
              </w:rPr>
              <w:t>产生质量浓度（mg/L）</w:t>
            </w:r>
          </w:p>
        </w:tc>
        <w:tc>
          <w:tcPr>
            <w:tcW w:w="415" w:type="pct"/>
            <w:tcBorders>
              <w:tl2br w:val="nil"/>
              <w:tr2bl w:val="nil"/>
            </w:tcBorders>
            <w:noWrap w:val="0"/>
            <w:vAlign w:val="center"/>
          </w:tcPr>
          <w:p w14:paraId="40F6203F">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sz w:val="18"/>
                <w:szCs w:val="18"/>
                <w:lang w:eastAsia="zh-CN"/>
              </w:rPr>
              <w:t>产生量</w:t>
            </w:r>
          </w:p>
        </w:tc>
        <w:tc>
          <w:tcPr>
            <w:tcW w:w="252" w:type="pct"/>
            <w:vMerge w:val="restart"/>
            <w:tcBorders>
              <w:tl2br w:val="nil"/>
              <w:tr2bl w:val="nil"/>
            </w:tcBorders>
            <w:noWrap w:val="0"/>
            <w:vAlign w:val="center"/>
          </w:tcPr>
          <w:p w14:paraId="17E2F211">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sz w:val="18"/>
                <w:szCs w:val="18"/>
                <w:lang w:eastAsia="zh-CN"/>
              </w:rPr>
              <w:t>工艺</w:t>
            </w:r>
          </w:p>
        </w:tc>
        <w:tc>
          <w:tcPr>
            <w:tcW w:w="269" w:type="pct"/>
            <w:vMerge w:val="restart"/>
            <w:tcBorders>
              <w:tl2br w:val="nil"/>
              <w:tr2bl w:val="nil"/>
            </w:tcBorders>
            <w:noWrap w:val="0"/>
            <w:vAlign w:val="center"/>
          </w:tcPr>
          <w:p w14:paraId="227A5917">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sz w:val="18"/>
                <w:szCs w:val="18"/>
                <w:lang w:eastAsia="zh-CN"/>
              </w:rPr>
              <w:t>效率（%）</w:t>
            </w:r>
          </w:p>
        </w:tc>
        <w:tc>
          <w:tcPr>
            <w:tcW w:w="370" w:type="pct"/>
            <w:vMerge w:val="restart"/>
            <w:tcBorders>
              <w:tl2br w:val="nil"/>
              <w:tr2bl w:val="nil"/>
            </w:tcBorders>
            <w:noWrap w:val="0"/>
            <w:vAlign w:val="center"/>
          </w:tcPr>
          <w:p w14:paraId="2538415F">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sz w:val="18"/>
                <w:szCs w:val="18"/>
                <w:lang w:eastAsia="zh-CN"/>
              </w:rPr>
              <w:t>排放质量浓度（mg/L）</w:t>
            </w:r>
          </w:p>
        </w:tc>
        <w:tc>
          <w:tcPr>
            <w:tcW w:w="284" w:type="pct"/>
            <w:tcBorders>
              <w:tl2br w:val="nil"/>
              <w:tr2bl w:val="nil"/>
            </w:tcBorders>
            <w:noWrap w:val="0"/>
            <w:vAlign w:val="center"/>
          </w:tcPr>
          <w:p w14:paraId="594C8747">
            <w:pPr>
              <w:pStyle w:val="26"/>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sz w:val="18"/>
                <w:szCs w:val="18"/>
                <w:lang w:eastAsia="zh-CN"/>
              </w:rPr>
              <w:t>排放量</w:t>
            </w:r>
          </w:p>
        </w:tc>
        <w:tc>
          <w:tcPr>
            <w:tcW w:w="215" w:type="pct"/>
            <w:vMerge w:val="continue"/>
            <w:tcBorders>
              <w:tl2br w:val="nil"/>
              <w:tr2bl w:val="nil"/>
            </w:tcBorders>
            <w:noWrap w:val="0"/>
            <w:vAlign w:val="center"/>
          </w:tcPr>
          <w:p w14:paraId="30322701">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p>
        </w:tc>
        <w:tc>
          <w:tcPr>
            <w:tcW w:w="689" w:type="pct"/>
            <w:vMerge w:val="continue"/>
            <w:tcBorders>
              <w:tl2br w:val="nil"/>
              <w:tr2bl w:val="nil"/>
            </w:tcBorders>
            <w:noWrap w:val="0"/>
            <w:vAlign w:val="center"/>
          </w:tcPr>
          <w:p w14:paraId="70F0EAF6">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p>
        </w:tc>
        <w:tc>
          <w:tcPr>
            <w:tcW w:w="337" w:type="pct"/>
            <w:vMerge w:val="continue"/>
            <w:tcBorders>
              <w:tl2br w:val="nil"/>
              <w:tr2bl w:val="nil"/>
            </w:tcBorders>
            <w:noWrap w:val="0"/>
            <w:vAlign w:val="center"/>
          </w:tcPr>
          <w:p w14:paraId="45D8F193">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p>
        </w:tc>
        <w:tc>
          <w:tcPr>
            <w:tcW w:w="277" w:type="pct"/>
            <w:vMerge w:val="continue"/>
            <w:tcBorders>
              <w:tl2br w:val="nil"/>
              <w:tr2bl w:val="nil"/>
            </w:tcBorders>
            <w:noWrap w:val="0"/>
            <w:vAlign w:val="center"/>
          </w:tcPr>
          <w:p w14:paraId="0B620D6A">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p>
        </w:tc>
        <w:tc>
          <w:tcPr>
            <w:tcW w:w="236" w:type="pct"/>
            <w:vMerge w:val="continue"/>
            <w:tcBorders>
              <w:tl2br w:val="nil"/>
              <w:tr2bl w:val="nil"/>
            </w:tcBorders>
            <w:noWrap w:val="0"/>
            <w:vAlign w:val="center"/>
          </w:tcPr>
          <w:p w14:paraId="25138392">
            <w:pPr>
              <w:pStyle w:val="26"/>
              <w:spacing w:line="240" w:lineRule="auto"/>
              <w:jc w:val="center"/>
              <w:outlineLvl w:val="0"/>
              <w:rPr>
                <w:rFonts w:hint="default" w:ascii="Times New Roman" w:hAnsi="Times New Roman" w:eastAsia="宋体" w:cs="Times New Roman"/>
                <w:b/>
                <w:bCs/>
                <w:snapToGrid w:val="0"/>
                <w:color w:val="auto"/>
                <w:sz w:val="18"/>
                <w:szCs w:val="18"/>
                <w:lang w:eastAsia="zh-CN"/>
              </w:rPr>
            </w:pPr>
          </w:p>
        </w:tc>
      </w:tr>
      <w:tr w14:paraId="674FF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5" w:type="pct"/>
            <w:vMerge w:val="continue"/>
            <w:tcBorders>
              <w:tl2br w:val="nil"/>
              <w:tr2bl w:val="nil"/>
            </w:tcBorders>
            <w:noWrap w:val="0"/>
            <w:vAlign w:val="center"/>
          </w:tcPr>
          <w:p w14:paraId="05FA2570">
            <w:pPr>
              <w:pStyle w:val="26"/>
              <w:spacing w:line="240" w:lineRule="auto"/>
              <w:jc w:val="center"/>
              <w:outlineLvl w:val="0"/>
              <w:rPr>
                <w:rFonts w:hint="default" w:ascii="Times New Roman" w:hAnsi="Times New Roman" w:eastAsia="宋体" w:cs="Times New Roman"/>
                <w:color w:val="auto"/>
                <w:sz w:val="18"/>
                <w:szCs w:val="18"/>
              </w:rPr>
            </w:pPr>
          </w:p>
        </w:tc>
        <w:tc>
          <w:tcPr>
            <w:tcW w:w="315" w:type="pct"/>
            <w:vMerge w:val="continue"/>
            <w:tcBorders>
              <w:tl2br w:val="nil"/>
              <w:tr2bl w:val="nil"/>
            </w:tcBorders>
            <w:noWrap w:val="0"/>
            <w:vAlign w:val="center"/>
          </w:tcPr>
          <w:p w14:paraId="2451035F">
            <w:pPr>
              <w:pStyle w:val="26"/>
              <w:spacing w:line="240" w:lineRule="auto"/>
              <w:jc w:val="center"/>
              <w:outlineLvl w:val="0"/>
              <w:rPr>
                <w:rFonts w:hint="default" w:ascii="Times New Roman" w:hAnsi="Times New Roman" w:eastAsia="宋体" w:cs="Times New Roman"/>
                <w:color w:val="auto"/>
                <w:sz w:val="18"/>
                <w:szCs w:val="18"/>
              </w:rPr>
            </w:pPr>
          </w:p>
        </w:tc>
        <w:tc>
          <w:tcPr>
            <w:tcW w:w="290" w:type="pct"/>
            <w:vMerge w:val="continue"/>
            <w:tcBorders>
              <w:tl2br w:val="nil"/>
              <w:tr2bl w:val="nil"/>
            </w:tcBorders>
            <w:noWrap w:val="0"/>
            <w:vAlign w:val="center"/>
          </w:tcPr>
          <w:p w14:paraId="52ABBFB9">
            <w:pPr>
              <w:pStyle w:val="26"/>
              <w:spacing w:line="240" w:lineRule="auto"/>
              <w:jc w:val="center"/>
              <w:outlineLvl w:val="0"/>
              <w:rPr>
                <w:rFonts w:hint="default" w:ascii="Times New Roman" w:hAnsi="Times New Roman" w:eastAsia="宋体" w:cs="Times New Roman"/>
                <w:color w:val="auto"/>
                <w:sz w:val="18"/>
                <w:szCs w:val="18"/>
              </w:rPr>
            </w:pPr>
          </w:p>
        </w:tc>
        <w:tc>
          <w:tcPr>
            <w:tcW w:w="219" w:type="pct"/>
            <w:vMerge w:val="continue"/>
            <w:tcBorders>
              <w:tl2br w:val="nil"/>
              <w:tr2bl w:val="nil"/>
            </w:tcBorders>
            <w:noWrap w:val="0"/>
            <w:vAlign w:val="center"/>
          </w:tcPr>
          <w:p w14:paraId="0E71520A">
            <w:pPr>
              <w:pStyle w:val="26"/>
              <w:spacing w:line="240" w:lineRule="auto"/>
              <w:jc w:val="center"/>
              <w:outlineLvl w:val="0"/>
              <w:rPr>
                <w:rFonts w:hint="default" w:ascii="Times New Roman" w:hAnsi="Times New Roman" w:eastAsia="宋体" w:cs="Times New Roman"/>
                <w:color w:val="auto"/>
                <w:sz w:val="18"/>
                <w:szCs w:val="18"/>
              </w:rPr>
            </w:pPr>
          </w:p>
        </w:tc>
        <w:tc>
          <w:tcPr>
            <w:tcW w:w="370" w:type="pct"/>
            <w:vMerge w:val="continue"/>
            <w:tcBorders>
              <w:tl2br w:val="nil"/>
              <w:tr2bl w:val="nil"/>
            </w:tcBorders>
            <w:noWrap w:val="0"/>
            <w:vAlign w:val="center"/>
          </w:tcPr>
          <w:p w14:paraId="232ECA22">
            <w:pPr>
              <w:pStyle w:val="26"/>
              <w:spacing w:line="240" w:lineRule="auto"/>
              <w:jc w:val="center"/>
              <w:outlineLvl w:val="0"/>
              <w:rPr>
                <w:rFonts w:hint="default" w:ascii="Times New Roman" w:hAnsi="Times New Roman" w:eastAsia="宋体" w:cs="Times New Roman"/>
                <w:b/>
                <w:bCs/>
                <w:color w:val="auto"/>
                <w:sz w:val="18"/>
                <w:szCs w:val="18"/>
              </w:rPr>
            </w:pPr>
          </w:p>
        </w:tc>
        <w:tc>
          <w:tcPr>
            <w:tcW w:w="415" w:type="pct"/>
            <w:tcBorders>
              <w:tl2br w:val="nil"/>
              <w:tr2bl w:val="nil"/>
            </w:tcBorders>
            <w:noWrap w:val="0"/>
            <w:vAlign w:val="center"/>
          </w:tcPr>
          <w:p w14:paraId="3F6F6D70">
            <w:pPr>
              <w:pStyle w:val="26"/>
              <w:spacing w:line="240" w:lineRule="auto"/>
              <w:jc w:val="center"/>
              <w:outlineLvl w:val="0"/>
              <w:rPr>
                <w:rFonts w:hint="default" w:ascii="Times New Roman" w:hAnsi="Times New Roman" w:eastAsia="宋体" w:cs="Times New Roman"/>
                <w:b/>
                <w:bCs/>
                <w:color w:val="auto"/>
                <w:sz w:val="18"/>
                <w:szCs w:val="18"/>
              </w:rPr>
            </w:pPr>
            <w:r>
              <w:rPr>
                <w:rFonts w:hint="default" w:ascii="Times New Roman" w:hAnsi="Times New Roman" w:eastAsia="宋体" w:cs="Times New Roman"/>
                <w:b/>
                <w:bCs/>
                <w:snapToGrid w:val="0"/>
                <w:color w:val="auto"/>
                <w:sz w:val="18"/>
                <w:szCs w:val="18"/>
                <w:lang w:eastAsia="zh-CN"/>
              </w:rPr>
              <w:t>t/a</w:t>
            </w:r>
          </w:p>
        </w:tc>
        <w:tc>
          <w:tcPr>
            <w:tcW w:w="252" w:type="pct"/>
            <w:vMerge w:val="continue"/>
            <w:tcBorders>
              <w:tl2br w:val="nil"/>
              <w:tr2bl w:val="nil"/>
            </w:tcBorders>
            <w:noWrap w:val="0"/>
            <w:vAlign w:val="center"/>
          </w:tcPr>
          <w:p w14:paraId="592EACD5">
            <w:pPr>
              <w:pStyle w:val="26"/>
              <w:spacing w:line="240" w:lineRule="auto"/>
              <w:jc w:val="center"/>
              <w:outlineLvl w:val="0"/>
              <w:rPr>
                <w:rFonts w:hint="default" w:ascii="Times New Roman" w:hAnsi="Times New Roman" w:eastAsia="宋体" w:cs="Times New Roman"/>
                <w:b/>
                <w:bCs/>
                <w:color w:val="auto"/>
                <w:sz w:val="18"/>
                <w:szCs w:val="18"/>
              </w:rPr>
            </w:pPr>
          </w:p>
        </w:tc>
        <w:tc>
          <w:tcPr>
            <w:tcW w:w="269" w:type="pct"/>
            <w:vMerge w:val="continue"/>
            <w:tcBorders>
              <w:tl2br w:val="nil"/>
              <w:tr2bl w:val="nil"/>
            </w:tcBorders>
            <w:noWrap w:val="0"/>
            <w:vAlign w:val="center"/>
          </w:tcPr>
          <w:p w14:paraId="28DAAA62">
            <w:pPr>
              <w:pStyle w:val="26"/>
              <w:spacing w:line="240" w:lineRule="auto"/>
              <w:jc w:val="center"/>
              <w:outlineLvl w:val="0"/>
              <w:rPr>
                <w:rFonts w:hint="default" w:ascii="Times New Roman" w:hAnsi="Times New Roman" w:eastAsia="宋体" w:cs="Times New Roman"/>
                <w:b/>
                <w:bCs/>
                <w:color w:val="auto"/>
                <w:sz w:val="18"/>
                <w:szCs w:val="18"/>
              </w:rPr>
            </w:pPr>
          </w:p>
        </w:tc>
        <w:tc>
          <w:tcPr>
            <w:tcW w:w="370" w:type="pct"/>
            <w:vMerge w:val="continue"/>
            <w:tcBorders>
              <w:tl2br w:val="nil"/>
              <w:tr2bl w:val="nil"/>
            </w:tcBorders>
            <w:noWrap w:val="0"/>
            <w:vAlign w:val="center"/>
          </w:tcPr>
          <w:p w14:paraId="4AB1D606">
            <w:pPr>
              <w:pStyle w:val="26"/>
              <w:spacing w:line="240" w:lineRule="auto"/>
              <w:jc w:val="center"/>
              <w:outlineLvl w:val="0"/>
              <w:rPr>
                <w:rFonts w:hint="default" w:ascii="Times New Roman" w:hAnsi="Times New Roman" w:eastAsia="宋体" w:cs="Times New Roman"/>
                <w:b/>
                <w:bCs/>
                <w:color w:val="auto"/>
                <w:sz w:val="18"/>
                <w:szCs w:val="18"/>
              </w:rPr>
            </w:pPr>
          </w:p>
        </w:tc>
        <w:tc>
          <w:tcPr>
            <w:tcW w:w="284" w:type="pct"/>
            <w:tcBorders>
              <w:tl2br w:val="nil"/>
              <w:tr2bl w:val="nil"/>
            </w:tcBorders>
            <w:noWrap w:val="0"/>
            <w:vAlign w:val="center"/>
          </w:tcPr>
          <w:p w14:paraId="1C60B69A">
            <w:pPr>
              <w:pStyle w:val="26"/>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bCs/>
                <w:snapToGrid w:val="0"/>
                <w:color w:val="auto"/>
                <w:sz w:val="18"/>
                <w:szCs w:val="18"/>
                <w:lang w:eastAsia="zh-CN"/>
              </w:rPr>
              <w:t>t/a</w:t>
            </w:r>
          </w:p>
        </w:tc>
        <w:tc>
          <w:tcPr>
            <w:tcW w:w="215" w:type="pct"/>
            <w:vMerge w:val="continue"/>
            <w:tcBorders>
              <w:tl2br w:val="nil"/>
              <w:tr2bl w:val="nil"/>
            </w:tcBorders>
            <w:noWrap w:val="0"/>
            <w:vAlign w:val="center"/>
          </w:tcPr>
          <w:p w14:paraId="068DC206">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p>
        </w:tc>
        <w:tc>
          <w:tcPr>
            <w:tcW w:w="689" w:type="pct"/>
            <w:vMerge w:val="continue"/>
            <w:tcBorders>
              <w:tl2br w:val="nil"/>
              <w:tr2bl w:val="nil"/>
            </w:tcBorders>
            <w:noWrap w:val="0"/>
            <w:vAlign w:val="center"/>
          </w:tcPr>
          <w:p w14:paraId="4D6D525A">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p>
        </w:tc>
        <w:tc>
          <w:tcPr>
            <w:tcW w:w="337" w:type="pct"/>
            <w:vMerge w:val="continue"/>
            <w:tcBorders>
              <w:tl2br w:val="nil"/>
              <w:tr2bl w:val="nil"/>
            </w:tcBorders>
            <w:noWrap w:val="0"/>
            <w:vAlign w:val="center"/>
          </w:tcPr>
          <w:p w14:paraId="0A8A22A6">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p>
        </w:tc>
        <w:tc>
          <w:tcPr>
            <w:tcW w:w="277" w:type="pct"/>
            <w:vMerge w:val="continue"/>
            <w:tcBorders>
              <w:tl2br w:val="nil"/>
              <w:tr2bl w:val="nil"/>
            </w:tcBorders>
            <w:noWrap w:val="0"/>
            <w:vAlign w:val="center"/>
          </w:tcPr>
          <w:p w14:paraId="46079CC6">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p>
        </w:tc>
        <w:tc>
          <w:tcPr>
            <w:tcW w:w="236" w:type="pct"/>
            <w:vMerge w:val="continue"/>
            <w:tcBorders>
              <w:tl2br w:val="nil"/>
              <w:tr2bl w:val="nil"/>
            </w:tcBorders>
            <w:noWrap w:val="0"/>
            <w:vAlign w:val="center"/>
          </w:tcPr>
          <w:p w14:paraId="4402C2A6">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p>
        </w:tc>
      </w:tr>
      <w:tr w14:paraId="39704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55" w:type="pct"/>
            <w:vMerge w:val="restart"/>
            <w:tcBorders>
              <w:tl2br w:val="nil"/>
              <w:tr2bl w:val="nil"/>
            </w:tcBorders>
            <w:noWrap w:val="0"/>
            <w:vAlign w:val="center"/>
          </w:tcPr>
          <w:p w14:paraId="1140C060">
            <w:pPr>
              <w:pStyle w:val="26"/>
              <w:jc w:val="center"/>
              <w:outlineLvl w:val="0"/>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snapToGrid w:val="0"/>
                <w:color w:val="auto"/>
                <w:kern w:val="0"/>
                <w:sz w:val="18"/>
                <w:szCs w:val="18"/>
                <w:lang w:val="en-US" w:eastAsia="zh-CN" w:bidi="ar-SA"/>
              </w:rPr>
              <w:t>生活污水、地面清洁废水（147.96</w:t>
            </w:r>
            <w:r>
              <w:rPr>
                <w:rFonts w:hint="default" w:ascii="Times New Roman" w:hAnsi="Times New Roman" w:eastAsia="宋体" w:cs="Times New Roman"/>
                <w:color w:val="auto"/>
                <w:sz w:val="18"/>
                <w:szCs w:val="18"/>
                <w:lang w:val="en-US" w:eastAsia="zh-CN"/>
              </w:rPr>
              <w:t>m</w:t>
            </w:r>
            <w:r>
              <w:rPr>
                <w:rFonts w:hint="default" w:ascii="Times New Roman" w:hAnsi="Times New Roman" w:eastAsia="宋体" w:cs="Times New Roman"/>
                <w:color w:val="auto"/>
                <w:sz w:val="18"/>
                <w:szCs w:val="18"/>
                <w:vertAlign w:val="superscript"/>
                <w:lang w:val="en-US" w:eastAsia="zh-CN"/>
              </w:rPr>
              <w:t>3</w:t>
            </w:r>
            <w:r>
              <w:rPr>
                <w:rFonts w:hint="default" w:ascii="Times New Roman" w:hAnsi="Times New Roman" w:eastAsia="宋体" w:cs="Times New Roman"/>
                <w:color w:val="auto"/>
                <w:sz w:val="18"/>
                <w:szCs w:val="18"/>
              </w:rPr>
              <w:t>/a</w:t>
            </w:r>
            <w:r>
              <w:rPr>
                <w:rFonts w:hint="default" w:ascii="Times New Roman" w:hAnsi="Times New Roman" w:eastAsia="宋体" w:cs="Times New Roman"/>
                <w:snapToGrid w:val="0"/>
                <w:color w:val="auto"/>
                <w:kern w:val="0"/>
                <w:sz w:val="18"/>
                <w:szCs w:val="18"/>
                <w:lang w:val="en-US" w:eastAsia="zh-CN" w:bidi="ar-SA"/>
              </w:rPr>
              <w:t>）</w:t>
            </w:r>
          </w:p>
        </w:tc>
        <w:tc>
          <w:tcPr>
            <w:tcW w:w="315" w:type="pct"/>
            <w:vMerge w:val="restart"/>
            <w:tcBorders>
              <w:tl2br w:val="nil"/>
              <w:tr2bl w:val="nil"/>
            </w:tcBorders>
            <w:noWrap w:val="0"/>
            <w:vAlign w:val="center"/>
          </w:tcPr>
          <w:p w14:paraId="4AC87D25">
            <w:pPr>
              <w:pStyle w:val="26"/>
              <w:jc w:val="center"/>
              <w:outlineLvl w:val="0"/>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snapToGrid w:val="0"/>
                <w:color w:val="auto"/>
                <w:sz w:val="18"/>
                <w:szCs w:val="18"/>
                <w:lang w:val="en-US" w:eastAsia="zh-CN"/>
              </w:rPr>
              <w:t>员工生活、地面清洁</w:t>
            </w:r>
          </w:p>
        </w:tc>
        <w:tc>
          <w:tcPr>
            <w:tcW w:w="290" w:type="pct"/>
            <w:tcBorders>
              <w:tl2br w:val="nil"/>
              <w:tr2bl w:val="nil"/>
            </w:tcBorders>
            <w:noWrap w:val="0"/>
            <w:vAlign w:val="center"/>
          </w:tcPr>
          <w:p w14:paraId="0E126F24">
            <w:pPr>
              <w:pStyle w:val="26"/>
              <w:spacing w:line="240" w:lineRule="auto"/>
              <w:jc w:val="center"/>
              <w:outlineLvl w:val="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pH</w:t>
            </w:r>
          </w:p>
        </w:tc>
        <w:tc>
          <w:tcPr>
            <w:tcW w:w="219" w:type="pct"/>
            <w:vMerge w:val="restart"/>
            <w:tcBorders>
              <w:tl2br w:val="nil"/>
              <w:tr2bl w:val="nil"/>
            </w:tcBorders>
            <w:noWrap w:val="0"/>
            <w:vAlign w:val="center"/>
          </w:tcPr>
          <w:p w14:paraId="28263FB7">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排污系数法</w:t>
            </w:r>
          </w:p>
        </w:tc>
        <w:tc>
          <w:tcPr>
            <w:tcW w:w="370" w:type="pct"/>
            <w:tcBorders>
              <w:tl2br w:val="nil"/>
              <w:tr2bl w:val="nil"/>
            </w:tcBorders>
            <w:noWrap w:val="0"/>
            <w:vAlign w:val="center"/>
          </w:tcPr>
          <w:p w14:paraId="456D714F">
            <w:pPr>
              <w:pStyle w:val="26"/>
              <w:spacing w:line="240" w:lineRule="auto"/>
              <w:jc w:val="center"/>
              <w:outlineLvl w:val="0"/>
              <w:rPr>
                <w:rFonts w:hint="default" w:ascii="Times New Roman" w:hAnsi="Times New Roman" w:eastAsia="宋体" w:cs="Times New Roman"/>
                <w:b w:val="0"/>
                <w:bCs w:val="0"/>
                <w:color w:val="auto"/>
                <w:kern w:val="0"/>
                <w:sz w:val="18"/>
                <w:szCs w:val="18"/>
                <w:lang w:val="en-US" w:eastAsia="zh-CN" w:bidi="ar-SA"/>
              </w:rPr>
            </w:pPr>
            <w:r>
              <w:rPr>
                <w:rFonts w:hint="default" w:ascii="Times New Roman" w:hAnsi="Times New Roman" w:eastAsia="宋体" w:cs="Times New Roman"/>
                <w:b w:val="0"/>
                <w:bCs w:val="0"/>
                <w:color w:val="auto"/>
                <w:sz w:val="18"/>
                <w:szCs w:val="18"/>
                <w:lang w:val="en-US" w:eastAsia="zh-CN"/>
              </w:rPr>
              <w:t>6-9</w:t>
            </w:r>
          </w:p>
        </w:tc>
        <w:tc>
          <w:tcPr>
            <w:tcW w:w="415" w:type="pct"/>
            <w:tcBorders>
              <w:tl2br w:val="nil"/>
              <w:tr2bl w:val="nil"/>
            </w:tcBorders>
            <w:noWrap w:val="0"/>
            <w:vAlign w:val="center"/>
          </w:tcPr>
          <w:p w14:paraId="5E0B0D32">
            <w:pPr>
              <w:pStyle w:val="26"/>
              <w:spacing w:line="240" w:lineRule="auto"/>
              <w:jc w:val="center"/>
              <w:outlineLvl w:val="0"/>
              <w:rPr>
                <w:rFonts w:hint="default" w:ascii="Times New Roman" w:hAnsi="Times New Roman" w:eastAsia="宋体" w:cs="Times New Roman"/>
                <w:b w:val="0"/>
                <w:bCs w:val="0"/>
                <w:snapToGrid w:val="0"/>
                <w:color w:val="auto"/>
                <w:kern w:val="0"/>
                <w:sz w:val="18"/>
                <w:szCs w:val="18"/>
                <w:lang w:val="en-US" w:eastAsia="zh-CN" w:bidi="ar-SA"/>
              </w:rPr>
            </w:pPr>
            <w:r>
              <w:rPr>
                <w:rFonts w:hint="default" w:ascii="Times New Roman" w:hAnsi="Times New Roman" w:eastAsia="宋体" w:cs="Times New Roman"/>
                <w:b w:val="0"/>
                <w:bCs w:val="0"/>
                <w:snapToGrid w:val="0"/>
                <w:color w:val="auto"/>
                <w:sz w:val="18"/>
                <w:szCs w:val="18"/>
                <w:lang w:val="en-US" w:eastAsia="zh-CN"/>
              </w:rPr>
              <w:t>/</w:t>
            </w:r>
          </w:p>
        </w:tc>
        <w:tc>
          <w:tcPr>
            <w:tcW w:w="252" w:type="pct"/>
            <w:vMerge w:val="restart"/>
            <w:tcBorders>
              <w:tl2br w:val="nil"/>
              <w:tr2bl w:val="nil"/>
            </w:tcBorders>
            <w:noWrap w:val="0"/>
            <w:vAlign w:val="center"/>
          </w:tcPr>
          <w:p w14:paraId="58577B23">
            <w:pPr>
              <w:keepNext w:val="0"/>
              <w:keepLines w:val="0"/>
              <w:widowControl/>
              <w:suppressLineNumbers w:val="0"/>
              <w:jc w:val="center"/>
              <w:textAlignment w:val="center"/>
              <w:rPr>
                <w:rFonts w:hint="default" w:ascii="Times New Roman" w:hAnsi="Times New Roman" w:eastAsia="宋体" w:cs="Times New Roman"/>
                <w:b w:val="0"/>
                <w:bCs/>
                <w:snapToGrid w:val="0"/>
                <w:color w:val="auto"/>
                <w:sz w:val="18"/>
                <w:szCs w:val="18"/>
                <w:vertAlign w:val="baseline"/>
                <w:lang w:eastAsia="zh-CN"/>
              </w:rPr>
            </w:pPr>
            <w:r>
              <w:rPr>
                <w:rFonts w:hint="default" w:ascii="Times New Roman" w:hAnsi="Times New Roman" w:eastAsia="宋体" w:cs="Times New Roman"/>
                <w:b w:val="0"/>
                <w:bCs/>
                <w:snapToGrid w:val="0"/>
                <w:color w:val="auto"/>
                <w:sz w:val="18"/>
                <w:szCs w:val="18"/>
                <w:vertAlign w:val="baseline"/>
                <w:lang w:val="en-US" w:eastAsia="zh-CN"/>
              </w:rPr>
              <w:t>厌氧</w:t>
            </w:r>
          </w:p>
        </w:tc>
        <w:tc>
          <w:tcPr>
            <w:tcW w:w="269" w:type="pct"/>
            <w:tcBorders>
              <w:tl2br w:val="nil"/>
              <w:tr2bl w:val="nil"/>
            </w:tcBorders>
            <w:noWrap w:val="0"/>
            <w:vAlign w:val="center"/>
          </w:tcPr>
          <w:p w14:paraId="7452CF20">
            <w:pPr>
              <w:pStyle w:val="26"/>
              <w:spacing w:line="240" w:lineRule="auto"/>
              <w:jc w:val="center"/>
              <w:outlineLvl w:val="0"/>
              <w:rPr>
                <w:rFonts w:hint="default" w:ascii="Times New Roman" w:hAnsi="Times New Roman" w:eastAsia="宋体" w:cs="Times New Roman"/>
                <w:b w:val="0"/>
                <w:bCs w:val="0"/>
                <w:color w:val="auto"/>
                <w:kern w:val="0"/>
                <w:sz w:val="18"/>
                <w:szCs w:val="18"/>
                <w:lang w:val="en-US" w:eastAsia="zh-CN" w:bidi="ar-SA"/>
              </w:rPr>
            </w:pPr>
            <w:r>
              <w:rPr>
                <w:rFonts w:hint="default" w:ascii="Times New Roman" w:hAnsi="Times New Roman" w:eastAsia="宋体" w:cs="Times New Roman"/>
                <w:b w:val="0"/>
                <w:bCs w:val="0"/>
                <w:color w:val="auto"/>
                <w:sz w:val="18"/>
                <w:szCs w:val="18"/>
                <w:lang w:val="en-US" w:eastAsia="zh-CN"/>
              </w:rPr>
              <w:t>/</w:t>
            </w:r>
          </w:p>
        </w:tc>
        <w:tc>
          <w:tcPr>
            <w:tcW w:w="370" w:type="pct"/>
            <w:tcBorders>
              <w:tl2br w:val="nil"/>
              <w:tr2bl w:val="nil"/>
            </w:tcBorders>
            <w:noWrap w:val="0"/>
            <w:vAlign w:val="center"/>
          </w:tcPr>
          <w:p w14:paraId="44F80F89">
            <w:pPr>
              <w:pStyle w:val="26"/>
              <w:spacing w:line="240" w:lineRule="auto"/>
              <w:jc w:val="center"/>
              <w:outlineLvl w:val="0"/>
              <w:rPr>
                <w:rFonts w:hint="default" w:ascii="Times New Roman" w:hAnsi="Times New Roman" w:eastAsia="宋体" w:cs="Times New Roman"/>
                <w:b w:val="0"/>
                <w:bCs w:val="0"/>
                <w:color w:val="auto"/>
                <w:kern w:val="0"/>
                <w:sz w:val="18"/>
                <w:szCs w:val="18"/>
                <w:lang w:val="en-US" w:eastAsia="zh-CN" w:bidi="ar-SA"/>
              </w:rPr>
            </w:pPr>
            <w:r>
              <w:rPr>
                <w:rFonts w:hint="default" w:ascii="Times New Roman" w:hAnsi="Times New Roman" w:eastAsia="宋体" w:cs="Times New Roman"/>
                <w:b w:val="0"/>
                <w:bCs w:val="0"/>
                <w:color w:val="auto"/>
                <w:sz w:val="18"/>
                <w:szCs w:val="18"/>
                <w:lang w:val="en-US" w:eastAsia="zh-CN"/>
              </w:rPr>
              <w:t>6-9</w:t>
            </w:r>
          </w:p>
        </w:tc>
        <w:tc>
          <w:tcPr>
            <w:tcW w:w="284" w:type="pct"/>
            <w:tcBorders>
              <w:tl2br w:val="nil"/>
              <w:tr2bl w:val="nil"/>
            </w:tcBorders>
            <w:noWrap w:val="0"/>
            <w:vAlign w:val="center"/>
          </w:tcPr>
          <w:p w14:paraId="643339F7">
            <w:pPr>
              <w:jc w:val="center"/>
              <w:outlineLvl w:val="0"/>
              <w:rPr>
                <w:rFonts w:hint="default" w:ascii="Times New Roman" w:hAnsi="Times New Roman" w:eastAsia="宋体" w:cs="Times New Roman"/>
                <w:b w:val="0"/>
                <w:bCs w:val="0"/>
                <w:snapToGrid w:val="0"/>
                <w:color w:val="auto"/>
                <w:kern w:val="2"/>
                <w:sz w:val="18"/>
                <w:szCs w:val="18"/>
                <w:lang w:val="en-US" w:eastAsia="zh-CN" w:bidi="ar-SA"/>
              </w:rPr>
            </w:pPr>
            <w:r>
              <w:rPr>
                <w:rFonts w:hint="default" w:ascii="Times New Roman" w:hAnsi="Times New Roman" w:eastAsia="宋体" w:cs="Times New Roman"/>
                <w:b w:val="0"/>
                <w:bCs w:val="0"/>
                <w:color w:val="auto"/>
                <w:sz w:val="18"/>
                <w:szCs w:val="18"/>
                <w:lang w:val="en-US" w:eastAsia="zh-CN"/>
              </w:rPr>
              <w:t>/</w:t>
            </w:r>
          </w:p>
        </w:tc>
        <w:tc>
          <w:tcPr>
            <w:tcW w:w="215" w:type="pct"/>
            <w:vMerge w:val="restart"/>
            <w:tcBorders>
              <w:tl2br w:val="nil"/>
              <w:tr2bl w:val="nil"/>
            </w:tcBorders>
            <w:noWrap w:val="0"/>
            <w:vAlign w:val="center"/>
          </w:tcPr>
          <w:p w14:paraId="2FD2789C">
            <w:pPr>
              <w:keepNext w:val="0"/>
              <w:keepLines w:val="0"/>
              <w:widowControl/>
              <w:suppressLineNumbers w:val="0"/>
              <w:jc w:val="center"/>
              <w:textAlignment w:val="center"/>
              <w:rPr>
                <w:rFonts w:hint="default" w:ascii="Times New Roman" w:hAnsi="Times New Roman" w:eastAsia="宋体" w:cs="Times New Roman"/>
                <w:b w:val="0"/>
                <w:bCs/>
                <w:snapToGrid w:val="0"/>
                <w:color w:val="auto"/>
                <w:sz w:val="18"/>
                <w:szCs w:val="18"/>
                <w:vertAlign w:val="baseline"/>
                <w:lang w:val="en-US" w:eastAsia="zh-CN"/>
              </w:rPr>
            </w:pPr>
            <w:r>
              <w:rPr>
                <w:rFonts w:hint="eastAsia" w:ascii="Times New Roman" w:hAnsi="Times New Roman" w:cs="Times New Roman"/>
                <w:b w:val="0"/>
                <w:bCs/>
                <w:snapToGrid w:val="0"/>
                <w:color w:val="auto"/>
                <w:sz w:val="18"/>
                <w:szCs w:val="18"/>
                <w:vertAlign w:val="baseline"/>
                <w:lang w:val="en-US" w:eastAsia="zh-CN"/>
              </w:rPr>
              <w:t>南溪组团A区污水处理厂</w:t>
            </w:r>
          </w:p>
        </w:tc>
        <w:tc>
          <w:tcPr>
            <w:tcW w:w="689" w:type="pct"/>
            <w:vMerge w:val="restart"/>
            <w:tcBorders>
              <w:tl2br w:val="nil"/>
              <w:tr2bl w:val="nil"/>
            </w:tcBorders>
            <w:noWrap w:val="0"/>
            <w:vAlign w:val="center"/>
          </w:tcPr>
          <w:p w14:paraId="4859DDD8">
            <w:pPr>
              <w:keepNext w:val="0"/>
              <w:keepLines w:val="0"/>
              <w:widowControl/>
              <w:suppressLineNumbers w:val="0"/>
              <w:jc w:val="center"/>
              <w:textAlignment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rPr>
              <w:t>《城镇污水处理厂污染物排放标准》（GB18918-2002）一级B标。</w:t>
            </w:r>
          </w:p>
        </w:tc>
        <w:tc>
          <w:tcPr>
            <w:tcW w:w="337" w:type="pct"/>
            <w:tcBorders>
              <w:tl2br w:val="nil"/>
              <w:tr2bl w:val="nil"/>
            </w:tcBorders>
            <w:noWrap w:val="0"/>
            <w:vAlign w:val="center"/>
          </w:tcPr>
          <w:p w14:paraId="31EA7B99">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val="0"/>
                <w:bCs w:val="0"/>
                <w:color w:val="auto"/>
                <w:sz w:val="18"/>
                <w:szCs w:val="18"/>
                <w:lang w:val="en-US" w:eastAsia="zh-CN"/>
              </w:rPr>
              <w:t>6-9</w:t>
            </w:r>
          </w:p>
        </w:tc>
        <w:tc>
          <w:tcPr>
            <w:tcW w:w="277" w:type="pct"/>
            <w:tcBorders>
              <w:tl2br w:val="nil"/>
              <w:tr2bl w:val="nil"/>
            </w:tcBorders>
            <w:noWrap w:val="0"/>
            <w:vAlign w:val="center"/>
          </w:tcPr>
          <w:p w14:paraId="6DF8CD4F">
            <w:pPr>
              <w:pStyle w:val="26"/>
              <w:spacing w:line="240" w:lineRule="auto"/>
              <w:jc w:val="center"/>
              <w:outlineLvl w:val="0"/>
              <w:rPr>
                <w:rFonts w:hint="default" w:ascii="Times New Roman" w:hAnsi="Times New Roman" w:eastAsia="宋体" w:cs="Times New Roman"/>
                <w:b/>
                <w:bCs/>
                <w:snapToGrid w:val="0"/>
                <w:color w:val="auto"/>
                <w:kern w:val="0"/>
                <w:sz w:val="18"/>
                <w:szCs w:val="18"/>
                <w:lang w:val="en-US" w:eastAsia="zh-CN" w:bidi="ar-SA"/>
              </w:rPr>
            </w:pPr>
            <w:r>
              <w:rPr>
                <w:rFonts w:hint="default" w:ascii="Times New Roman" w:hAnsi="Times New Roman" w:eastAsia="宋体" w:cs="Times New Roman"/>
                <w:b w:val="0"/>
                <w:bCs w:val="0"/>
                <w:color w:val="auto"/>
                <w:sz w:val="18"/>
                <w:szCs w:val="18"/>
                <w:lang w:val="en-US" w:eastAsia="zh-CN"/>
              </w:rPr>
              <w:t>/</w:t>
            </w:r>
          </w:p>
        </w:tc>
        <w:tc>
          <w:tcPr>
            <w:tcW w:w="236" w:type="pct"/>
            <w:vMerge w:val="restart"/>
            <w:tcBorders>
              <w:tl2br w:val="nil"/>
              <w:tr2bl w:val="nil"/>
            </w:tcBorders>
            <w:noWrap w:val="0"/>
            <w:vAlign w:val="center"/>
          </w:tcPr>
          <w:p w14:paraId="25264B89">
            <w:pPr>
              <w:pStyle w:val="59"/>
              <w:ind w:left="0" w:leftChars="0" w:firstLine="0" w:firstLineChars="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300d</w:t>
            </w:r>
          </w:p>
        </w:tc>
      </w:tr>
      <w:tr w14:paraId="16E47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455" w:type="pct"/>
            <w:vMerge w:val="continue"/>
            <w:tcBorders>
              <w:tl2br w:val="nil"/>
              <w:tr2bl w:val="nil"/>
            </w:tcBorders>
            <w:noWrap w:val="0"/>
            <w:vAlign w:val="center"/>
          </w:tcPr>
          <w:p w14:paraId="0BD99133">
            <w:pPr>
              <w:pStyle w:val="26"/>
              <w:jc w:val="center"/>
              <w:outlineLvl w:val="0"/>
              <w:rPr>
                <w:rFonts w:hint="default" w:ascii="Times New Roman" w:hAnsi="Times New Roman" w:eastAsia="宋体" w:cs="Times New Roman"/>
                <w:snapToGrid w:val="0"/>
                <w:color w:val="auto"/>
                <w:kern w:val="0"/>
                <w:sz w:val="18"/>
                <w:szCs w:val="18"/>
                <w:lang w:val="en-US" w:eastAsia="zh-CN" w:bidi="ar-SA"/>
              </w:rPr>
            </w:pPr>
          </w:p>
        </w:tc>
        <w:tc>
          <w:tcPr>
            <w:tcW w:w="315" w:type="pct"/>
            <w:vMerge w:val="continue"/>
            <w:tcBorders>
              <w:tl2br w:val="nil"/>
              <w:tr2bl w:val="nil"/>
            </w:tcBorders>
            <w:noWrap w:val="0"/>
            <w:vAlign w:val="center"/>
          </w:tcPr>
          <w:p w14:paraId="450E35DC">
            <w:pPr>
              <w:pStyle w:val="26"/>
              <w:jc w:val="center"/>
              <w:outlineLvl w:val="0"/>
              <w:rPr>
                <w:rFonts w:hint="default" w:ascii="Times New Roman" w:hAnsi="Times New Roman" w:eastAsia="宋体" w:cs="Times New Roman"/>
                <w:snapToGrid w:val="0"/>
                <w:color w:val="auto"/>
                <w:kern w:val="0"/>
                <w:sz w:val="18"/>
                <w:szCs w:val="18"/>
                <w:lang w:val="en-US" w:eastAsia="zh-CN" w:bidi="ar-SA"/>
              </w:rPr>
            </w:pPr>
          </w:p>
        </w:tc>
        <w:tc>
          <w:tcPr>
            <w:tcW w:w="290" w:type="pct"/>
            <w:tcBorders>
              <w:tl2br w:val="nil"/>
              <w:tr2bl w:val="nil"/>
            </w:tcBorders>
            <w:noWrap w:val="0"/>
            <w:vAlign w:val="center"/>
          </w:tcPr>
          <w:p w14:paraId="58101318">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COD</w:t>
            </w:r>
          </w:p>
        </w:tc>
        <w:tc>
          <w:tcPr>
            <w:tcW w:w="219" w:type="pct"/>
            <w:vMerge w:val="continue"/>
            <w:tcBorders>
              <w:tl2br w:val="nil"/>
              <w:tr2bl w:val="nil"/>
            </w:tcBorders>
            <w:noWrap w:val="0"/>
            <w:vAlign w:val="center"/>
          </w:tcPr>
          <w:p w14:paraId="58DB5517">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18"/>
                <w:szCs w:val="18"/>
                <w:lang w:val="en-US" w:eastAsia="zh-CN" w:bidi="ar-SA"/>
              </w:rPr>
            </w:pPr>
          </w:p>
        </w:tc>
        <w:tc>
          <w:tcPr>
            <w:tcW w:w="370" w:type="pct"/>
            <w:tcBorders>
              <w:tl2br w:val="nil"/>
              <w:tr2bl w:val="nil"/>
            </w:tcBorders>
            <w:noWrap w:val="0"/>
            <w:vAlign w:val="center"/>
          </w:tcPr>
          <w:p w14:paraId="2220DE52">
            <w:pPr>
              <w:jc w:val="center"/>
              <w:rPr>
                <w:rFonts w:hint="default"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500</w:t>
            </w:r>
          </w:p>
        </w:tc>
        <w:tc>
          <w:tcPr>
            <w:tcW w:w="1240" w:type="dxa"/>
            <w:tcBorders>
              <w:tl2br w:val="nil"/>
              <w:tr2bl w:val="nil"/>
            </w:tcBorders>
            <w:noWrap w:val="0"/>
            <w:vAlign w:val="center"/>
          </w:tcPr>
          <w:p w14:paraId="0AF2127F">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 xml:space="preserve">0.074 </w:t>
            </w:r>
          </w:p>
        </w:tc>
        <w:tc>
          <w:tcPr>
            <w:tcW w:w="252" w:type="pct"/>
            <w:vMerge w:val="continue"/>
            <w:tcBorders>
              <w:tl2br w:val="nil"/>
              <w:tr2bl w:val="nil"/>
            </w:tcBorders>
            <w:noWrap w:val="0"/>
            <w:vAlign w:val="center"/>
          </w:tcPr>
          <w:p w14:paraId="04C1200D">
            <w:pPr>
              <w:keepNext w:val="0"/>
              <w:keepLines w:val="0"/>
              <w:widowControl/>
              <w:suppressLineNumbers w:val="0"/>
              <w:jc w:val="center"/>
              <w:textAlignment w:val="center"/>
              <w:rPr>
                <w:rFonts w:hint="default" w:ascii="Times New Roman" w:hAnsi="Times New Roman" w:eastAsia="宋体" w:cs="Times New Roman"/>
                <w:b w:val="0"/>
                <w:bCs/>
                <w:snapToGrid w:val="0"/>
                <w:color w:val="auto"/>
                <w:sz w:val="18"/>
                <w:szCs w:val="18"/>
                <w:vertAlign w:val="baseline"/>
                <w:lang w:eastAsia="zh-CN"/>
              </w:rPr>
            </w:pPr>
          </w:p>
        </w:tc>
        <w:tc>
          <w:tcPr>
            <w:tcW w:w="269" w:type="pct"/>
            <w:tcBorders>
              <w:tl2br w:val="nil"/>
              <w:tr2bl w:val="nil"/>
            </w:tcBorders>
            <w:noWrap w:val="0"/>
            <w:vAlign w:val="center"/>
          </w:tcPr>
          <w:p w14:paraId="7A5FD13D">
            <w:pPr>
              <w:jc w:val="center"/>
              <w:rPr>
                <w:rFonts w:hint="default" w:ascii="Times New Roman" w:hAnsi="Times New Roman" w:eastAsia="宋体" w:cs="Times New Roman"/>
                <w:bCs/>
                <w:snapToGrid w:val="0"/>
                <w:color w:val="auto"/>
                <w:kern w:val="2"/>
                <w:sz w:val="18"/>
                <w:szCs w:val="18"/>
                <w:lang w:val="en-US" w:eastAsia="zh-CN" w:bidi="ar-SA"/>
              </w:rPr>
            </w:pPr>
            <w:r>
              <w:rPr>
                <w:rFonts w:hint="default" w:ascii="Times New Roman" w:hAnsi="Times New Roman" w:cs="Times New Roman"/>
                <w:snapToGrid w:val="0"/>
                <w:color w:val="auto"/>
                <w:kern w:val="0"/>
                <w:sz w:val="18"/>
                <w:szCs w:val="18"/>
              </w:rPr>
              <w:t>20</w:t>
            </w:r>
          </w:p>
        </w:tc>
        <w:tc>
          <w:tcPr>
            <w:tcW w:w="370" w:type="pct"/>
            <w:tcBorders>
              <w:tl2br w:val="nil"/>
              <w:tr2bl w:val="nil"/>
            </w:tcBorders>
            <w:noWrap w:val="0"/>
            <w:vAlign w:val="center"/>
          </w:tcPr>
          <w:p w14:paraId="36A68ED1">
            <w:pPr>
              <w:jc w:val="center"/>
              <w:rPr>
                <w:rFonts w:hint="default" w:ascii="Times New Roman" w:hAnsi="Times New Roman" w:cs="Times New Roman"/>
                <w:snapToGrid w:val="0"/>
                <w:color w:val="auto"/>
                <w:kern w:val="0"/>
                <w:sz w:val="18"/>
                <w:szCs w:val="18"/>
                <w:lang w:val="en-US" w:eastAsia="zh-CN" w:bidi="ar-SA"/>
              </w:rPr>
            </w:pPr>
            <w:r>
              <w:rPr>
                <w:rFonts w:hint="default" w:ascii="Times New Roman" w:hAnsi="Times New Roman" w:cs="Times New Roman"/>
                <w:snapToGrid w:val="0"/>
                <w:color w:val="auto"/>
                <w:kern w:val="0"/>
                <w:sz w:val="18"/>
                <w:szCs w:val="18"/>
              </w:rPr>
              <w:t>400</w:t>
            </w:r>
          </w:p>
        </w:tc>
        <w:tc>
          <w:tcPr>
            <w:tcW w:w="848" w:type="dxa"/>
            <w:tcBorders>
              <w:tl2br w:val="nil"/>
              <w:tr2bl w:val="nil"/>
            </w:tcBorders>
            <w:noWrap w:val="0"/>
            <w:vAlign w:val="center"/>
          </w:tcPr>
          <w:p w14:paraId="307E3410">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 xml:space="preserve">0.059 </w:t>
            </w:r>
          </w:p>
        </w:tc>
        <w:tc>
          <w:tcPr>
            <w:tcW w:w="215" w:type="pct"/>
            <w:vMerge w:val="continue"/>
            <w:tcBorders>
              <w:tl2br w:val="nil"/>
              <w:tr2bl w:val="nil"/>
            </w:tcBorders>
            <w:noWrap w:val="0"/>
            <w:vAlign w:val="center"/>
          </w:tcPr>
          <w:p w14:paraId="6FDC71CF">
            <w:pPr>
              <w:keepNext w:val="0"/>
              <w:keepLines w:val="0"/>
              <w:widowControl/>
              <w:suppressLineNumbers w:val="0"/>
              <w:jc w:val="center"/>
              <w:textAlignment w:val="center"/>
              <w:rPr>
                <w:rFonts w:hint="default" w:ascii="Times New Roman" w:hAnsi="Times New Roman" w:eastAsia="宋体" w:cs="Times New Roman"/>
                <w:b w:val="0"/>
                <w:bCs/>
                <w:snapToGrid w:val="0"/>
                <w:color w:val="auto"/>
                <w:sz w:val="18"/>
                <w:szCs w:val="18"/>
                <w:vertAlign w:val="baseline"/>
                <w:lang w:val="en-US" w:eastAsia="zh-CN"/>
              </w:rPr>
            </w:pPr>
          </w:p>
        </w:tc>
        <w:tc>
          <w:tcPr>
            <w:tcW w:w="689" w:type="pct"/>
            <w:vMerge w:val="continue"/>
            <w:tcBorders>
              <w:tl2br w:val="nil"/>
              <w:tr2bl w:val="nil"/>
            </w:tcBorders>
            <w:noWrap w:val="0"/>
            <w:vAlign w:val="center"/>
          </w:tcPr>
          <w:p w14:paraId="71327C05">
            <w:pPr>
              <w:keepNext w:val="0"/>
              <w:keepLines w:val="0"/>
              <w:widowControl/>
              <w:suppressLineNumbers w:val="0"/>
              <w:jc w:val="center"/>
              <w:textAlignment w:val="center"/>
              <w:rPr>
                <w:rFonts w:hint="default" w:ascii="Times New Roman" w:hAnsi="Times New Roman" w:eastAsia="宋体" w:cs="Times New Roman"/>
                <w:color w:val="auto"/>
                <w:sz w:val="18"/>
                <w:szCs w:val="18"/>
                <w:lang w:eastAsia="zh-CN"/>
              </w:rPr>
            </w:pPr>
          </w:p>
        </w:tc>
        <w:tc>
          <w:tcPr>
            <w:tcW w:w="337" w:type="pct"/>
            <w:tcBorders>
              <w:tl2br w:val="nil"/>
              <w:tr2bl w:val="nil"/>
            </w:tcBorders>
            <w:noWrap w:val="0"/>
            <w:vAlign w:val="center"/>
          </w:tcPr>
          <w:p w14:paraId="38120025">
            <w:pPr>
              <w:jc w:val="center"/>
              <w:rPr>
                <w:rFonts w:hint="default" w:ascii="Times New Roman" w:hAnsi="Times New Roman" w:eastAsia="宋体" w:cs="Times New Roman"/>
                <w:snapToGrid w:val="0"/>
                <w:color w:val="auto"/>
                <w:kern w:val="0"/>
                <w:sz w:val="18"/>
                <w:szCs w:val="18"/>
                <w:lang w:val="en-US" w:eastAsia="zh-CN"/>
              </w:rPr>
            </w:pPr>
            <w:r>
              <w:rPr>
                <w:rFonts w:hint="eastAsia" w:ascii="Times New Roman" w:hAnsi="Times New Roman" w:eastAsia="宋体" w:cs="Times New Roman"/>
                <w:snapToGrid w:val="0"/>
                <w:color w:val="auto"/>
                <w:kern w:val="0"/>
                <w:sz w:val="18"/>
                <w:szCs w:val="18"/>
                <w:lang w:val="en-US" w:eastAsia="zh-CN"/>
              </w:rPr>
              <w:t>60</w:t>
            </w:r>
          </w:p>
        </w:tc>
        <w:tc>
          <w:tcPr>
            <w:tcW w:w="829" w:type="dxa"/>
            <w:tcBorders>
              <w:tl2br w:val="nil"/>
              <w:tr2bl w:val="nil"/>
            </w:tcBorders>
            <w:noWrap w:val="0"/>
            <w:vAlign w:val="center"/>
          </w:tcPr>
          <w:p w14:paraId="333B8D67">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 xml:space="preserve">0.009 </w:t>
            </w:r>
          </w:p>
        </w:tc>
        <w:tc>
          <w:tcPr>
            <w:tcW w:w="236" w:type="pct"/>
            <w:vMerge w:val="continue"/>
            <w:tcBorders>
              <w:tl2br w:val="nil"/>
              <w:tr2bl w:val="nil"/>
            </w:tcBorders>
            <w:noWrap w:val="0"/>
            <w:vAlign w:val="center"/>
          </w:tcPr>
          <w:p w14:paraId="327C5FAE">
            <w:pPr>
              <w:pStyle w:val="59"/>
              <w:ind w:left="0" w:leftChars="0" w:firstLine="0" w:firstLineChars="0"/>
              <w:jc w:val="center"/>
              <w:rPr>
                <w:rFonts w:hint="default" w:ascii="Times New Roman" w:hAnsi="Times New Roman" w:eastAsia="宋体" w:cs="Times New Roman"/>
                <w:color w:val="auto"/>
                <w:sz w:val="18"/>
                <w:szCs w:val="18"/>
                <w:lang w:val="en-US" w:eastAsia="zh-CN"/>
              </w:rPr>
            </w:pPr>
          </w:p>
        </w:tc>
      </w:tr>
      <w:tr w14:paraId="71EE3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Merge w:val="continue"/>
            <w:tcBorders>
              <w:tl2br w:val="nil"/>
              <w:tr2bl w:val="nil"/>
            </w:tcBorders>
            <w:noWrap w:val="0"/>
            <w:vAlign w:val="center"/>
          </w:tcPr>
          <w:p w14:paraId="715B8B7B">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snapToGrid w:val="0"/>
                <w:color w:val="auto"/>
                <w:sz w:val="18"/>
                <w:szCs w:val="18"/>
                <w:vertAlign w:val="baseline"/>
                <w:lang w:eastAsia="zh-CN"/>
              </w:rPr>
            </w:pPr>
          </w:p>
        </w:tc>
        <w:tc>
          <w:tcPr>
            <w:tcW w:w="315" w:type="pct"/>
            <w:vMerge w:val="continue"/>
            <w:tcBorders>
              <w:tl2br w:val="nil"/>
              <w:tr2bl w:val="nil"/>
            </w:tcBorders>
            <w:noWrap w:val="0"/>
            <w:vAlign w:val="center"/>
          </w:tcPr>
          <w:p w14:paraId="1B86CF5C">
            <w:pPr>
              <w:jc w:val="center"/>
              <w:rPr>
                <w:rFonts w:hint="default" w:ascii="Times New Roman" w:hAnsi="Times New Roman" w:eastAsia="宋体" w:cs="Times New Roman"/>
                <w:color w:val="auto"/>
                <w:kern w:val="2"/>
                <w:sz w:val="18"/>
                <w:szCs w:val="18"/>
                <w:lang w:val="en-US" w:eastAsia="zh-CN" w:bidi="ar-SA"/>
              </w:rPr>
            </w:pPr>
          </w:p>
        </w:tc>
        <w:tc>
          <w:tcPr>
            <w:tcW w:w="290" w:type="pct"/>
            <w:tcBorders>
              <w:tl2br w:val="nil"/>
              <w:tr2bl w:val="nil"/>
            </w:tcBorders>
            <w:noWrap w:val="0"/>
            <w:vAlign w:val="center"/>
          </w:tcPr>
          <w:p w14:paraId="2CD5077E">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BOD</w:t>
            </w:r>
            <w:r>
              <w:rPr>
                <w:rFonts w:hint="default" w:ascii="Times New Roman" w:hAnsi="Times New Roman" w:eastAsia="宋体" w:cs="Times New Roman"/>
                <w:i w:val="0"/>
                <w:iCs w:val="0"/>
                <w:color w:val="auto"/>
                <w:kern w:val="0"/>
                <w:sz w:val="18"/>
                <w:szCs w:val="18"/>
                <w:u w:val="none"/>
                <w:vertAlign w:val="subscript"/>
                <w:lang w:val="en-US" w:eastAsia="zh-CN" w:bidi="ar"/>
              </w:rPr>
              <w:t>5</w:t>
            </w:r>
          </w:p>
        </w:tc>
        <w:tc>
          <w:tcPr>
            <w:tcW w:w="219" w:type="pct"/>
            <w:vMerge w:val="continue"/>
            <w:tcBorders>
              <w:tl2br w:val="nil"/>
              <w:tr2bl w:val="nil"/>
            </w:tcBorders>
            <w:noWrap w:val="0"/>
            <w:vAlign w:val="center"/>
          </w:tcPr>
          <w:p w14:paraId="584833EF">
            <w:pPr>
              <w:jc w:val="center"/>
              <w:rPr>
                <w:rFonts w:hint="default" w:ascii="Times New Roman" w:hAnsi="Times New Roman" w:eastAsia="宋体" w:cs="Times New Roman"/>
                <w:b w:val="0"/>
                <w:bCs/>
                <w:snapToGrid w:val="0"/>
                <w:color w:val="auto"/>
                <w:sz w:val="18"/>
                <w:szCs w:val="18"/>
                <w:vertAlign w:val="baseline"/>
                <w:lang w:eastAsia="zh-CN"/>
              </w:rPr>
            </w:pPr>
          </w:p>
        </w:tc>
        <w:tc>
          <w:tcPr>
            <w:tcW w:w="370" w:type="pct"/>
            <w:tcBorders>
              <w:tl2br w:val="nil"/>
              <w:tr2bl w:val="nil"/>
            </w:tcBorders>
            <w:noWrap w:val="0"/>
            <w:vAlign w:val="center"/>
          </w:tcPr>
          <w:p w14:paraId="6F946E4D">
            <w:pPr>
              <w:jc w:val="center"/>
              <w:rPr>
                <w:rFonts w:hint="default"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400</w:t>
            </w:r>
          </w:p>
        </w:tc>
        <w:tc>
          <w:tcPr>
            <w:tcW w:w="1240" w:type="dxa"/>
            <w:tcBorders>
              <w:tl2br w:val="nil"/>
              <w:tr2bl w:val="nil"/>
            </w:tcBorders>
            <w:noWrap w:val="0"/>
            <w:vAlign w:val="center"/>
          </w:tcPr>
          <w:p w14:paraId="75537CD3">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 xml:space="preserve">0.059 </w:t>
            </w:r>
          </w:p>
        </w:tc>
        <w:tc>
          <w:tcPr>
            <w:tcW w:w="252" w:type="pct"/>
            <w:vMerge w:val="continue"/>
            <w:tcBorders>
              <w:tl2br w:val="nil"/>
              <w:tr2bl w:val="nil"/>
            </w:tcBorders>
            <w:noWrap w:val="0"/>
            <w:vAlign w:val="center"/>
          </w:tcPr>
          <w:p w14:paraId="5CE89D70">
            <w:pPr>
              <w:jc w:val="center"/>
              <w:rPr>
                <w:rFonts w:hint="default" w:ascii="Times New Roman" w:hAnsi="Times New Roman" w:eastAsia="宋体" w:cs="Times New Roman"/>
                <w:b w:val="0"/>
                <w:bCs/>
                <w:snapToGrid w:val="0"/>
                <w:color w:val="auto"/>
                <w:sz w:val="18"/>
                <w:szCs w:val="18"/>
                <w:vertAlign w:val="baseline"/>
                <w:lang w:eastAsia="zh-CN"/>
              </w:rPr>
            </w:pPr>
          </w:p>
        </w:tc>
        <w:tc>
          <w:tcPr>
            <w:tcW w:w="269" w:type="pct"/>
            <w:tcBorders>
              <w:tl2br w:val="nil"/>
              <w:tr2bl w:val="nil"/>
            </w:tcBorders>
            <w:noWrap w:val="0"/>
            <w:vAlign w:val="center"/>
          </w:tcPr>
          <w:p w14:paraId="3FE4ED9C">
            <w:pPr>
              <w:jc w:val="center"/>
              <w:rPr>
                <w:rFonts w:hint="default" w:ascii="Times New Roman" w:hAnsi="Times New Roman" w:eastAsia="宋体" w:cs="Times New Roman"/>
                <w:bCs/>
                <w:snapToGrid w:val="0"/>
                <w:color w:val="auto"/>
                <w:kern w:val="2"/>
                <w:sz w:val="18"/>
                <w:szCs w:val="18"/>
                <w:lang w:val="en-US" w:eastAsia="zh-CN" w:bidi="ar-SA"/>
              </w:rPr>
            </w:pPr>
            <w:r>
              <w:rPr>
                <w:rFonts w:hint="default" w:ascii="Times New Roman" w:hAnsi="Times New Roman" w:cs="Times New Roman"/>
                <w:snapToGrid w:val="0"/>
                <w:color w:val="auto"/>
                <w:kern w:val="0"/>
                <w:sz w:val="18"/>
                <w:szCs w:val="18"/>
              </w:rPr>
              <w:t>25</w:t>
            </w:r>
          </w:p>
        </w:tc>
        <w:tc>
          <w:tcPr>
            <w:tcW w:w="370" w:type="pct"/>
            <w:tcBorders>
              <w:tl2br w:val="nil"/>
              <w:tr2bl w:val="nil"/>
            </w:tcBorders>
            <w:noWrap w:val="0"/>
            <w:vAlign w:val="center"/>
          </w:tcPr>
          <w:p w14:paraId="37A73838">
            <w:pPr>
              <w:jc w:val="center"/>
              <w:rPr>
                <w:rFonts w:hint="default" w:ascii="Times New Roman" w:hAnsi="Times New Roman" w:cs="Times New Roman"/>
                <w:snapToGrid w:val="0"/>
                <w:color w:val="auto"/>
                <w:kern w:val="0"/>
                <w:sz w:val="18"/>
                <w:szCs w:val="18"/>
                <w:lang w:val="en-US" w:eastAsia="zh-CN" w:bidi="ar-SA"/>
              </w:rPr>
            </w:pPr>
            <w:r>
              <w:rPr>
                <w:rFonts w:hint="default" w:ascii="Times New Roman" w:hAnsi="Times New Roman" w:cs="Times New Roman"/>
                <w:snapToGrid w:val="0"/>
                <w:color w:val="auto"/>
                <w:kern w:val="0"/>
                <w:sz w:val="18"/>
                <w:szCs w:val="18"/>
              </w:rPr>
              <w:t>300</w:t>
            </w:r>
          </w:p>
        </w:tc>
        <w:tc>
          <w:tcPr>
            <w:tcW w:w="848" w:type="dxa"/>
            <w:tcBorders>
              <w:tl2br w:val="nil"/>
              <w:tr2bl w:val="nil"/>
            </w:tcBorders>
            <w:noWrap w:val="0"/>
            <w:vAlign w:val="center"/>
          </w:tcPr>
          <w:p w14:paraId="731B090C">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 xml:space="preserve">0.044 </w:t>
            </w:r>
          </w:p>
        </w:tc>
        <w:tc>
          <w:tcPr>
            <w:tcW w:w="215" w:type="pct"/>
            <w:vMerge w:val="continue"/>
            <w:tcBorders>
              <w:tl2br w:val="nil"/>
              <w:tr2bl w:val="nil"/>
            </w:tcBorders>
            <w:noWrap w:val="0"/>
            <w:vAlign w:val="center"/>
          </w:tcPr>
          <w:p w14:paraId="2F17DF41">
            <w:pPr>
              <w:jc w:val="center"/>
              <w:rPr>
                <w:rFonts w:hint="default" w:ascii="Times New Roman" w:hAnsi="Times New Roman" w:eastAsia="宋体" w:cs="Times New Roman"/>
                <w:b w:val="0"/>
                <w:bCs/>
                <w:snapToGrid w:val="0"/>
                <w:color w:val="auto"/>
                <w:sz w:val="18"/>
                <w:szCs w:val="18"/>
                <w:vertAlign w:val="baseline"/>
                <w:lang w:val="en-US" w:eastAsia="zh-CN"/>
              </w:rPr>
            </w:pPr>
          </w:p>
        </w:tc>
        <w:tc>
          <w:tcPr>
            <w:tcW w:w="689" w:type="pct"/>
            <w:vMerge w:val="continue"/>
            <w:tcBorders>
              <w:tl2br w:val="nil"/>
              <w:tr2bl w:val="nil"/>
            </w:tcBorders>
            <w:noWrap w:val="0"/>
            <w:vAlign w:val="center"/>
          </w:tcPr>
          <w:p w14:paraId="67829ED0">
            <w:pPr>
              <w:jc w:val="center"/>
              <w:rPr>
                <w:rFonts w:hint="default" w:ascii="Times New Roman" w:hAnsi="Times New Roman" w:eastAsia="宋体" w:cs="Times New Roman"/>
                <w:b w:val="0"/>
                <w:bCs/>
                <w:snapToGrid w:val="0"/>
                <w:color w:val="auto"/>
                <w:sz w:val="18"/>
                <w:szCs w:val="18"/>
                <w:vertAlign w:val="baseline"/>
                <w:lang w:val="en-US" w:eastAsia="zh-CN"/>
              </w:rPr>
            </w:pPr>
          </w:p>
        </w:tc>
        <w:tc>
          <w:tcPr>
            <w:tcW w:w="337" w:type="pct"/>
            <w:tcBorders>
              <w:tl2br w:val="nil"/>
              <w:tr2bl w:val="nil"/>
            </w:tcBorders>
            <w:noWrap w:val="0"/>
            <w:vAlign w:val="center"/>
          </w:tcPr>
          <w:p w14:paraId="2FE3FA1F">
            <w:pPr>
              <w:jc w:val="center"/>
              <w:rPr>
                <w:rFonts w:hint="default" w:ascii="Times New Roman" w:hAnsi="Times New Roman" w:eastAsia="宋体" w:cs="Times New Roman"/>
                <w:snapToGrid w:val="0"/>
                <w:color w:val="auto"/>
                <w:kern w:val="0"/>
                <w:sz w:val="18"/>
                <w:szCs w:val="18"/>
                <w:lang w:val="en-US" w:eastAsia="zh-CN"/>
              </w:rPr>
            </w:pPr>
            <w:r>
              <w:rPr>
                <w:rFonts w:hint="eastAsia" w:ascii="Times New Roman" w:hAnsi="Times New Roman" w:eastAsia="宋体" w:cs="Times New Roman"/>
                <w:snapToGrid w:val="0"/>
                <w:color w:val="auto"/>
                <w:kern w:val="0"/>
                <w:sz w:val="18"/>
                <w:szCs w:val="18"/>
                <w:lang w:val="en-US" w:eastAsia="zh-CN"/>
              </w:rPr>
              <w:t>20</w:t>
            </w:r>
          </w:p>
        </w:tc>
        <w:tc>
          <w:tcPr>
            <w:tcW w:w="829" w:type="dxa"/>
            <w:tcBorders>
              <w:tl2br w:val="nil"/>
              <w:tr2bl w:val="nil"/>
            </w:tcBorders>
            <w:noWrap w:val="0"/>
            <w:vAlign w:val="center"/>
          </w:tcPr>
          <w:p w14:paraId="3F6DBF15">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 xml:space="preserve">0.003 </w:t>
            </w:r>
          </w:p>
        </w:tc>
        <w:tc>
          <w:tcPr>
            <w:tcW w:w="236" w:type="pct"/>
            <w:vMerge w:val="continue"/>
            <w:tcBorders>
              <w:tl2br w:val="nil"/>
              <w:tr2bl w:val="nil"/>
            </w:tcBorders>
            <w:noWrap w:val="0"/>
            <w:vAlign w:val="center"/>
          </w:tcPr>
          <w:p w14:paraId="2B800952">
            <w:pPr>
              <w:pStyle w:val="59"/>
              <w:jc w:val="center"/>
              <w:rPr>
                <w:rFonts w:hint="default" w:ascii="Times New Roman" w:hAnsi="Times New Roman" w:eastAsia="宋体" w:cs="Times New Roman"/>
                <w:color w:val="auto"/>
                <w:sz w:val="18"/>
                <w:szCs w:val="18"/>
              </w:rPr>
            </w:pPr>
          </w:p>
        </w:tc>
      </w:tr>
      <w:tr w14:paraId="0B19C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Merge w:val="continue"/>
            <w:tcBorders>
              <w:tl2br w:val="nil"/>
              <w:tr2bl w:val="nil"/>
            </w:tcBorders>
            <w:noWrap w:val="0"/>
            <w:vAlign w:val="center"/>
          </w:tcPr>
          <w:p w14:paraId="2E372588">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val="0"/>
                <w:bCs/>
                <w:snapToGrid w:val="0"/>
                <w:color w:val="auto"/>
                <w:sz w:val="18"/>
                <w:szCs w:val="18"/>
                <w:vertAlign w:val="baseline"/>
                <w:lang w:eastAsia="zh-CN"/>
              </w:rPr>
            </w:pPr>
          </w:p>
        </w:tc>
        <w:tc>
          <w:tcPr>
            <w:tcW w:w="315" w:type="pct"/>
            <w:vMerge w:val="continue"/>
            <w:tcBorders>
              <w:tl2br w:val="nil"/>
              <w:tr2bl w:val="nil"/>
            </w:tcBorders>
            <w:noWrap w:val="0"/>
            <w:vAlign w:val="center"/>
          </w:tcPr>
          <w:p w14:paraId="5ED4712E">
            <w:pPr>
              <w:jc w:val="center"/>
              <w:rPr>
                <w:rFonts w:hint="default" w:ascii="Times New Roman" w:hAnsi="Times New Roman" w:eastAsia="宋体" w:cs="Times New Roman"/>
                <w:color w:val="auto"/>
                <w:kern w:val="2"/>
                <w:sz w:val="18"/>
                <w:szCs w:val="18"/>
                <w:lang w:val="en-US" w:eastAsia="zh-CN" w:bidi="ar-SA"/>
              </w:rPr>
            </w:pPr>
          </w:p>
        </w:tc>
        <w:tc>
          <w:tcPr>
            <w:tcW w:w="290" w:type="pct"/>
            <w:tcBorders>
              <w:tl2br w:val="nil"/>
              <w:tr2bl w:val="nil"/>
            </w:tcBorders>
            <w:noWrap w:val="0"/>
            <w:vAlign w:val="center"/>
          </w:tcPr>
          <w:p w14:paraId="10A77D82">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SS</w:t>
            </w:r>
          </w:p>
        </w:tc>
        <w:tc>
          <w:tcPr>
            <w:tcW w:w="219" w:type="pct"/>
            <w:vMerge w:val="continue"/>
            <w:tcBorders>
              <w:tl2br w:val="nil"/>
              <w:tr2bl w:val="nil"/>
            </w:tcBorders>
            <w:noWrap w:val="0"/>
            <w:vAlign w:val="center"/>
          </w:tcPr>
          <w:p w14:paraId="0EBBE858">
            <w:pPr>
              <w:jc w:val="center"/>
              <w:rPr>
                <w:rFonts w:hint="default" w:ascii="Times New Roman" w:hAnsi="Times New Roman" w:eastAsia="宋体" w:cs="Times New Roman"/>
                <w:b/>
                <w:snapToGrid w:val="0"/>
                <w:color w:val="auto"/>
                <w:sz w:val="18"/>
                <w:szCs w:val="18"/>
                <w:vertAlign w:val="baseline"/>
                <w:lang w:eastAsia="zh-CN"/>
              </w:rPr>
            </w:pPr>
          </w:p>
        </w:tc>
        <w:tc>
          <w:tcPr>
            <w:tcW w:w="370" w:type="pct"/>
            <w:tcBorders>
              <w:tl2br w:val="nil"/>
              <w:tr2bl w:val="nil"/>
            </w:tcBorders>
            <w:noWrap w:val="0"/>
            <w:vAlign w:val="center"/>
          </w:tcPr>
          <w:p w14:paraId="6E602A7B">
            <w:pPr>
              <w:jc w:val="center"/>
              <w:rPr>
                <w:rFonts w:hint="default"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400</w:t>
            </w:r>
          </w:p>
        </w:tc>
        <w:tc>
          <w:tcPr>
            <w:tcW w:w="1240" w:type="dxa"/>
            <w:tcBorders>
              <w:tl2br w:val="nil"/>
              <w:tr2bl w:val="nil"/>
            </w:tcBorders>
            <w:noWrap w:val="0"/>
            <w:vAlign w:val="center"/>
          </w:tcPr>
          <w:p w14:paraId="6A905D26">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 xml:space="preserve">0.059 </w:t>
            </w:r>
          </w:p>
        </w:tc>
        <w:tc>
          <w:tcPr>
            <w:tcW w:w="252" w:type="pct"/>
            <w:vMerge w:val="continue"/>
            <w:tcBorders>
              <w:tl2br w:val="nil"/>
              <w:tr2bl w:val="nil"/>
            </w:tcBorders>
            <w:noWrap w:val="0"/>
            <w:vAlign w:val="center"/>
          </w:tcPr>
          <w:p w14:paraId="15934FF7">
            <w:pPr>
              <w:jc w:val="center"/>
              <w:rPr>
                <w:rFonts w:hint="default" w:ascii="Times New Roman" w:hAnsi="Times New Roman" w:eastAsia="宋体" w:cs="Times New Roman"/>
                <w:b/>
                <w:snapToGrid w:val="0"/>
                <w:color w:val="auto"/>
                <w:sz w:val="18"/>
                <w:szCs w:val="18"/>
                <w:vertAlign w:val="baseline"/>
                <w:lang w:val="en-US" w:eastAsia="zh-CN"/>
              </w:rPr>
            </w:pPr>
          </w:p>
        </w:tc>
        <w:tc>
          <w:tcPr>
            <w:tcW w:w="269" w:type="pct"/>
            <w:tcBorders>
              <w:tl2br w:val="nil"/>
              <w:tr2bl w:val="nil"/>
            </w:tcBorders>
            <w:noWrap w:val="0"/>
            <w:vAlign w:val="center"/>
          </w:tcPr>
          <w:p w14:paraId="31838650">
            <w:pPr>
              <w:jc w:val="center"/>
              <w:rPr>
                <w:rFonts w:hint="default" w:ascii="Times New Roman" w:hAnsi="Times New Roman" w:eastAsia="宋体" w:cs="Times New Roman"/>
                <w:bCs/>
                <w:snapToGrid w:val="0"/>
                <w:color w:val="auto"/>
                <w:kern w:val="2"/>
                <w:sz w:val="18"/>
                <w:szCs w:val="18"/>
                <w:lang w:val="en-US" w:eastAsia="zh-CN" w:bidi="ar-SA"/>
              </w:rPr>
            </w:pPr>
            <w:r>
              <w:rPr>
                <w:rFonts w:hint="default" w:ascii="Times New Roman" w:hAnsi="Times New Roman" w:cs="Times New Roman"/>
                <w:snapToGrid w:val="0"/>
                <w:color w:val="auto"/>
                <w:kern w:val="0"/>
                <w:sz w:val="18"/>
                <w:szCs w:val="18"/>
                <w:lang w:val="en-US" w:eastAsia="zh-CN"/>
              </w:rPr>
              <w:t>25</w:t>
            </w:r>
          </w:p>
        </w:tc>
        <w:tc>
          <w:tcPr>
            <w:tcW w:w="370" w:type="pct"/>
            <w:tcBorders>
              <w:tl2br w:val="nil"/>
              <w:tr2bl w:val="nil"/>
            </w:tcBorders>
            <w:noWrap w:val="0"/>
            <w:vAlign w:val="center"/>
          </w:tcPr>
          <w:p w14:paraId="1E8A56A6">
            <w:pPr>
              <w:jc w:val="center"/>
              <w:rPr>
                <w:rFonts w:hint="default" w:ascii="Times New Roman" w:hAnsi="Times New Roman" w:cs="Times New Roman"/>
                <w:snapToGrid w:val="0"/>
                <w:color w:val="auto"/>
                <w:kern w:val="0"/>
                <w:sz w:val="18"/>
                <w:szCs w:val="18"/>
                <w:lang w:val="en-US" w:eastAsia="zh-CN" w:bidi="ar-SA"/>
              </w:rPr>
            </w:pPr>
            <w:r>
              <w:rPr>
                <w:rFonts w:hint="default" w:ascii="Times New Roman" w:hAnsi="Times New Roman" w:cs="Times New Roman"/>
                <w:snapToGrid w:val="0"/>
                <w:color w:val="auto"/>
                <w:kern w:val="0"/>
                <w:sz w:val="18"/>
                <w:szCs w:val="18"/>
                <w:lang w:val="en-US" w:eastAsia="zh-CN"/>
              </w:rPr>
              <w:t>3</w:t>
            </w:r>
            <w:r>
              <w:rPr>
                <w:rFonts w:hint="default" w:ascii="Times New Roman" w:hAnsi="Times New Roman" w:cs="Times New Roman"/>
                <w:snapToGrid w:val="0"/>
                <w:color w:val="auto"/>
                <w:kern w:val="0"/>
                <w:sz w:val="18"/>
                <w:szCs w:val="18"/>
              </w:rPr>
              <w:t>00</w:t>
            </w:r>
          </w:p>
        </w:tc>
        <w:tc>
          <w:tcPr>
            <w:tcW w:w="848" w:type="dxa"/>
            <w:tcBorders>
              <w:tl2br w:val="nil"/>
              <w:tr2bl w:val="nil"/>
            </w:tcBorders>
            <w:noWrap w:val="0"/>
            <w:vAlign w:val="center"/>
          </w:tcPr>
          <w:p w14:paraId="263A306E">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 xml:space="preserve">0.044 </w:t>
            </w:r>
          </w:p>
        </w:tc>
        <w:tc>
          <w:tcPr>
            <w:tcW w:w="215" w:type="pct"/>
            <w:vMerge w:val="continue"/>
            <w:tcBorders>
              <w:tl2br w:val="nil"/>
              <w:tr2bl w:val="nil"/>
            </w:tcBorders>
            <w:noWrap w:val="0"/>
            <w:vAlign w:val="center"/>
          </w:tcPr>
          <w:p w14:paraId="6D18C08B">
            <w:pPr>
              <w:jc w:val="center"/>
              <w:rPr>
                <w:rFonts w:hint="default" w:ascii="Times New Roman" w:hAnsi="Times New Roman" w:eastAsia="宋体" w:cs="Times New Roman"/>
                <w:b w:val="0"/>
                <w:bCs/>
                <w:snapToGrid w:val="0"/>
                <w:color w:val="auto"/>
                <w:sz w:val="18"/>
                <w:szCs w:val="18"/>
                <w:vertAlign w:val="baseline"/>
                <w:lang w:val="en-US" w:eastAsia="zh-CN"/>
              </w:rPr>
            </w:pPr>
          </w:p>
        </w:tc>
        <w:tc>
          <w:tcPr>
            <w:tcW w:w="689" w:type="pct"/>
            <w:vMerge w:val="continue"/>
            <w:tcBorders>
              <w:tl2br w:val="nil"/>
              <w:tr2bl w:val="nil"/>
            </w:tcBorders>
            <w:noWrap w:val="0"/>
            <w:vAlign w:val="center"/>
          </w:tcPr>
          <w:p w14:paraId="5955D1A0">
            <w:pPr>
              <w:jc w:val="center"/>
              <w:rPr>
                <w:rFonts w:hint="default" w:ascii="Times New Roman" w:hAnsi="Times New Roman" w:eastAsia="宋体" w:cs="Times New Roman"/>
                <w:b w:val="0"/>
                <w:bCs/>
                <w:snapToGrid w:val="0"/>
                <w:color w:val="auto"/>
                <w:sz w:val="18"/>
                <w:szCs w:val="18"/>
                <w:vertAlign w:val="baseline"/>
                <w:lang w:val="en-US" w:eastAsia="zh-CN"/>
              </w:rPr>
            </w:pPr>
          </w:p>
        </w:tc>
        <w:tc>
          <w:tcPr>
            <w:tcW w:w="337" w:type="pct"/>
            <w:tcBorders>
              <w:tl2br w:val="nil"/>
              <w:tr2bl w:val="nil"/>
            </w:tcBorders>
            <w:noWrap w:val="0"/>
            <w:vAlign w:val="center"/>
          </w:tcPr>
          <w:p w14:paraId="26C0D64A">
            <w:pPr>
              <w:jc w:val="center"/>
              <w:rPr>
                <w:rFonts w:hint="default" w:ascii="Times New Roman" w:hAnsi="Times New Roman" w:eastAsia="宋体" w:cs="Times New Roman"/>
                <w:snapToGrid w:val="0"/>
                <w:color w:val="auto"/>
                <w:kern w:val="0"/>
                <w:sz w:val="18"/>
                <w:szCs w:val="18"/>
                <w:lang w:val="en-US" w:eastAsia="zh-CN"/>
              </w:rPr>
            </w:pPr>
            <w:r>
              <w:rPr>
                <w:rFonts w:hint="eastAsia" w:ascii="Times New Roman" w:hAnsi="Times New Roman" w:eastAsia="宋体" w:cs="Times New Roman"/>
                <w:snapToGrid w:val="0"/>
                <w:color w:val="auto"/>
                <w:kern w:val="0"/>
                <w:sz w:val="18"/>
                <w:szCs w:val="18"/>
                <w:lang w:val="en-US" w:eastAsia="zh-CN"/>
              </w:rPr>
              <w:t>20</w:t>
            </w:r>
          </w:p>
        </w:tc>
        <w:tc>
          <w:tcPr>
            <w:tcW w:w="829" w:type="dxa"/>
            <w:tcBorders>
              <w:tl2br w:val="nil"/>
              <w:tr2bl w:val="nil"/>
            </w:tcBorders>
            <w:noWrap w:val="0"/>
            <w:vAlign w:val="center"/>
          </w:tcPr>
          <w:p w14:paraId="78EFA486">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 xml:space="preserve">0.003 </w:t>
            </w:r>
          </w:p>
        </w:tc>
        <w:tc>
          <w:tcPr>
            <w:tcW w:w="236" w:type="pct"/>
            <w:vMerge w:val="continue"/>
            <w:tcBorders>
              <w:tl2br w:val="nil"/>
              <w:tr2bl w:val="nil"/>
            </w:tcBorders>
            <w:noWrap w:val="0"/>
            <w:vAlign w:val="center"/>
          </w:tcPr>
          <w:p w14:paraId="4A104CC6">
            <w:pPr>
              <w:pStyle w:val="59"/>
              <w:jc w:val="center"/>
              <w:rPr>
                <w:rFonts w:hint="default" w:ascii="Times New Roman" w:hAnsi="Times New Roman" w:eastAsia="宋体" w:cs="Times New Roman"/>
                <w:color w:val="auto"/>
                <w:sz w:val="18"/>
                <w:szCs w:val="18"/>
              </w:rPr>
            </w:pPr>
          </w:p>
        </w:tc>
      </w:tr>
      <w:tr w14:paraId="36A6D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pct"/>
            <w:vMerge w:val="continue"/>
            <w:noWrap w:val="0"/>
            <w:vAlign w:val="center"/>
          </w:tcPr>
          <w:p w14:paraId="463FC728">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val="0"/>
                <w:bCs/>
                <w:snapToGrid w:val="0"/>
                <w:color w:val="auto"/>
                <w:sz w:val="18"/>
                <w:szCs w:val="18"/>
                <w:vertAlign w:val="baseline"/>
                <w:lang w:eastAsia="zh-CN"/>
              </w:rPr>
            </w:pPr>
          </w:p>
        </w:tc>
        <w:tc>
          <w:tcPr>
            <w:tcW w:w="315" w:type="pct"/>
            <w:vMerge w:val="continue"/>
            <w:noWrap w:val="0"/>
            <w:vAlign w:val="center"/>
          </w:tcPr>
          <w:p w14:paraId="53E7C758">
            <w:pPr>
              <w:jc w:val="center"/>
              <w:rPr>
                <w:rFonts w:hint="default" w:ascii="Times New Roman" w:hAnsi="Times New Roman" w:eastAsia="宋体" w:cs="Times New Roman"/>
                <w:color w:val="auto"/>
                <w:kern w:val="2"/>
                <w:sz w:val="18"/>
                <w:szCs w:val="18"/>
                <w:lang w:val="en-US" w:eastAsia="zh-CN" w:bidi="ar-SA"/>
              </w:rPr>
            </w:pPr>
          </w:p>
        </w:tc>
        <w:tc>
          <w:tcPr>
            <w:tcW w:w="290" w:type="pct"/>
            <w:noWrap w:val="0"/>
            <w:vAlign w:val="center"/>
          </w:tcPr>
          <w:p w14:paraId="583AF73C">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NH</w:t>
            </w:r>
            <w:r>
              <w:rPr>
                <w:rFonts w:hint="default" w:ascii="Times New Roman" w:hAnsi="Times New Roman" w:eastAsia="宋体" w:cs="Times New Roman"/>
                <w:i w:val="0"/>
                <w:iCs w:val="0"/>
                <w:color w:val="auto"/>
                <w:kern w:val="0"/>
                <w:sz w:val="18"/>
                <w:szCs w:val="18"/>
                <w:u w:val="none"/>
                <w:vertAlign w:val="subscript"/>
                <w:lang w:val="en-US" w:eastAsia="zh-CN" w:bidi="ar"/>
              </w:rPr>
              <w:t>3</w:t>
            </w:r>
            <w:r>
              <w:rPr>
                <w:rFonts w:hint="default" w:ascii="Times New Roman" w:hAnsi="Times New Roman" w:eastAsia="宋体" w:cs="Times New Roman"/>
                <w:i w:val="0"/>
                <w:iCs w:val="0"/>
                <w:color w:val="auto"/>
                <w:kern w:val="0"/>
                <w:sz w:val="18"/>
                <w:szCs w:val="18"/>
                <w:u w:val="none"/>
                <w:lang w:val="en-US" w:eastAsia="zh-CN" w:bidi="ar"/>
              </w:rPr>
              <w:t>-N</w:t>
            </w:r>
          </w:p>
        </w:tc>
        <w:tc>
          <w:tcPr>
            <w:tcW w:w="219" w:type="pct"/>
            <w:vMerge w:val="continue"/>
            <w:noWrap w:val="0"/>
            <w:vAlign w:val="center"/>
          </w:tcPr>
          <w:p w14:paraId="432511AF">
            <w:pPr>
              <w:jc w:val="center"/>
              <w:rPr>
                <w:rFonts w:hint="default" w:ascii="Times New Roman" w:hAnsi="Times New Roman" w:eastAsia="宋体" w:cs="Times New Roman"/>
                <w:b/>
                <w:snapToGrid w:val="0"/>
                <w:color w:val="auto"/>
                <w:sz w:val="18"/>
                <w:szCs w:val="18"/>
                <w:vertAlign w:val="baseline"/>
                <w:lang w:eastAsia="zh-CN"/>
              </w:rPr>
            </w:pPr>
          </w:p>
        </w:tc>
        <w:tc>
          <w:tcPr>
            <w:tcW w:w="370" w:type="pct"/>
            <w:noWrap w:val="0"/>
            <w:vAlign w:val="center"/>
          </w:tcPr>
          <w:p w14:paraId="6F61AB83">
            <w:pPr>
              <w:jc w:val="center"/>
              <w:rPr>
                <w:rFonts w:hint="default" w:ascii="Times New Roman" w:hAnsi="Times New Roman" w:cs="Times New Roman"/>
                <w:color w:val="auto"/>
                <w:kern w:val="2"/>
                <w:sz w:val="18"/>
                <w:szCs w:val="18"/>
                <w:lang w:val="en-US" w:eastAsia="zh-CN" w:bidi="ar-SA"/>
              </w:rPr>
            </w:pPr>
            <w:r>
              <w:rPr>
                <w:rFonts w:hint="default" w:ascii="Times New Roman" w:hAnsi="Times New Roman" w:cs="Times New Roman"/>
                <w:color w:val="auto"/>
                <w:sz w:val="18"/>
                <w:szCs w:val="18"/>
              </w:rPr>
              <w:t>50</w:t>
            </w:r>
          </w:p>
        </w:tc>
        <w:tc>
          <w:tcPr>
            <w:tcW w:w="1240" w:type="dxa"/>
            <w:noWrap w:val="0"/>
            <w:vAlign w:val="center"/>
          </w:tcPr>
          <w:p w14:paraId="1F946B12">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 xml:space="preserve">0.007 </w:t>
            </w:r>
          </w:p>
        </w:tc>
        <w:tc>
          <w:tcPr>
            <w:tcW w:w="252" w:type="pct"/>
            <w:vMerge w:val="continue"/>
            <w:noWrap w:val="0"/>
            <w:vAlign w:val="center"/>
          </w:tcPr>
          <w:p w14:paraId="45B6FC60">
            <w:pPr>
              <w:jc w:val="center"/>
              <w:rPr>
                <w:rFonts w:hint="default" w:ascii="Times New Roman" w:hAnsi="Times New Roman" w:eastAsia="宋体" w:cs="Times New Roman"/>
                <w:b/>
                <w:snapToGrid w:val="0"/>
                <w:color w:val="auto"/>
                <w:sz w:val="18"/>
                <w:szCs w:val="18"/>
                <w:vertAlign w:val="baseline"/>
                <w:lang w:val="en-US" w:eastAsia="zh-CN"/>
              </w:rPr>
            </w:pPr>
          </w:p>
        </w:tc>
        <w:tc>
          <w:tcPr>
            <w:tcW w:w="269" w:type="pct"/>
            <w:noWrap w:val="0"/>
            <w:vAlign w:val="center"/>
          </w:tcPr>
          <w:p w14:paraId="4D28B162">
            <w:pPr>
              <w:jc w:val="center"/>
              <w:rPr>
                <w:rFonts w:hint="default" w:ascii="Times New Roman" w:hAnsi="Times New Roman" w:eastAsia="宋体" w:cs="Times New Roman"/>
                <w:bCs/>
                <w:snapToGrid w:val="0"/>
                <w:color w:val="auto"/>
                <w:kern w:val="2"/>
                <w:sz w:val="18"/>
                <w:szCs w:val="18"/>
                <w:lang w:val="en-US" w:eastAsia="zh-CN" w:bidi="ar-SA"/>
              </w:rPr>
            </w:pPr>
            <w:r>
              <w:rPr>
                <w:rFonts w:hint="default" w:ascii="Times New Roman" w:hAnsi="Times New Roman" w:cs="Times New Roman"/>
                <w:snapToGrid w:val="0"/>
                <w:color w:val="auto"/>
                <w:kern w:val="0"/>
                <w:sz w:val="18"/>
                <w:szCs w:val="18"/>
              </w:rPr>
              <w:t>10</w:t>
            </w:r>
          </w:p>
        </w:tc>
        <w:tc>
          <w:tcPr>
            <w:tcW w:w="370" w:type="pct"/>
            <w:noWrap w:val="0"/>
            <w:vAlign w:val="center"/>
          </w:tcPr>
          <w:p w14:paraId="05316550">
            <w:pPr>
              <w:jc w:val="center"/>
              <w:rPr>
                <w:rFonts w:hint="default" w:ascii="Times New Roman" w:hAnsi="Times New Roman" w:cs="Times New Roman"/>
                <w:snapToGrid w:val="0"/>
                <w:color w:val="auto"/>
                <w:kern w:val="0"/>
                <w:sz w:val="18"/>
                <w:szCs w:val="18"/>
                <w:lang w:val="en-US" w:eastAsia="zh-CN" w:bidi="ar-SA"/>
              </w:rPr>
            </w:pPr>
            <w:r>
              <w:rPr>
                <w:rFonts w:hint="default" w:ascii="Times New Roman" w:hAnsi="Times New Roman" w:cs="Times New Roman"/>
                <w:snapToGrid w:val="0"/>
                <w:color w:val="auto"/>
                <w:kern w:val="0"/>
                <w:sz w:val="18"/>
                <w:szCs w:val="18"/>
              </w:rPr>
              <w:t>45</w:t>
            </w:r>
          </w:p>
        </w:tc>
        <w:tc>
          <w:tcPr>
            <w:tcW w:w="848" w:type="dxa"/>
            <w:noWrap w:val="0"/>
            <w:vAlign w:val="center"/>
          </w:tcPr>
          <w:p w14:paraId="1F885525">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 xml:space="preserve">0.007 </w:t>
            </w:r>
          </w:p>
        </w:tc>
        <w:tc>
          <w:tcPr>
            <w:tcW w:w="215" w:type="pct"/>
            <w:vMerge w:val="continue"/>
            <w:noWrap w:val="0"/>
            <w:vAlign w:val="center"/>
          </w:tcPr>
          <w:p w14:paraId="1ACB0517">
            <w:pPr>
              <w:jc w:val="center"/>
              <w:rPr>
                <w:rFonts w:hint="default" w:ascii="Times New Roman" w:hAnsi="Times New Roman" w:eastAsia="宋体" w:cs="Times New Roman"/>
                <w:b w:val="0"/>
                <w:bCs/>
                <w:snapToGrid w:val="0"/>
                <w:color w:val="auto"/>
                <w:sz w:val="18"/>
                <w:szCs w:val="18"/>
                <w:vertAlign w:val="baseline"/>
                <w:lang w:val="en-US" w:eastAsia="zh-CN"/>
              </w:rPr>
            </w:pPr>
          </w:p>
        </w:tc>
        <w:tc>
          <w:tcPr>
            <w:tcW w:w="689" w:type="pct"/>
            <w:vMerge w:val="continue"/>
            <w:noWrap w:val="0"/>
            <w:vAlign w:val="center"/>
          </w:tcPr>
          <w:p w14:paraId="76C65E01">
            <w:pPr>
              <w:jc w:val="center"/>
              <w:rPr>
                <w:rFonts w:hint="default" w:ascii="Times New Roman" w:hAnsi="Times New Roman" w:eastAsia="宋体" w:cs="Times New Roman"/>
                <w:b w:val="0"/>
                <w:bCs/>
                <w:snapToGrid w:val="0"/>
                <w:color w:val="auto"/>
                <w:sz w:val="18"/>
                <w:szCs w:val="18"/>
                <w:vertAlign w:val="baseline"/>
                <w:lang w:val="en-US" w:eastAsia="zh-CN"/>
              </w:rPr>
            </w:pPr>
          </w:p>
        </w:tc>
        <w:tc>
          <w:tcPr>
            <w:tcW w:w="337" w:type="pct"/>
            <w:noWrap w:val="0"/>
            <w:vAlign w:val="center"/>
          </w:tcPr>
          <w:p w14:paraId="56E3B30F">
            <w:pPr>
              <w:jc w:val="center"/>
              <w:rPr>
                <w:rFonts w:hint="default" w:ascii="Times New Roman" w:hAnsi="Times New Roman" w:eastAsia="宋体" w:cs="Times New Roman"/>
                <w:snapToGrid w:val="0"/>
                <w:color w:val="auto"/>
                <w:kern w:val="0"/>
                <w:sz w:val="18"/>
                <w:szCs w:val="18"/>
                <w:lang w:val="en-US" w:eastAsia="zh-CN"/>
              </w:rPr>
            </w:pPr>
            <w:r>
              <w:rPr>
                <w:rFonts w:hint="eastAsia" w:ascii="Times New Roman" w:hAnsi="Times New Roman" w:eastAsia="宋体" w:cs="Times New Roman"/>
                <w:snapToGrid w:val="0"/>
                <w:color w:val="auto"/>
                <w:kern w:val="0"/>
                <w:sz w:val="18"/>
                <w:szCs w:val="18"/>
                <w:lang w:val="en-US" w:eastAsia="zh-CN"/>
              </w:rPr>
              <w:t>8</w:t>
            </w:r>
          </w:p>
        </w:tc>
        <w:tc>
          <w:tcPr>
            <w:tcW w:w="829" w:type="dxa"/>
            <w:noWrap w:val="0"/>
            <w:vAlign w:val="center"/>
          </w:tcPr>
          <w:p w14:paraId="74A42841">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 xml:space="preserve">0.001 </w:t>
            </w:r>
          </w:p>
        </w:tc>
        <w:tc>
          <w:tcPr>
            <w:tcW w:w="236" w:type="pct"/>
            <w:vMerge w:val="continue"/>
            <w:noWrap w:val="0"/>
            <w:vAlign w:val="center"/>
          </w:tcPr>
          <w:p w14:paraId="78739B76">
            <w:pPr>
              <w:pStyle w:val="59"/>
              <w:jc w:val="center"/>
              <w:rPr>
                <w:rFonts w:hint="default" w:ascii="Times New Roman" w:hAnsi="Times New Roman" w:eastAsia="宋体" w:cs="Times New Roman"/>
                <w:color w:val="auto"/>
                <w:sz w:val="18"/>
                <w:szCs w:val="18"/>
              </w:rPr>
            </w:pPr>
          </w:p>
        </w:tc>
      </w:tr>
      <w:tr w14:paraId="2BE8E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55" w:type="pct"/>
            <w:vMerge w:val="continue"/>
            <w:noWrap w:val="0"/>
            <w:vAlign w:val="center"/>
          </w:tcPr>
          <w:p w14:paraId="6A6CB89B">
            <w:pPr>
              <w:pStyle w:val="26"/>
              <w:adjustRightInd w:val="0"/>
              <w:snapToGrid w:val="0"/>
              <w:spacing w:before="0" w:beforeAutospacing="0" w:after="0" w:afterAutospacing="0" w:line="240" w:lineRule="auto"/>
              <w:jc w:val="center"/>
              <w:outlineLvl w:val="0"/>
              <w:rPr>
                <w:rFonts w:hint="default" w:ascii="Times New Roman" w:hAnsi="Times New Roman" w:eastAsia="宋体" w:cs="Times New Roman"/>
                <w:b w:val="0"/>
                <w:bCs/>
                <w:snapToGrid w:val="0"/>
                <w:color w:val="auto"/>
                <w:sz w:val="18"/>
                <w:szCs w:val="18"/>
                <w:vertAlign w:val="baseline"/>
                <w:lang w:eastAsia="zh-CN"/>
              </w:rPr>
            </w:pPr>
          </w:p>
        </w:tc>
        <w:tc>
          <w:tcPr>
            <w:tcW w:w="315" w:type="pct"/>
            <w:vMerge w:val="continue"/>
            <w:noWrap w:val="0"/>
            <w:vAlign w:val="center"/>
          </w:tcPr>
          <w:p w14:paraId="590E094D">
            <w:pPr>
              <w:jc w:val="center"/>
              <w:rPr>
                <w:rFonts w:hint="default" w:ascii="Times New Roman" w:hAnsi="Times New Roman" w:eastAsia="宋体" w:cs="Times New Roman"/>
                <w:color w:val="auto"/>
                <w:kern w:val="2"/>
                <w:sz w:val="18"/>
                <w:szCs w:val="18"/>
                <w:lang w:val="en-US" w:eastAsia="zh-CN" w:bidi="ar-SA"/>
              </w:rPr>
            </w:pPr>
          </w:p>
        </w:tc>
        <w:tc>
          <w:tcPr>
            <w:tcW w:w="290" w:type="pct"/>
            <w:noWrap w:val="0"/>
            <w:vAlign w:val="center"/>
          </w:tcPr>
          <w:p w14:paraId="7AC23EB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cs="Times New Roman"/>
                <w:color w:val="auto"/>
                <w:sz w:val="18"/>
                <w:szCs w:val="18"/>
              </w:rPr>
              <w:t>石油类</w:t>
            </w:r>
          </w:p>
        </w:tc>
        <w:tc>
          <w:tcPr>
            <w:tcW w:w="219" w:type="pct"/>
            <w:vMerge w:val="continue"/>
            <w:noWrap w:val="0"/>
            <w:vAlign w:val="center"/>
          </w:tcPr>
          <w:p w14:paraId="74FD7E3A">
            <w:pPr>
              <w:jc w:val="center"/>
              <w:rPr>
                <w:rFonts w:hint="default" w:ascii="Times New Roman" w:hAnsi="Times New Roman" w:eastAsia="宋体" w:cs="Times New Roman"/>
                <w:b/>
                <w:snapToGrid w:val="0"/>
                <w:color w:val="auto"/>
                <w:sz w:val="18"/>
                <w:szCs w:val="18"/>
                <w:vertAlign w:val="baseline"/>
                <w:lang w:eastAsia="zh-CN"/>
              </w:rPr>
            </w:pPr>
          </w:p>
        </w:tc>
        <w:tc>
          <w:tcPr>
            <w:tcW w:w="370" w:type="pct"/>
            <w:noWrap w:val="0"/>
            <w:vAlign w:val="center"/>
          </w:tcPr>
          <w:p w14:paraId="6F1A7667">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10</w:t>
            </w:r>
          </w:p>
        </w:tc>
        <w:tc>
          <w:tcPr>
            <w:tcW w:w="1240" w:type="dxa"/>
            <w:noWrap w:val="0"/>
            <w:vAlign w:val="center"/>
          </w:tcPr>
          <w:p w14:paraId="137254C0">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 xml:space="preserve">0.001 </w:t>
            </w:r>
          </w:p>
        </w:tc>
        <w:tc>
          <w:tcPr>
            <w:tcW w:w="252" w:type="pct"/>
            <w:vMerge w:val="continue"/>
            <w:noWrap w:val="0"/>
            <w:vAlign w:val="center"/>
          </w:tcPr>
          <w:p w14:paraId="4784FEBE">
            <w:pPr>
              <w:jc w:val="center"/>
              <w:rPr>
                <w:rFonts w:hint="default" w:ascii="Times New Roman" w:hAnsi="Times New Roman" w:eastAsia="宋体" w:cs="Times New Roman"/>
                <w:b/>
                <w:snapToGrid w:val="0"/>
                <w:color w:val="auto"/>
                <w:sz w:val="18"/>
                <w:szCs w:val="18"/>
                <w:vertAlign w:val="baseline"/>
                <w:lang w:val="en-US" w:eastAsia="zh-CN"/>
              </w:rPr>
            </w:pPr>
          </w:p>
        </w:tc>
        <w:tc>
          <w:tcPr>
            <w:tcW w:w="269" w:type="pct"/>
            <w:noWrap w:val="0"/>
            <w:vAlign w:val="center"/>
          </w:tcPr>
          <w:p w14:paraId="6B1377B8">
            <w:pPr>
              <w:jc w:val="center"/>
              <w:rPr>
                <w:rFonts w:hint="default" w:ascii="Times New Roman" w:hAnsi="Times New Roman" w:eastAsia="宋体" w:cs="Times New Roman"/>
                <w:i w:val="0"/>
                <w:iCs w:val="0"/>
                <w:color w:val="auto"/>
                <w:kern w:val="0"/>
                <w:sz w:val="18"/>
                <w:szCs w:val="18"/>
                <w:u w:val="none"/>
                <w:lang w:val="en-US" w:eastAsia="zh-CN" w:bidi="ar"/>
              </w:rPr>
            </w:pPr>
            <w:r>
              <w:rPr>
                <w:rFonts w:hint="eastAsia" w:cs="Times New Roman"/>
                <w:snapToGrid w:val="0"/>
                <w:color w:val="auto"/>
                <w:kern w:val="0"/>
                <w:sz w:val="18"/>
                <w:szCs w:val="18"/>
                <w:lang w:val="en-US" w:eastAsia="zh-CN"/>
              </w:rPr>
              <w:t>0</w:t>
            </w:r>
          </w:p>
        </w:tc>
        <w:tc>
          <w:tcPr>
            <w:tcW w:w="1106" w:type="dxa"/>
            <w:noWrap w:val="0"/>
            <w:vAlign w:val="center"/>
          </w:tcPr>
          <w:p w14:paraId="4D1EE266">
            <w:pPr>
              <w:jc w:val="center"/>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cs="Times New Roman"/>
                <w:color w:val="auto"/>
                <w:sz w:val="18"/>
                <w:szCs w:val="18"/>
                <w:lang w:val="en-US" w:eastAsia="zh-CN"/>
              </w:rPr>
              <w:t>10</w:t>
            </w:r>
          </w:p>
        </w:tc>
        <w:tc>
          <w:tcPr>
            <w:tcW w:w="848" w:type="dxa"/>
            <w:noWrap w:val="0"/>
            <w:vAlign w:val="center"/>
          </w:tcPr>
          <w:p w14:paraId="79DBDE8B">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 xml:space="preserve">0.001 </w:t>
            </w:r>
          </w:p>
        </w:tc>
        <w:tc>
          <w:tcPr>
            <w:tcW w:w="215" w:type="pct"/>
            <w:vMerge w:val="continue"/>
            <w:noWrap w:val="0"/>
            <w:vAlign w:val="center"/>
          </w:tcPr>
          <w:p w14:paraId="60316ED7">
            <w:pPr>
              <w:jc w:val="center"/>
              <w:rPr>
                <w:rFonts w:hint="default" w:ascii="Times New Roman" w:hAnsi="Times New Roman" w:eastAsia="宋体" w:cs="Times New Roman"/>
                <w:b w:val="0"/>
                <w:bCs/>
                <w:snapToGrid w:val="0"/>
                <w:color w:val="auto"/>
                <w:sz w:val="18"/>
                <w:szCs w:val="18"/>
                <w:vertAlign w:val="baseline"/>
                <w:lang w:val="en-US" w:eastAsia="zh-CN"/>
              </w:rPr>
            </w:pPr>
          </w:p>
        </w:tc>
        <w:tc>
          <w:tcPr>
            <w:tcW w:w="689" w:type="pct"/>
            <w:vMerge w:val="continue"/>
            <w:noWrap w:val="0"/>
            <w:vAlign w:val="center"/>
          </w:tcPr>
          <w:p w14:paraId="52466B8C">
            <w:pPr>
              <w:jc w:val="center"/>
              <w:rPr>
                <w:rFonts w:hint="default" w:ascii="Times New Roman" w:hAnsi="Times New Roman" w:eastAsia="宋体" w:cs="Times New Roman"/>
                <w:b w:val="0"/>
                <w:bCs/>
                <w:snapToGrid w:val="0"/>
                <w:color w:val="auto"/>
                <w:sz w:val="18"/>
                <w:szCs w:val="18"/>
                <w:vertAlign w:val="baseline"/>
                <w:lang w:val="en-US" w:eastAsia="zh-CN"/>
              </w:rPr>
            </w:pPr>
          </w:p>
        </w:tc>
        <w:tc>
          <w:tcPr>
            <w:tcW w:w="337" w:type="pct"/>
            <w:noWrap w:val="0"/>
            <w:vAlign w:val="center"/>
          </w:tcPr>
          <w:p w14:paraId="2AD401FD">
            <w:pPr>
              <w:jc w:val="center"/>
              <w:rPr>
                <w:rFonts w:hint="default" w:ascii="Times New Roman" w:hAnsi="Times New Roman" w:eastAsia="宋体" w:cs="Times New Roman"/>
                <w:snapToGrid w:val="0"/>
                <w:color w:val="auto"/>
                <w:kern w:val="0"/>
                <w:sz w:val="18"/>
                <w:szCs w:val="18"/>
                <w:lang w:val="en-US" w:eastAsia="zh-CN"/>
              </w:rPr>
            </w:pPr>
            <w:r>
              <w:rPr>
                <w:rFonts w:hint="eastAsia" w:ascii="Times New Roman" w:hAnsi="Times New Roman" w:eastAsia="宋体" w:cs="Times New Roman"/>
                <w:snapToGrid w:val="0"/>
                <w:color w:val="auto"/>
                <w:kern w:val="0"/>
                <w:sz w:val="18"/>
                <w:szCs w:val="18"/>
                <w:lang w:val="en-US" w:eastAsia="zh-CN"/>
              </w:rPr>
              <w:t>3</w:t>
            </w:r>
          </w:p>
        </w:tc>
        <w:tc>
          <w:tcPr>
            <w:tcW w:w="829" w:type="dxa"/>
            <w:noWrap w:val="0"/>
            <w:vAlign w:val="center"/>
          </w:tcPr>
          <w:p w14:paraId="0DF5A794">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 xml:space="preserve">0.0004 </w:t>
            </w:r>
          </w:p>
        </w:tc>
        <w:tc>
          <w:tcPr>
            <w:tcW w:w="236" w:type="pct"/>
            <w:vMerge w:val="continue"/>
            <w:noWrap w:val="0"/>
            <w:vAlign w:val="center"/>
          </w:tcPr>
          <w:p w14:paraId="64726A4C">
            <w:pPr>
              <w:pStyle w:val="59"/>
              <w:jc w:val="center"/>
              <w:rPr>
                <w:rFonts w:hint="default" w:ascii="Times New Roman" w:hAnsi="Times New Roman" w:eastAsia="宋体" w:cs="Times New Roman"/>
                <w:color w:val="auto"/>
                <w:sz w:val="18"/>
                <w:szCs w:val="18"/>
              </w:rPr>
            </w:pPr>
          </w:p>
        </w:tc>
      </w:tr>
    </w:tbl>
    <w:p w14:paraId="7A8117D3">
      <w:pPr>
        <w:pStyle w:val="65"/>
        <w:adjustRightInd w:val="0"/>
        <w:snapToGrid w:val="0"/>
        <w:spacing w:before="0" w:after="60" w:line="360" w:lineRule="auto"/>
        <w:rPr>
          <w:rFonts w:hint="default" w:ascii="Times New Roman" w:hAnsi="Times New Roman" w:eastAsia="宋体" w:cs="Times New Roman"/>
          <w:b/>
          <w:snapToGrid w:val="0"/>
          <w:color w:val="auto"/>
          <w:kern w:val="0"/>
          <w:szCs w:val="21"/>
          <w:lang w:eastAsia="zh-CN"/>
        </w:rPr>
      </w:pPr>
    </w:p>
    <w:p w14:paraId="26599B0C">
      <w:pPr>
        <w:pStyle w:val="65"/>
        <w:adjustRightInd w:val="0"/>
        <w:snapToGrid w:val="0"/>
        <w:spacing w:before="0" w:after="60" w:line="240" w:lineRule="auto"/>
        <w:rPr>
          <w:rFonts w:hint="default" w:ascii="Times New Roman" w:hAnsi="Times New Roman" w:eastAsia="宋体" w:cs="Times New Roman"/>
          <w:b/>
          <w:snapToGrid w:val="0"/>
          <w:color w:val="auto"/>
          <w:kern w:val="0"/>
          <w:szCs w:val="21"/>
          <w:lang w:eastAsia="zh-CN"/>
        </w:rPr>
      </w:pPr>
      <w:r>
        <w:rPr>
          <w:rFonts w:hint="default" w:ascii="Times New Roman" w:hAnsi="Times New Roman" w:eastAsia="宋体" w:cs="Times New Roman"/>
          <w:b/>
          <w:snapToGrid w:val="0"/>
          <w:color w:val="auto"/>
          <w:kern w:val="0"/>
          <w:szCs w:val="21"/>
          <w:lang w:eastAsia="zh-CN"/>
        </w:rPr>
        <w:t>表4-</w:t>
      </w:r>
      <w:r>
        <w:rPr>
          <w:rFonts w:hint="eastAsia" w:ascii="Times New Roman" w:hAnsi="Times New Roman" w:cs="Times New Roman"/>
          <w:b/>
          <w:snapToGrid w:val="0"/>
          <w:color w:val="auto"/>
          <w:kern w:val="0"/>
          <w:szCs w:val="21"/>
          <w:lang w:val="en-US" w:eastAsia="zh-CN"/>
        </w:rPr>
        <w:t>8</w:t>
      </w:r>
      <w:r>
        <w:rPr>
          <w:rFonts w:hint="default" w:ascii="Times New Roman" w:hAnsi="Times New Roman" w:eastAsia="宋体" w:cs="Times New Roman"/>
          <w:b/>
          <w:snapToGrid w:val="0"/>
          <w:color w:val="auto"/>
          <w:kern w:val="0"/>
          <w:szCs w:val="21"/>
          <w:lang w:eastAsia="zh-CN"/>
        </w:rPr>
        <w:t xml:space="preserve">  废水类别、污染物及污染治理设施信息表</w:t>
      </w:r>
    </w:p>
    <w:tbl>
      <w:tblPr>
        <w:tblStyle w:val="30"/>
        <w:tblW w:w="5489"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224"/>
        <w:gridCol w:w="1339"/>
        <w:gridCol w:w="1127"/>
        <w:gridCol w:w="1543"/>
        <w:gridCol w:w="1323"/>
        <w:gridCol w:w="1059"/>
        <w:gridCol w:w="933"/>
        <w:gridCol w:w="1212"/>
        <w:gridCol w:w="1061"/>
        <w:gridCol w:w="787"/>
        <w:gridCol w:w="707"/>
        <w:gridCol w:w="1010"/>
        <w:gridCol w:w="1663"/>
      </w:tblGrid>
      <w:tr w14:paraId="27B0B3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 w:hRule="atLeast"/>
          <w:jc w:val="center"/>
        </w:trPr>
        <w:tc>
          <w:tcPr>
            <w:tcW w:w="408" w:type="pct"/>
            <w:vMerge w:val="restart"/>
            <w:noWrap w:val="0"/>
            <w:vAlign w:val="center"/>
          </w:tcPr>
          <w:p w14:paraId="011FB41C">
            <w:pPr>
              <w:widowControl w:val="0"/>
              <w:adjustRightInd w:val="0"/>
              <w:snapToGrid w:val="0"/>
              <w:spacing w:beforeLines="10" w:afterLines="10" w:line="259" w:lineRule="auto"/>
              <w:jc w:val="center"/>
              <w:textAlignment w:val="baseline"/>
              <w:rPr>
                <w:rFonts w:hint="default" w:ascii="Times New Roman" w:hAnsi="Times New Roman" w:eastAsia="宋体" w:cs="Times New Roman"/>
                <w:b/>
                <w:bCs/>
                <w:color w:val="auto"/>
                <w:kern w:val="0"/>
                <w:sz w:val="18"/>
                <w:szCs w:val="18"/>
                <w:lang w:val="en-US" w:eastAsia="zh-CN" w:bidi="ar-SA"/>
              </w:rPr>
            </w:pPr>
            <w:r>
              <w:rPr>
                <w:rFonts w:hint="default" w:ascii="Times New Roman" w:hAnsi="Times New Roman" w:eastAsia="宋体" w:cs="Times New Roman"/>
                <w:b/>
                <w:bCs/>
                <w:color w:val="auto"/>
                <w:kern w:val="0"/>
                <w:sz w:val="18"/>
                <w:szCs w:val="18"/>
                <w:lang w:val="en-US" w:eastAsia="zh-CN" w:bidi="ar-SA"/>
              </w:rPr>
              <w:t>序号</w:t>
            </w:r>
          </w:p>
        </w:tc>
        <w:tc>
          <w:tcPr>
            <w:tcW w:w="446" w:type="pct"/>
            <w:vMerge w:val="restart"/>
            <w:noWrap w:val="0"/>
            <w:vAlign w:val="center"/>
          </w:tcPr>
          <w:p w14:paraId="22107DEA">
            <w:pPr>
              <w:widowControl w:val="0"/>
              <w:adjustRightInd w:val="0"/>
              <w:snapToGrid w:val="0"/>
              <w:spacing w:beforeLines="10" w:afterLines="10" w:line="259" w:lineRule="auto"/>
              <w:jc w:val="center"/>
              <w:textAlignment w:val="baseline"/>
              <w:rPr>
                <w:rFonts w:hint="default" w:ascii="Times New Roman" w:hAnsi="Times New Roman" w:eastAsia="宋体" w:cs="Times New Roman"/>
                <w:b/>
                <w:bCs/>
                <w:color w:val="auto"/>
                <w:kern w:val="0"/>
                <w:sz w:val="18"/>
                <w:szCs w:val="18"/>
                <w:lang w:val="en-US" w:eastAsia="zh-CN" w:bidi="ar-SA"/>
              </w:rPr>
            </w:pPr>
            <w:r>
              <w:rPr>
                <w:rFonts w:hint="default" w:ascii="Times New Roman" w:hAnsi="Times New Roman" w:eastAsia="宋体" w:cs="Times New Roman"/>
                <w:b/>
                <w:bCs/>
                <w:color w:val="auto"/>
                <w:kern w:val="0"/>
                <w:sz w:val="18"/>
                <w:szCs w:val="18"/>
                <w:lang w:val="en-US" w:eastAsia="zh-CN" w:bidi="ar-SA"/>
              </w:rPr>
              <w:t>废水类别</w:t>
            </w:r>
          </w:p>
        </w:tc>
        <w:tc>
          <w:tcPr>
            <w:tcW w:w="375" w:type="pct"/>
            <w:vMerge w:val="restart"/>
            <w:noWrap w:val="0"/>
            <w:vAlign w:val="center"/>
          </w:tcPr>
          <w:p w14:paraId="3D5CA509">
            <w:pPr>
              <w:widowControl w:val="0"/>
              <w:adjustRightInd w:val="0"/>
              <w:snapToGrid w:val="0"/>
              <w:spacing w:beforeLines="10" w:afterLines="10" w:line="259" w:lineRule="auto"/>
              <w:jc w:val="center"/>
              <w:textAlignment w:val="baseline"/>
              <w:rPr>
                <w:rFonts w:hint="default" w:ascii="Times New Roman" w:hAnsi="Times New Roman" w:eastAsia="宋体" w:cs="Times New Roman"/>
                <w:b/>
                <w:bCs/>
                <w:color w:val="auto"/>
                <w:kern w:val="0"/>
                <w:sz w:val="18"/>
                <w:szCs w:val="18"/>
                <w:lang w:val="en-US" w:eastAsia="zh-CN" w:bidi="ar-SA"/>
              </w:rPr>
            </w:pPr>
            <w:r>
              <w:rPr>
                <w:rFonts w:hint="default" w:ascii="Times New Roman" w:hAnsi="Times New Roman" w:eastAsia="宋体" w:cs="Times New Roman"/>
                <w:b/>
                <w:bCs/>
                <w:color w:val="auto"/>
                <w:kern w:val="0"/>
                <w:sz w:val="18"/>
                <w:szCs w:val="18"/>
                <w:lang w:val="en-US" w:eastAsia="zh-CN" w:bidi="ar-SA"/>
              </w:rPr>
              <w:t>污染物种类</w:t>
            </w:r>
          </w:p>
        </w:tc>
        <w:tc>
          <w:tcPr>
            <w:tcW w:w="956" w:type="pct"/>
            <w:gridSpan w:val="2"/>
            <w:noWrap w:val="0"/>
            <w:vAlign w:val="center"/>
          </w:tcPr>
          <w:p w14:paraId="4A6E2C21">
            <w:pPr>
              <w:widowControl w:val="0"/>
              <w:adjustRightInd w:val="0"/>
              <w:snapToGrid w:val="0"/>
              <w:spacing w:beforeLines="10" w:afterLines="10" w:line="259" w:lineRule="auto"/>
              <w:jc w:val="center"/>
              <w:textAlignment w:val="baseline"/>
              <w:rPr>
                <w:rFonts w:hint="default" w:ascii="Times New Roman" w:hAnsi="Times New Roman" w:eastAsia="宋体" w:cs="Times New Roman"/>
                <w:b/>
                <w:bCs/>
                <w:color w:val="auto"/>
                <w:kern w:val="0"/>
                <w:sz w:val="18"/>
                <w:szCs w:val="18"/>
                <w:lang w:val="en-US" w:eastAsia="zh-CN" w:bidi="ar-SA"/>
              </w:rPr>
            </w:pPr>
            <w:r>
              <w:rPr>
                <w:rFonts w:hint="default" w:ascii="Times New Roman" w:hAnsi="Times New Roman" w:eastAsia="宋体" w:cs="Times New Roman"/>
                <w:b/>
                <w:bCs/>
                <w:color w:val="auto"/>
                <w:kern w:val="0"/>
                <w:sz w:val="18"/>
                <w:szCs w:val="18"/>
                <w:lang w:val="en-US" w:eastAsia="zh-CN" w:bidi="ar-SA"/>
              </w:rPr>
              <w:t>排放口地理坐标</w:t>
            </w:r>
          </w:p>
        </w:tc>
        <w:tc>
          <w:tcPr>
            <w:tcW w:w="353" w:type="pct"/>
            <w:vMerge w:val="restart"/>
            <w:noWrap w:val="0"/>
            <w:vAlign w:val="center"/>
          </w:tcPr>
          <w:p w14:paraId="2B0D865C">
            <w:pPr>
              <w:widowControl w:val="0"/>
              <w:adjustRightInd w:val="0"/>
              <w:snapToGrid w:val="0"/>
              <w:spacing w:beforeLines="10" w:afterLines="10" w:line="259" w:lineRule="auto"/>
              <w:jc w:val="center"/>
              <w:textAlignment w:val="baseline"/>
              <w:rPr>
                <w:rFonts w:hint="default" w:ascii="Times New Roman" w:hAnsi="Times New Roman" w:eastAsia="宋体" w:cs="Times New Roman"/>
                <w:b/>
                <w:bCs/>
                <w:color w:val="auto"/>
                <w:kern w:val="0"/>
                <w:sz w:val="18"/>
                <w:szCs w:val="18"/>
                <w:lang w:val="en-US" w:eastAsia="zh-CN" w:bidi="ar-SA"/>
              </w:rPr>
            </w:pPr>
            <w:r>
              <w:rPr>
                <w:rFonts w:hint="default" w:ascii="Times New Roman" w:hAnsi="Times New Roman" w:eastAsia="宋体" w:cs="Times New Roman"/>
                <w:b/>
                <w:bCs/>
                <w:color w:val="auto"/>
                <w:kern w:val="0"/>
                <w:sz w:val="18"/>
                <w:szCs w:val="18"/>
                <w:lang w:val="en-US" w:eastAsia="zh-CN" w:bidi="ar-SA"/>
              </w:rPr>
              <w:t>排放去向</w:t>
            </w:r>
          </w:p>
        </w:tc>
        <w:tc>
          <w:tcPr>
            <w:tcW w:w="311" w:type="pct"/>
            <w:vMerge w:val="restart"/>
            <w:noWrap w:val="0"/>
            <w:vAlign w:val="center"/>
          </w:tcPr>
          <w:p w14:paraId="40D3663C">
            <w:pPr>
              <w:widowControl w:val="0"/>
              <w:adjustRightInd w:val="0"/>
              <w:snapToGrid w:val="0"/>
              <w:spacing w:beforeLines="10" w:afterLines="10" w:line="259" w:lineRule="auto"/>
              <w:jc w:val="center"/>
              <w:textAlignment w:val="baseline"/>
              <w:rPr>
                <w:rFonts w:hint="default" w:ascii="Times New Roman" w:hAnsi="Times New Roman" w:eastAsia="宋体" w:cs="Times New Roman"/>
                <w:b/>
                <w:bCs/>
                <w:color w:val="auto"/>
                <w:kern w:val="0"/>
                <w:sz w:val="18"/>
                <w:szCs w:val="18"/>
                <w:lang w:val="en-US" w:eastAsia="zh-CN" w:bidi="ar-SA"/>
              </w:rPr>
            </w:pPr>
            <w:r>
              <w:rPr>
                <w:rFonts w:hint="default" w:ascii="Times New Roman" w:hAnsi="Times New Roman" w:eastAsia="宋体" w:cs="Times New Roman"/>
                <w:b/>
                <w:bCs/>
                <w:color w:val="auto"/>
                <w:kern w:val="0"/>
                <w:sz w:val="18"/>
                <w:szCs w:val="18"/>
                <w:lang w:val="en-US" w:eastAsia="zh-CN" w:bidi="ar-SA"/>
              </w:rPr>
              <w:t>排放规律</w:t>
            </w:r>
          </w:p>
        </w:tc>
        <w:tc>
          <w:tcPr>
            <w:tcW w:w="1020" w:type="pct"/>
            <w:gridSpan w:val="3"/>
            <w:noWrap w:val="0"/>
            <w:vAlign w:val="center"/>
          </w:tcPr>
          <w:p w14:paraId="4A6FCE92">
            <w:pPr>
              <w:widowControl w:val="0"/>
              <w:adjustRightInd w:val="0"/>
              <w:snapToGrid w:val="0"/>
              <w:spacing w:beforeLines="10" w:afterLines="10" w:line="259" w:lineRule="auto"/>
              <w:ind w:left="1100" w:hanging="460"/>
              <w:jc w:val="center"/>
              <w:textAlignment w:val="baseline"/>
              <w:rPr>
                <w:rFonts w:hint="default" w:ascii="Times New Roman" w:hAnsi="Times New Roman" w:eastAsia="宋体" w:cs="Times New Roman"/>
                <w:b/>
                <w:bCs/>
                <w:color w:val="auto"/>
                <w:kern w:val="0"/>
                <w:sz w:val="18"/>
                <w:szCs w:val="18"/>
                <w:lang w:val="en-US" w:eastAsia="zh-CN" w:bidi="ar-SA"/>
              </w:rPr>
            </w:pPr>
            <w:r>
              <w:rPr>
                <w:rFonts w:hint="default" w:ascii="Times New Roman" w:hAnsi="Times New Roman" w:eastAsia="宋体" w:cs="Times New Roman"/>
                <w:b/>
                <w:bCs/>
                <w:color w:val="auto"/>
                <w:kern w:val="0"/>
                <w:sz w:val="18"/>
                <w:szCs w:val="18"/>
                <w:lang w:val="en-US" w:eastAsia="zh-CN" w:bidi="ar-SA"/>
              </w:rPr>
              <w:t>污染治理设施</w:t>
            </w:r>
          </w:p>
        </w:tc>
        <w:tc>
          <w:tcPr>
            <w:tcW w:w="235" w:type="pct"/>
            <w:vMerge w:val="restart"/>
            <w:noWrap w:val="0"/>
            <w:vAlign w:val="center"/>
          </w:tcPr>
          <w:p w14:paraId="705FA05D">
            <w:pPr>
              <w:widowControl w:val="0"/>
              <w:adjustRightInd w:val="0"/>
              <w:snapToGrid w:val="0"/>
              <w:spacing w:beforeLines="10" w:afterLines="10" w:line="259" w:lineRule="auto"/>
              <w:jc w:val="center"/>
              <w:textAlignment w:val="baseline"/>
              <w:rPr>
                <w:rFonts w:hint="default" w:ascii="Times New Roman" w:hAnsi="Times New Roman" w:eastAsia="宋体" w:cs="Times New Roman"/>
                <w:b/>
                <w:bCs/>
                <w:color w:val="auto"/>
                <w:kern w:val="0"/>
                <w:sz w:val="18"/>
                <w:szCs w:val="18"/>
                <w:lang w:val="en-US" w:eastAsia="zh-CN" w:bidi="ar-SA"/>
              </w:rPr>
            </w:pPr>
            <w:r>
              <w:rPr>
                <w:rFonts w:hint="default" w:ascii="Times New Roman" w:hAnsi="Times New Roman" w:eastAsia="宋体" w:cs="Times New Roman"/>
                <w:b/>
                <w:bCs/>
                <w:color w:val="auto"/>
                <w:kern w:val="0"/>
                <w:sz w:val="18"/>
                <w:szCs w:val="18"/>
                <w:lang w:val="en-US" w:eastAsia="zh-CN" w:bidi="ar-SA"/>
              </w:rPr>
              <w:t>排放口</w:t>
            </w:r>
          </w:p>
          <w:p w14:paraId="53B09418">
            <w:pPr>
              <w:widowControl w:val="0"/>
              <w:adjustRightInd w:val="0"/>
              <w:snapToGrid w:val="0"/>
              <w:spacing w:beforeLines="10" w:afterLines="10" w:line="259" w:lineRule="auto"/>
              <w:jc w:val="center"/>
              <w:textAlignment w:val="baseline"/>
              <w:rPr>
                <w:rFonts w:hint="default" w:ascii="Times New Roman" w:hAnsi="Times New Roman" w:eastAsia="宋体" w:cs="Times New Roman"/>
                <w:b/>
                <w:bCs/>
                <w:color w:val="auto"/>
                <w:kern w:val="0"/>
                <w:sz w:val="18"/>
                <w:szCs w:val="18"/>
                <w:vertAlign w:val="superscript"/>
                <w:lang w:val="en-US" w:eastAsia="zh-CN" w:bidi="ar-SA"/>
              </w:rPr>
            </w:pPr>
            <w:r>
              <w:rPr>
                <w:rFonts w:hint="default" w:ascii="Times New Roman" w:hAnsi="Times New Roman" w:eastAsia="宋体" w:cs="Times New Roman"/>
                <w:b/>
                <w:bCs/>
                <w:color w:val="auto"/>
                <w:kern w:val="0"/>
                <w:sz w:val="18"/>
                <w:szCs w:val="18"/>
                <w:lang w:val="en-US" w:eastAsia="zh-CN" w:bidi="ar-SA"/>
              </w:rPr>
              <w:t>编号</w:t>
            </w:r>
          </w:p>
        </w:tc>
        <w:tc>
          <w:tcPr>
            <w:tcW w:w="336" w:type="pct"/>
            <w:vMerge w:val="restart"/>
            <w:noWrap w:val="0"/>
            <w:vAlign w:val="center"/>
          </w:tcPr>
          <w:p w14:paraId="3153C02A">
            <w:pPr>
              <w:widowControl w:val="0"/>
              <w:adjustRightInd w:val="0"/>
              <w:snapToGrid w:val="0"/>
              <w:spacing w:beforeLines="10" w:afterLines="10" w:line="259" w:lineRule="auto"/>
              <w:jc w:val="center"/>
              <w:textAlignment w:val="baseline"/>
              <w:rPr>
                <w:rFonts w:hint="default" w:ascii="Times New Roman" w:hAnsi="Times New Roman" w:eastAsia="宋体" w:cs="Times New Roman"/>
                <w:b/>
                <w:bCs/>
                <w:color w:val="auto"/>
                <w:kern w:val="0"/>
                <w:sz w:val="18"/>
                <w:szCs w:val="18"/>
                <w:lang w:val="en-US" w:eastAsia="zh-CN" w:bidi="ar-SA"/>
              </w:rPr>
            </w:pPr>
            <w:r>
              <w:rPr>
                <w:rFonts w:hint="default" w:ascii="Times New Roman" w:hAnsi="Times New Roman" w:eastAsia="宋体" w:cs="Times New Roman"/>
                <w:b/>
                <w:bCs/>
                <w:color w:val="auto"/>
                <w:kern w:val="0"/>
                <w:sz w:val="18"/>
                <w:szCs w:val="18"/>
                <w:lang w:val="en-US" w:eastAsia="zh-CN" w:bidi="ar-SA"/>
              </w:rPr>
              <w:t>排放口设置是否符合要求</w:t>
            </w:r>
          </w:p>
        </w:tc>
        <w:tc>
          <w:tcPr>
            <w:tcW w:w="554" w:type="pct"/>
            <w:vMerge w:val="restart"/>
            <w:noWrap w:val="0"/>
            <w:vAlign w:val="center"/>
          </w:tcPr>
          <w:p w14:paraId="1CFE9376">
            <w:pPr>
              <w:widowControl w:val="0"/>
              <w:adjustRightInd w:val="0"/>
              <w:snapToGrid w:val="0"/>
              <w:spacing w:beforeLines="10" w:afterLines="10" w:line="259" w:lineRule="auto"/>
              <w:jc w:val="center"/>
              <w:textAlignment w:val="baseline"/>
              <w:rPr>
                <w:rFonts w:hint="default" w:ascii="Times New Roman" w:hAnsi="Times New Roman" w:eastAsia="宋体" w:cs="Times New Roman"/>
                <w:b/>
                <w:bCs/>
                <w:color w:val="auto"/>
                <w:kern w:val="0"/>
                <w:sz w:val="18"/>
                <w:szCs w:val="18"/>
                <w:lang w:val="en-US" w:eastAsia="zh-CN" w:bidi="ar-SA"/>
              </w:rPr>
            </w:pPr>
            <w:r>
              <w:rPr>
                <w:rFonts w:hint="default" w:ascii="Times New Roman" w:hAnsi="Times New Roman" w:eastAsia="宋体" w:cs="Times New Roman"/>
                <w:b/>
                <w:bCs/>
                <w:color w:val="auto"/>
                <w:kern w:val="0"/>
                <w:sz w:val="18"/>
                <w:szCs w:val="18"/>
                <w:lang w:val="en-US" w:eastAsia="zh-CN" w:bidi="ar-SA"/>
              </w:rPr>
              <w:t>排放口类型</w:t>
            </w:r>
          </w:p>
        </w:tc>
      </w:tr>
      <w:tr w14:paraId="7D6B61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1" w:hRule="atLeast"/>
          <w:jc w:val="center"/>
        </w:trPr>
        <w:tc>
          <w:tcPr>
            <w:tcW w:w="408" w:type="pct"/>
            <w:vMerge w:val="continue"/>
            <w:noWrap w:val="0"/>
            <w:vAlign w:val="center"/>
          </w:tcPr>
          <w:p w14:paraId="3069FCD2">
            <w:pPr>
              <w:widowControl w:val="0"/>
              <w:adjustRightInd w:val="0"/>
              <w:snapToGrid w:val="0"/>
              <w:spacing w:beforeLines="10" w:afterLines="10" w:line="259" w:lineRule="auto"/>
              <w:ind w:left="1100" w:hanging="460"/>
              <w:jc w:val="center"/>
              <w:textAlignment w:val="baseline"/>
              <w:rPr>
                <w:rFonts w:hint="default" w:ascii="Times New Roman" w:hAnsi="Times New Roman" w:eastAsia="宋体" w:cs="Times New Roman"/>
                <w:color w:val="auto"/>
                <w:kern w:val="0"/>
                <w:sz w:val="18"/>
                <w:szCs w:val="18"/>
                <w:lang w:val="en-US" w:eastAsia="zh-CN" w:bidi="ar-SA"/>
              </w:rPr>
            </w:pPr>
          </w:p>
        </w:tc>
        <w:tc>
          <w:tcPr>
            <w:tcW w:w="446" w:type="pct"/>
            <w:vMerge w:val="continue"/>
            <w:noWrap w:val="0"/>
            <w:vAlign w:val="center"/>
          </w:tcPr>
          <w:p w14:paraId="01834D79">
            <w:pPr>
              <w:widowControl w:val="0"/>
              <w:adjustRightInd w:val="0"/>
              <w:snapToGrid w:val="0"/>
              <w:spacing w:beforeLines="10" w:afterLines="10" w:line="259" w:lineRule="auto"/>
              <w:ind w:left="1100" w:hanging="460"/>
              <w:jc w:val="center"/>
              <w:textAlignment w:val="baseline"/>
              <w:rPr>
                <w:rFonts w:hint="default" w:ascii="Times New Roman" w:hAnsi="Times New Roman" w:eastAsia="宋体" w:cs="Times New Roman"/>
                <w:color w:val="auto"/>
                <w:kern w:val="0"/>
                <w:sz w:val="18"/>
                <w:szCs w:val="18"/>
                <w:lang w:val="en-US" w:eastAsia="zh-CN" w:bidi="ar-SA"/>
              </w:rPr>
            </w:pPr>
          </w:p>
        </w:tc>
        <w:tc>
          <w:tcPr>
            <w:tcW w:w="375" w:type="pct"/>
            <w:vMerge w:val="continue"/>
            <w:noWrap w:val="0"/>
            <w:vAlign w:val="center"/>
          </w:tcPr>
          <w:p w14:paraId="0734482F">
            <w:pPr>
              <w:widowControl w:val="0"/>
              <w:adjustRightInd w:val="0"/>
              <w:snapToGrid w:val="0"/>
              <w:spacing w:beforeLines="10" w:afterLines="10" w:line="259" w:lineRule="auto"/>
              <w:ind w:left="1100" w:hanging="460"/>
              <w:jc w:val="center"/>
              <w:textAlignment w:val="baseline"/>
              <w:rPr>
                <w:rFonts w:hint="default" w:ascii="Times New Roman" w:hAnsi="Times New Roman" w:eastAsia="宋体" w:cs="Times New Roman"/>
                <w:color w:val="auto"/>
                <w:kern w:val="0"/>
                <w:sz w:val="18"/>
                <w:szCs w:val="18"/>
                <w:lang w:val="en-US" w:eastAsia="zh-CN" w:bidi="ar-SA"/>
              </w:rPr>
            </w:pPr>
          </w:p>
        </w:tc>
        <w:tc>
          <w:tcPr>
            <w:tcW w:w="514" w:type="pct"/>
            <w:noWrap w:val="0"/>
            <w:vAlign w:val="center"/>
          </w:tcPr>
          <w:p w14:paraId="71A8BF98">
            <w:pPr>
              <w:widowControl w:val="0"/>
              <w:adjustRightInd w:val="0"/>
              <w:snapToGrid w:val="0"/>
              <w:spacing w:beforeLines="0" w:afterLines="0" w:line="240" w:lineRule="auto"/>
              <w:jc w:val="center"/>
              <w:rPr>
                <w:rFonts w:hint="default" w:ascii="Times New Roman" w:hAnsi="Times New Roman" w:eastAsia="宋体" w:cs="Times New Roman"/>
                <w:b/>
                <w:bCs/>
                <w:color w:val="auto"/>
                <w:kern w:val="0"/>
                <w:sz w:val="18"/>
                <w:szCs w:val="18"/>
                <w:lang w:val="en-US" w:eastAsia="zh-CN" w:bidi="ar-SA"/>
              </w:rPr>
            </w:pPr>
            <w:r>
              <w:rPr>
                <w:rFonts w:hint="default" w:ascii="Times New Roman" w:hAnsi="Times New Roman" w:eastAsia="宋体" w:cs="Times New Roman"/>
                <w:b/>
                <w:bCs/>
                <w:color w:val="auto"/>
                <w:kern w:val="0"/>
                <w:sz w:val="18"/>
                <w:szCs w:val="18"/>
                <w:lang w:val="en-US" w:eastAsia="zh-CN" w:bidi="ar-SA"/>
              </w:rPr>
              <w:t>经度</w:t>
            </w:r>
          </w:p>
        </w:tc>
        <w:tc>
          <w:tcPr>
            <w:tcW w:w="441" w:type="pct"/>
            <w:noWrap w:val="0"/>
            <w:vAlign w:val="center"/>
          </w:tcPr>
          <w:p w14:paraId="01230A91">
            <w:pPr>
              <w:widowControl w:val="0"/>
              <w:adjustRightInd w:val="0"/>
              <w:snapToGrid w:val="0"/>
              <w:spacing w:beforeLines="0" w:afterLines="0" w:line="240" w:lineRule="auto"/>
              <w:jc w:val="center"/>
              <w:rPr>
                <w:rFonts w:hint="default" w:ascii="Times New Roman" w:hAnsi="Times New Roman" w:eastAsia="宋体" w:cs="Times New Roman"/>
                <w:b/>
                <w:bCs/>
                <w:color w:val="auto"/>
                <w:kern w:val="0"/>
                <w:sz w:val="18"/>
                <w:szCs w:val="18"/>
                <w:lang w:val="en-US" w:eastAsia="zh-CN" w:bidi="ar-SA"/>
              </w:rPr>
            </w:pPr>
            <w:r>
              <w:rPr>
                <w:rFonts w:hint="default" w:ascii="Times New Roman" w:hAnsi="Times New Roman" w:eastAsia="宋体" w:cs="Times New Roman"/>
                <w:b/>
                <w:bCs/>
                <w:color w:val="auto"/>
                <w:kern w:val="0"/>
                <w:sz w:val="18"/>
                <w:szCs w:val="18"/>
                <w:lang w:val="en-US" w:eastAsia="zh-CN" w:bidi="ar-SA"/>
              </w:rPr>
              <w:t>纬度</w:t>
            </w:r>
          </w:p>
        </w:tc>
        <w:tc>
          <w:tcPr>
            <w:tcW w:w="353" w:type="pct"/>
            <w:vMerge w:val="continue"/>
            <w:noWrap w:val="0"/>
            <w:vAlign w:val="center"/>
          </w:tcPr>
          <w:p w14:paraId="00E836D2">
            <w:pPr>
              <w:widowControl w:val="0"/>
              <w:adjustRightInd w:val="0"/>
              <w:snapToGrid w:val="0"/>
              <w:spacing w:beforeLines="10" w:afterLines="10" w:line="259" w:lineRule="auto"/>
              <w:ind w:left="1100" w:hanging="460"/>
              <w:jc w:val="center"/>
              <w:textAlignment w:val="baseline"/>
              <w:rPr>
                <w:rFonts w:hint="default" w:ascii="Times New Roman" w:hAnsi="Times New Roman" w:eastAsia="宋体" w:cs="Times New Roman"/>
                <w:color w:val="auto"/>
                <w:kern w:val="0"/>
                <w:sz w:val="18"/>
                <w:szCs w:val="18"/>
                <w:lang w:val="en-US" w:eastAsia="zh-CN" w:bidi="ar-SA"/>
              </w:rPr>
            </w:pPr>
          </w:p>
        </w:tc>
        <w:tc>
          <w:tcPr>
            <w:tcW w:w="311" w:type="pct"/>
            <w:vMerge w:val="continue"/>
            <w:noWrap w:val="0"/>
            <w:vAlign w:val="center"/>
          </w:tcPr>
          <w:p w14:paraId="642E5B57">
            <w:pPr>
              <w:widowControl w:val="0"/>
              <w:adjustRightInd w:val="0"/>
              <w:snapToGrid w:val="0"/>
              <w:spacing w:beforeLines="10" w:afterLines="10" w:line="259" w:lineRule="auto"/>
              <w:ind w:left="1100" w:hanging="460"/>
              <w:jc w:val="center"/>
              <w:textAlignment w:val="baseline"/>
              <w:rPr>
                <w:rFonts w:hint="default" w:ascii="Times New Roman" w:hAnsi="Times New Roman" w:eastAsia="宋体" w:cs="Times New Roman"/>
                <w:color w:val="auto"/>
                <w:kern w:val="0"/>
                <w:sz w:val="18"/>
                <w:szCs w:val="18"/>
                <w:lang w:val="en-US" w:eastAsia="zh-CN" w:bidi="ar-SA"/>
              </w:rPr>
            </w:pPr>
          </w:p>
        </w:tc>
        <w:tc>
          <w:tcPr>
            <w:tcW w:w="404" w:type="pct"/>
            <w:noWrap w:val="0"/>
            <w:vAlign w:val="center"/>
          </w:tcPr>
          <w:p w14:paraId="530CD025">
            <w:pPr>
              <w:widowControl w:val="0"/>
              <w:adjustRightInd w:val="0"/>
              <w:snapToGrid w:val="0"/>
              <w:spacing w:beforeLines="10" w:afterLines="10" w:line="259" w:lineRule="auto"/>
              <w:jc w:val="center"/>
              <w:textAlignment w:val="baseline"/>
              <w:rPr>
                <w:rFonts w:hint="default" w:ascii="Times New Roman" w:hAnsi="Times New Roman" w:eastAsia="宋体" w:cs="Times New Roman"/>
                <w:b/>
                <w:bCs/>
                <w:color w:val="auto"/>
                <w:kern w:val="0"/>
                <w:sz w:val="18"/>
                <w:szCs w:val="18"/>
                <w:lang w:val="en-US" w:eastAsia="zh-CN" w:bidi="ar-SA"/>
              </w:rPr>
            </w:pPr>
            <w:r>
              <w:rPr>
                <w:rFonts w:hint="default" w:ascii="Times New Roman" w:hAnsi="Times New Roman" w:eastAsia="宋体" w:cs="Times New Roman"/>
                <w:b/>
                <w:bCs/>
                <w:color w:val="auto"/>
                <w:kern w:val="0"/>
                <w:sz w:val="18"/>
                <w:szCs w:val="18"/>
                <w:lang w:val="en-US" w:eastAsia="zh-CN" w:bidi="ar-SA"/>
              </w:rPr>
              <w:t>污染治理设施编号</w:t>
            </w:r>
          </w:p>
        </w:tc>
        <w:tc>
          <w:tcPr>
            <w:tcW w:w="353" w:type="pct"/>
            <w:noWrap w:val="0"/>
            <w:vAlign w:val="center"/>
          </w:tcPr>
          <w:p w14:paraId="00EB8CFF">
            <w:pPr>
              <w:widowControl w:val="0"/>
              <w:adjustRightInd w:val="0"/>
              <w:snapToGrid w:val="0"/>
              <w:spacing w:beforeLines="10" w:afterLines="10" w:line="259" w:lineRule="auto"/>
              <w:jc w:val="center"/>
              <w:textAlignment w:val="baseline"/>
              <w:rPr>
                <w:rFonts w:hint="default" w:ascii="Times New Roman" w:hAnsi="Times New Roman" w:eastAsia="宋体" w:cs="Times New Roman"/>
                <w:b/>
                <w:bCs/>
                <w:color w:val="auto"/>
                <w:kern w:val="0"/>
                <w:sz w:val="18"/>
                <w:szCs w:val="18"/>
                <w:lang w:val="en-US" w:eastAsia="zh-CN" w:bidi="ar-SA"/>
              </w:rPr>
            </w:pPr>
            <w:r>
              <w:rPr>
                <w:rFonts w:hint="default" w:ascii="Times New Roman" w:hAnsi="Times New Roman" w:eastAsia="宋体" w:cs="Times New Roman"/>
                <w:b/>
                <w:bCs/>
                <w:color w:val="auto"/>
                <w:kern w:val="0"/>
                <w:sz w:val="18"/>
                <w:szCs w:val="18"/>
                <w:lang w:val="en-US" w:eastAsia="zh-CN" w:bidi="ar-SA"/>
              </w:rPr>
              <w:t>污染治理设施名称</w:t>
            </w:r>
          </w:p>
        </w:tc>
        <w:tc>
          <w:tcPr>
            <w:tcW w:w="262" w:type="pct"/>
            <w:noWrap w:val="0"/>
            <w:vAlign w:val="center"/>
          </w:tcPr>
          <w:p w14:paraId="1D5352B1">
            <w:pPr>
              <w:widowControl w:val="0"/>
              <w:adjustRightInd w:val="0"/>
              <w:snapToGrid w:val="0"/>
              <w:spacing w:beforeLines="10" w:afterLines="10" w:line="259" w:lineRule="auto"/>
              <w:jc w:val="center"/>
              <w:textAlignment w:val="baseline"/>
              <w:rPr>
                <w:rFonts w:hint="default" w:ascii="Times New Roman" w:hAnsi="Times New Roman" w:eastAsia="宋体" w:cs="Times New Roman"/>
                <w:b/>
                <w:bCs/>
                <w:color w:val="auto"/>
                <w:kern w:val="0"/>
                <w:sz w:val="18"/>
                <w:szCs w:val="18"/>
                <w:lang w:val="en-US" w:eastAsia="zh-CN" w:bidi="ar-SA"/>
              </w:rPr>
            </w:pPr>
            <w:r>
              <w:rPr>
                <w:rFonts w:hint="default" w:ascii="Times New Roman" w:hAnsi="Times New Roman" w:eastAsia="宋体" w:cs="Times New Roman"/>
                <w:b/>
                <w:bCs/>
                <w:color w:val="auto"/>
                <w:kern w:val="0"/>
                <w:sz w:val="18"/>
                <w:szCs w:val="18"/>
                <w:lang w:val="en-US" w:eastAsia="zh-CN" w:bidi="ar-SA"/>
              </w:rPr>
              <w:t>污染治理设施工艺</w:t>
            </w:r>
          </w:p>
        </w:tc>
        <w:tc>
          <w:tcPr>
            <w:tcW w:w="235" w:type="pct"/>
            <w:vMerge w:val="continue"/>
            <w:noWrap w:val="0"/>
            <w:vAlign w:val="center"/>
          </w:tcPr>
          <w:p w14:paraId="751C1993">
            <w:pPr>
              <w:widowControl w:val="0"/>
              <w:adjustRightInd w:val="0"/>
              <w:snapToGrid w:val="0"/>
              <w:spacing w:beforeLines="10" w:afterLines="10" w:line="259" w:lineRule="auto"/>
              <w:ind w:left="1100" w:hanging="460"/>
              <w:jc w:val="center"/>
              <w:textAlignment w:val="baseline"/>
              <w:rPr>
                <w:rFonts w:hint="default" w:ascii="Times New Roman" w:hAnsi="Times New Roman" w:eastAsia="宋体" w:cs="Times New Roman"/>
                <w:color w:val="auto"/>
                <w:kern w:val="0"/>
                <w:sz w:val="18"/>
                <w:szCs w:val="18"/>
                <w:lang w:val="en-US" w:eastAsia="zh-CN" w:bidi="ar-SA"/>
              </w:rPr>
            </w:pPr>
          </w:p>
        </w:tc>
        <w:tc>
          <w:tcPr>
            <w:tcW w:w="336" w:type="pct"/>
            <w:vMerge w:val="continue"/>
            <w:noWrap w:val="0"/>
            <w:vAlign w:val="center"/>
          </w:tcPr>
          <w:p w14:paraId="3BE6221C">
            <w:pPr>
              <w:widowControl w:val="0"/>
              <w:adjustRightInd w:val="0"/>
              <w:snapToGrid w:val="0"/>
              <w:spacing w:beforeLines="10" w:afterLines="10" w:line="259" w:lineRule="auto"/>
              <w:ind w:left="1100" w:hanging="460"/>
              <w:jc w:val="center"/>
              <w:textAlignment w:val="baseline"/>
              <w:rPr>
                <w:rFonts w:hint="default" w:ascii="Times New Roman" w:hAnsi="Times New Roman" w:eastAsia="宋体" w:cs="Times New Roman"/>
                <w:color w:val="auto"/>
                <w:kern w:val="0"/>
                <w:sz w:val="18"/>
                <w:szCs w:val="18"/>
                <w:lang w:val="en-US" w:eastAsia="zh-CN" w:bidi="ar-SA"/>
              </w:rPr>
            </w:pPr>
          </w:p>
        </w:tc>
        <w:tc>
          <w:tcPr>
            <w:tcW w:w="554" w:type="pct"/>
            <w:vMerge w:val="continue"/>
            <w:noWrap w:val="0"/>
            <w:vAlign w:val="center"/>
          </w:tcPr>
          <w:p w14:paraId="3F2F38D4">
            <w:pPr>
              <w:widowControl w:val="0"/>
              <w:adjustRightInd w:val="0"/>
              <w:snapToGrid w:val="0"/>
              <w:spacing w:beforeLines="10" w:afterLines="10" w:line="259" w:lineRule="auto"/>
              <w:ind w:left="1100" w:hanging="460"/>
              <w:jc w:val="center"/>
              <w:textAlignment w:val="baseline"/>
              <w:rPr>
                <w:rFonts w:hint="default" w:ascii="Times New Roman" w:hAnsi="Times New Roman" w:eastAsia="宋体" w:cs="Times New Roman"/>
                <w:color w:val="auto"/>
                <w:kern w:val="0"/>
                <w:sz w:val="18"/>
                <w:szCs w:val="18"/>
                <w:lang w:val="en-US" w:eastAsia="zh-CN" w:bidi="ar-SA"/>
              </w:rPr>
            </w:pPr>
          </w:p>
        </w:tc>
      </w:tr>
      <w:tr w14:paraId="7E2F7F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65" w:hRule="atLeast"/>
          <w:jc w:val="center"/>
        </w:trPr>
        <w:tc>
          <w:tcPr>
            <w:tcW w:w="408" w:type="pct"/>
            <w:noWrap w:val="0"/>
            <w:vAlign w:val="center"/>
          </w:tcPr>
          <w:p w14:paraId="5B7146E6">
            <w:pPr>
              <w:widowControl w:val="0"/>
              <w:adjustRightInd w:val="0"/>
              <w:snapToGrid w:val="0"/>
              <w:spacing w:beforeLines="10" w:afterLines="10" w:line="259" w:lineRule="auto"/>
              <w:jc w:val="center"/>
              <w:textAlignment w:val="baseline"/>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w:t>
            </w:r>
          </w:p>
        </w:tc>
        <w:tc>
          <w:tcPr>
            <w:tcW w:w="446" w:type="pct"/>
            <w:noWrap w:val="0"/>
            <w:vAlign w:val="center"/>
          </w:tcPr>
          <w:p w14:paraId="1AA0B6AF">
            <w:pPr>
              <w:widowControl w:val="0"/>
              <w:adjustRightInd w:val="0"/>
              <w:snapToGrid w:val="0"/>
              <w:spacing w:beforeLines="10" w:afterLines="10" w:line="259" w:lineRule="auto"/>
              <w:jc w:val="center"/>
              <w:textAlignment w:val="baseline"/>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snapToGrid w:val="0"/>
                <w:color w:val="auto"/>
                <w:kern w:val="0"/>
                <w:sz w:val="18"/>
                <w:szCs w:val="18"/>
                <w:lang w:val="en-US" w:eastAsia="zh-CN" w:bidi="ar-SA"/>
              </w:rPr>
              <w:t>生活污水、</w:t>
            </w:r>
            <w:r>
              <w:rPr>
                <w:rFonts w:hint="eastAsia" w:ascii="Times New Roman" w:hAnsi="Times New Roman" w:cs="Times New Roman"/>
                <w:snapToGrid w:val="0"/>
                <w:color w:val="auto"/>
                <w:kern w:val="0"/>
                <w:sz w:val="18"/>
                <w:szCs w:val="18"/>
                <w:lang w:val="en-US" w:eastAsia="zh-CN" w:bidi="ar-SA"/>
              </w:rPr>
              <w:t>地面清洁</w:t>
            </w:r>
            <w:r>
              <w:rPr>
                <w:rFonts w:hint="default" w:ascii="Times New Roman" w:hAnsi="Times New Roman" w:eastAsia="宋体" w:cs="Times New Roman"/>
                <w:snapToGrid w:val="0"/>
                <w:color w:val="auto"/>
                <w:kern w:val="0"/>
                <w:sz w:val="18"/>
                <w:szCs w:val="18"/>
                <w:lang w:val="en-US" w:eastAsia="zh-CN" w:bidi="ar-SA"/>
              </w:rPr>
              <w:t>废水</w:t>
            </w:r>
          </w:p>
        </w:tc>
        <w:tc>
          <w:tcPr>
            <w:tcW w:w="375" w:type="pct"/>
            <w:noWrap w:val="0"/>
            <w:vAlign w:val="center"/>
          </w:tcPr>
          <w:p w14:paraId="607BAECC">
            <w:pPr>
              <w:widowControl w:val="0"/>
              <w:adjustRightInd w:val="0"/>
              <w:snapToGrid w:val="0"/>
              <w:spacing w:beforeLines="10" w:afterLines="10" w:line="259" w:lineRule="auto"/>
              <w:jc w:val="center"/>
              <w:textAlignment w:val="baseline"/>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pH</w:t>
            </w:r>
          </w:p>
          <w:p w14:paraId="5CFB9503">
            <w:pPr>
              <w:widowControl w:val="0"/>
              <w:adjustRightInd w:val="0"/>
              <w:snapToGrid w:val="0"/>
              <w:spacing w:beforeLines="10" w:afterLines="10" w:line="259" w:lineRule="auto"/>
              <w:jc w:val="center"/>
              <w:textAlignment w:val="baseline"/>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COD</w:t>
            </w:r>
          </w:p>
          <w:p w14:paraId="735F2339">
            <w:pPr>
              <w:widowControl w:val="0"/>
              <w:adjustRightInd w:val="0"/>
              <w:snapToGrid w:val="0"/>
              <w:spacing w:beforeLines="10" w:afterLines="10" w:line="259" w:lineRule="auto"/>
              <w:jc w:val="center"/>
              <w:textAlignment w:val="baseline"/>
              <w:rPr>
                <w:rFonts w:hint="default" w:ascii="Times New Roman" w:hAnsi="Times New Roman" w:eastAsia="宋体" w:cs="Times New Roman"/>
                <w:color w:val="auto"/>
                <w:kern w:val="0"/>
                <w:sz w:val="18"/>
                <w:szCs w:val="18"/>
                <w:vertAlign w:val="subscript"/>
                <w:lang w:val="en-US" w:eastAsia="zh-CN" w:bidi="ar-SA"/>
              </w:rPr>
            </w:pPr>
            <w:r>
              <w:rPr>
                <w:rFonts w:hint="default" w:ascii="Times New Roman" w:hAnsi="Times New Roman" w:eastAsia="宋体" w:cs="Times New Roman"/>
                <w:color w:val="auto"/>
                <w:kern w:val="0"/>
                <w:sz w:val="18"/>
                <w:szCs w:val="18"/>
                <w:lang w:val="en-US" w:eastAsia="zh-CN" w:bidi="ar-SA"/>
              </w:rPr>
              <w:t>BOD</w:t>
            </w:r>
            <w:r>
              <w:rPr>
                <w:rFonts w:hint="default" w:ascii="Times New Roman" w:hAnsi="Times New Roman" w:eastAsia="宋体" w:cs="Times New Roman"/>
                <w:color w:val="auto"/>
                <w:kern w:val="0"/>
                <w:sz w:val="18"/>
                <w:szCs w:val="18"/>
                <w:vertAlign w:val="subscript"/>
                <w:lang w:val="en-US" w:eastAsia="zh-CN" w:bidi="ar-SA"/>
              </w:rPr>
              <w:t>5</w:t>
            </w:r>
          </w:p>
          <w:p w14:paraId="1D6618A0">
            <w:pPr>
              <w:widowControl w:val="0"/>
              <w:adjustRightInd w:val="0"/>
              <w:snapToGrid w:val="0"/>
              <w:spacing w:beforeLines="10" w:afterLines="10" w:line="259" w:lineRule="auto"/>
              <w:jc w:val="center"/>
              <w:textAlignment w:val="baseline"/>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SS</w:t>
            </w:r>
          </w:p>
          <w:p w14:paraId="2C95CC92">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NH</w:t>
            </w:r>
            <w:r>
              <w:rPr>
                <w:rFonts w:hint="default" w:ascii="Times New Roman" w:hAnsi="Times New Roman" w:eastAsia="宋体" w:cs="Times New Roman"/>
                <w:color w:val="auto"/>
                <w:sz w:val="18"/>
                <w:szCs w:val="18"/>
                <w:vertAlign w:val="subscript"/>
              </w:rPr>
              <w:t>3</w:t>
            </w:r>
            <w:r>
              <w:rPr>
                <w:rFonts w:hint="default" w:ascii="Times New Roman" w:hAnsi="Times New Roman" w:eastAsia="宋体" w:cs="Times New Roman"/>
                <w:color w:val="auto"/>
                <w:sz w:val="18"/>
                <w:szCs w:val="18"/>
              </w:rPr>
              <w:t>-N</w:t>
            </w:r>
          </w:p>
          <w:p w14:paraId="5B0133C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eastAsia="zh-CN"/>
              </w:rPr>
              <w:t>石油类</w:t>
            </w:r>
          </w:p>
        </w:tc>
        <w:tc>
          <w:tcPr>
            <w:tcW w:w="514" w:type="pct"/>
            <w:noWrap w:val="0"/>
            <w:vAlign w:val="center"/>
          </w:tcPr>
          <w:p w14:paraId="15B8D416">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106.296133783</w:t>
            </w:r>
          </w:p>
        </w:tc>
        <w:tc>
          <w:tcPr>
            <w:tcW w:w="441" w:type="pct"/>
            <w:noWrap w:val="0"/>
            <w:vAlign w:val="center"/>
          </w:tcPr>
          <w:p w14:paraId="1E7FACEF">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lang w:val="en-US" w:eastAsia="zh-CN" w:bidi="ar-SA"/>
              </w:rPr>
              <w:t>29.936807919</w:t>
            </w:r>
          </w:p>
        </w:tc>
        <w:tc>
          <w:tcPr>
            <w:tcW w:w="353" w:type="pct"/>
            <w:noWrap w:val="0"/>
            <w:vAlign w:val="center"/>
          </w:tcPr>
          <w:p w14:paraId="20B3C3F3">
            <w:pPr>
              <w:widowControl w:val="0"/>
              <w:adjustRightInd w:val="0"/>
              <w:snapToGrid w:val="0"/>
              <w:spacing w:beforeLines="10" w:afterLines="10" w:line="259" w:lineRule="auto"/>
              <w:jc w:val="center"/>
              <w:textAlignment w:val="baseline"/>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s="Times New Roman"/>
                <w:b w:val="0"/>
                <w:bCs/>
                <w:snapToGrid w:val="0"/>
                <w:color w:val="auto"/>
                <w:sz w:val="18"/>
                <w:szCs w:val="18"/>
                <w:vertAlign w:val="baseline"/>
                <w:lang w:val="en-US" w:eastAsia="zh-CN"/>
              </w:rPr>
              <w:t>南溪组团A区污水处理厂</w:t>
            </w:r>
          </w:p>
        </w:tc>
        <w:tc>
          <w:tcPr>
            <w:tcW w:w="311" w:type="pct"/>
            <w:noWrap w:val="0"/>
            <w:vAlign w:val="center"/>
          </w:tcPr>
          <w:p w14:paraId="25E70705">
            <w:pPr>
              <w:widowControl w:val="0"/>
              <w:adjustRightInd w:val="0"/>
              <w:snapToGrid w:val="0"/>
              <w:spacing w:beforeLines="10" w:afterLines="10" w:line="259" w:lineRule="auto"/>
              <w:jc w:val="center"/>
              <w:textAlignment w:val="baseline"/>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间歇排放，流量不稳定、无规律</w:t>
            </w:r>
          </w:p>
        </w:tc>
        <w:tc>
          <w:tcPr>
            <w:tcW w:w="404" w:type="pct"/>
            <w:noWrap w:val="0"/>
            <w:vAlign w:val="center"/>
          </w:tcPr>
          <w:p w14:paraId="6265591B">
            <w:pPr>
              <w:widowControl w:val="0"/>
              <w:adjustRightInd w:val="0"/>
              <w:snapToGrid w:val="0"/>
              <w:spacing w:beforeLines="10" w:afterLines="10" w:line="259" w:lineRule="auto"/>
              <w:jc w:val="center"/>
              <w:textAlignment w:val="baseline"/>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TW001</w:t>
            </w:r>
          </w:p>
        </w:tc>
        <w:tc>
          <w:tcPr>
            <w:tcW w:w="353" w:type="pct"/>
            <w:noWrap w:val="0"/>
            <w:vAlign w:val="center"/>
          </w:tcPr>
          <w:p w14:paraId="2EE0E49A">
            <w:pPr>
              <w:widowControl w:val="0"/>
              <w:adjustRightInd w:val="0"/>
              <w:snapToGrid w:val="0"/>
              <w:spacing w:beforeLines="10" w:afterLines="10" w:line="259" w:lineRule="auto"/>
              <w:jc w:val="center"/>
              <w:textAlignment w:val="baseline"/>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生化池</w:t>
            </w:r>
          </w:p>
        </w:tc>
        <w:tc>
          <w:tcPr>
            <w:tcW w:w="262" w:type="pct"/>
            <w:noWrap w:val="0"/>
            <w:vAlign w:val="center"/>
          </w:tcPr>
          <w:p w14:paraId="603DA9DD">
            <w:pPr>
              <w:widowControl w:val="0"/>
              <w:adjustRightInd w:val="0"/>
              <w:snapToGrid w:val="0"/>
              <w:spacing w:beforeLines="10" w:afterLines="10" w:line="259" w:lineRule="auto"/>
              <w:jc w:val="center"/>
              <w:textAlignment w:val="baseline"/>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厌氧</w:t>
            </w:r>
          </w:p>
        </w:tc>
        <w:tc>
          <w:tcPr>
            <w:tcW w:w="235" w:type="pct"/>
            <w:noWrap w:val="0"/>
            <w:vAlign w:val="center"/>
          </w:tcPr>
          <w:p w14:paraId="3FE678EB">
            <w:pPr>
              <w:widowControl w:val="0"/>
              <w:adjustRightInd w:val="0"/>
              <w:snapToGrid w:val="0"/>
              <w:spacing w:beforeLines="10" w:afterLines="10" w:line="259" w:lineRule="auto"/>
              <w:jc w:val="center"/>
              <w:textAlignment w:val="baseline"/>
              <w:rPr>
                <w:rFonts w:hint="default" w:ascii="Times New Roman" w:hAnsi="Times New Roman" w:eastAsia="宋体" w:cs="Times New Roman"/>
                <w:color w:val="auto"/>
                <w:kern w:val="0"/>
                <w:sz w:val="18"/>
                <w:szCs w:val="18"/>
                <w:vertAlign w:val="superscript"/>
                <w:lang w:val="en-US" w:eastAsia="zh-CN" w:bidi="ar-SA"/>
              </w:rPr>
            </w:pPr>
            <w:r>
              <w:rPr>
                <w:rFonts w:hint="default" w:ascii="Times New Roman" w:hAnsi="Times New Roman" w:eastAsia="宋体" w:cs="Times New Roman"/>
                <w:color w:val="auto"/>
                <w:kern w:val="0"/>
                <w:sz w:val="18"/>
                <w:szCs w:val="18"/>
                <w:lang w:val="en-US" w:eastAsia="zh-CN" w:bidi="ar-SA"/>
              </w:rPr>
              <w:t>DW001</w:t>
            </w:r>
          </w:p>
        </w:tc>
        <w:tc>
          <w:tcPr>
            <w:tcW w:w="336" w:type="pct"/>
            <w:noWrap w:val="0"/>
            <w:vAlign w:val="center"/>
          </w:tcPr>
          <w:p w14:paraId="02AFFAED">
            <w:pPr>
              <w:widowControl w:val="0"/>
              <w:adjustRightInd w:val="0"/>
              <w:snapToGrid w:val="0"/>
              <w:spacing w:beforeLines="10" w:afterLines="10" w:line="259" w:lineRule="auto"/>
              <w:jc w:val="center"/>
              <w:textAlignment w:val="baseline"/>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符合</w:t>
            </w:r>
          </w:p>
        </w:tc>
        <w:tc>
          <w:tcPr>
            <w:tcW w:w="554" w:type="pct"/>
            <w:noWrap w:val="0"/>
            <w:vAlign w:val="center"/>
          </w:tcPr>
          <w:p w14:paraId="692EE191">
            <w:pPr>
              <w:widowControl w:val="0"/>
              <w:adjustRightInd w:val="0"/>
              <w:snapToGrid w:val="0"/>
              <w:spacing w:beforeLines="10" w:afterLines="10" w:line="259" w:lineRule="auto"/>
              <w:jc w:val="both"/>
              <w:textAlignment w:val="baseline"/>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b/>
                <w:color w:val="auto"/>
                <w:kern w:val="0"/>
                <w:sz w:val="18"/>
                <w:szCs w:val="18"/>
                <w:lang w:val="en-US" w:eastAsia="zh-CN" w:bidi="ar-SA"/>
              </w:rPr>
              <w:t xml:space="preserve">√ </w:t>
            </w:r>
            <w:r>
              <w:rPr>
                <w:rFonts w:hint="default" w:ascii="Times New Roman" w:hAnsi="Times New Roman" w:eastAsia="宋体" w:cs="Times New Roman"/>
                <w:color w:val="auto"/>
                <w:kern w:val="0"/>
                <w:sz w:val="18"/>
                <w:szCs w:val="18"/>
                <w:lang w:val="en-US" w:eastAsia="zh-CN" w:bidi="ar-SA"/>
              </w:rPr>
              <w:t>企业总排</w:t>
            </w:r>
          </w:p>
          <w:p w14:paraId="00A98320">
            <w:pPr>
              <w:widowControl w:val="0"/>
              <w:adjustRightInd w:val="0"/>
              <w:snapToGrid w:val="0"/>
              <w:spacing w:beforeLines="10" w:afterLines="10" w:line="259" w:lineRule="auto"/>
              <w:jc w:val="both"/>
              <w:textAlignment w:val="baseline"/>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□雨水排放</w:t>
            </w:r>
          </w:p>
          <w:p w14:paraId="28C073D9">
            <w:pPr>
              <w:widowControl w:val="0"/>
              <w:adjustRightInd w:val="0"/>
              <w:snapToGrid w:val="0"/>
              <w:spacing w:beforeLines="10" w:afterLines="10" w:line="259" w:lineRule="auto"/>
              <w:jc w:val="both"/>
              <w:textAlignment w:val="baseline"/>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□清净下水排放</w:t>
            </w:r>
          </w:p>
          <w:p w14:paraId="0C15EB31">
            <w:pPr>
              <w:widowControl w:val="0"/>
              <w:adjustRightInd w:val="0"/>
              <w:snapToGrid w:val="0"/>
              <w:spacing w:beforeLines="10" w:afterLines="10" w:line="259" w:lineRule="auto"/>
              <w:jc w:val="both"/>
              <w:textAlignment w:val="baseline"/>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□温排水排放</w:t>
            </w:r>
          </w:p>
          <w:p w14:paraId="4230FB31">
            <w:pPr>
              <w:widowControl w:val="0"/>
              <w:adjustRightInd w:val="0"/>
              <w:snapToGrid w:val="0"/>
              <w:spacing w:beforeLines="10" w:afterLines="10" w:line="259" w:lineRule="auto"/>
              <w:jc w:val="both"/>
              <w:textAlignment w:val="baseline"/>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□车间或车间处理设施排放口</w:t>
            </w:r>
          </w:p>
        </w:tc>
      </w:tr>
    </w:tbl>
    <w:p w14:paraId="2C2F4C33">
      <w:pPr>
        <w:pStyle w:val="26"/>
        <w:outlineLvl w:val="0"/>
        <w:rPr>
          <w:rFonts w:hint="default" w:ascii="Times New Roman" w:hAnsi="Times New Roman" w:cs="Times New Roman"/>
          <w:snapToGrid w:val="0"/>
          <w:color w:val="auto"/>
          <w:sz w:val="30"/>
          <w:szCs w:val="30"/>
        </w:rPr>
        <w:sectPr>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8348"/>
      </w:tblGrid>
      <w:tr w14:paraId="1CC64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noWrap w:val="0"/>
            <w:tcMar>
              <w:left w:w="28" w:type="dxa"/>
              <w:right w:w="28" w:type="dxa"/>
            </w:tcMar>
            <w:vAlign w:val="center"/>
          </w:tcPr>
          <w:p w14:paraId="48B3359D">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运营</w:t>
            </w:r>
          </w:p>
          <w:p w14:paraId="2ED44648">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期环</w:t>
            </w:r>
          </w:p>
          <w:p w14:paraId="5E94304B">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境影</w:t>
            </w:r>
          </w:p>
          <w:p w14:paraId="73A1DB4E">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响和</w:t>
            </w:r>
          </w:p>
          <w:p w14:paraId="4AAD40DF">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保护</w:t>
            </w:r>
          </w:p>
          <w:p w14:paraId="32491BC6">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措施</w:t>
            </w:r>
          </w:p>
        </w:tc>
        <w:tc>
          <w:tcPr>
            <w:tcW w:w="8162" w:type="dxa"/>
            <w:noWrap w:val="0"/>
            <w:vAlign w:val="center"/>
          </w:tcPr>
          <w:p w14:paraId="08464248">
            <w:pPr>
              <w:adjustRightInd w:val="0"/>
              <w:snapToGrid w:val="0"/>
              <w:spacing w:line="360" w:lineRule="auto"/>
              <w:ind w:firstLine="382" w:firstLineChars="200"/>
              <w:rPr>
                <w:rFonts w:hint="default" w:ascii="Times New Roman" w:hAnsi="Times New Roman" w:eastAsia="宋体" w:cs="Times New Roman"/>
                <w:b/>
                <w:bCs/>
                <w:color w:val="auto"/>
                <w:spacing w:val="-10"/>
                <w:szCs w:val="21"/>
              </w:rPr>
            </w:pPr>
            <w:r>
              <w:rPr>
                <w:rFonts w:hint="default" w:ascii="Times New Roman" w:hAnsi="Times New Roman" w:eastAsia="宋体" w:cs="Times New Roman"/>
                <w:b/>
                <w:bCs/>
                <w:color w:val="auto"/>
                <w:spacing w:val="-10"/>
                <w:szCs w:val="21"/>
              </w:rPr>
              <w:t>（2）生化池处理工艺、依托及达标可行性分析</w:t>
            </w:r>
          </w:p>
          <w:p w14:paraId="25A7CF05">
            <w:pPr>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rPr>
              <w:t>本项目营运期产生的</w:t>
            </w:r>
            <w:r>
              <w:rPr>
                <w:rFonts w:hint="eastAsia" w:ascii="Times New Roman" w:hAnsi="Times New Roman" w:cs="Times New Roman"/>
                <w:color w:val="auto"/>
                <w:sz w:val="21"/>
                <w:szCs w:val="21"/>
                <w:lang w:val="en-US" w:eastAsia="zh-CN"/>
              </w:rPr>
              <w:t>地面清洁废水与生活污水</w:t>
            </w:r>
            <w:r>
              <w:rPr>
                <w:rFonts w:hint="default" w:ascii="Times New Roman" w:hAnsi="Times New Roman" w:eastAsia="宋体" w:cs="Times New Roman"/>
                <w:color w:val="auto"/>
                <w:sz w:val="21"/>
                <w:szCs w:val="21"/>
                <w:lang w:val="en-US" w:eastAsia="zh-CN"/>
              </w:rPr>
              <w:t>一起排入</w:t>
            </w:r>
            <w:r>
              <w:rPr>
                <w:rFonts w:hint="default" w:ascii="Times New Roman" w:hAnsi="Times New Roman" w:eastAsia="宋体" w:cs="Times New Roman"/>
                <w:color w:val="auto"/>
                <w:sz w:val="21"/>
                <w:szCs w:val="21"/>
                <w:lang w:eastAsia="zh-CN"/>
              </w:rPr>
              <w:t>现有生化池</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 w:val="21"/>
                <w:szCs w:val="21"/>
                <w:lang w:eastAsia="zh-CN"/>
              </w:rPr>
              <w:t>生化池</w:t>
            </w:r>
            <w:r>
              <w:rPr>
                <w:rFonts w:hint="default" w:ascii="Times New Roman" w:hAnsi="Times New Roman" w:eastAsia="宋体" w:cs="Times New Roman"/>
                <w:color w:val="auto"/>
                <w:sz w:val="21"/>
                <w:szCs w:val="21"/>
                <w:lang w:val="en-US" w:eastAsia="zh-CN"/>
              </w:rPr>
              <w:t>位于</w:t>
            </w:r>
            <w:r>
              <w:rPr>
                <w:rFonts w:hint="eastAsia" w:ascii="Times New Roman" w:hAnsi="Times New Roman" w:cs="Times New Roman"/>
                <w:color w:val="auto"/>
                <w:szCs w:val="21"/>
                <w:lang w:val="en-US" w:eastAsia="zh-CN"/>
              </w:rPr>
              <w:t>东</w:t>
            </w:r>
            <w:r>
              <w:rPr>
                <w:rFonts w:hint="default" w:ascii="Times New Roman" w:hAnsi="Times New Roman" w:cs="Times New Roman"/>
                <w:color w:val="auto"/>
                <w:szCs w:val="21"/>
                <w:lang w:val="en-US" w:eastAsia="zh-CN"/>
              </w:rPr>
              <w:t>南侧，该</w:t>
            </w:r>
            <w:r>
              <w:rPr>
                <w:rFonts w:hint="default" w:ascii="Times New Roman" w:hAnsi="Times New Roman" w:eastAsia="宋体" w:cs="Times New Roman"/>
                <w:color w:val="auto"/>
                <w:szCs w:val="21"/>
                <w:lang w:val="en-US" w:eastAsia="zh-CN"/>
              </w:rPr>
              <w:t>生化池</w:t>
            </w:r>
            <w:r>
              <w:rPr>
                <w:rFonts w:hint="default" w:ascii="Times New Roman" w:hAnsi="Times New Roman" w:eastAsia="宋体" w:cs="Times New Roman"/>
                <w:color w:val="auto"/>
                <w:szCs w:val="21"/>
              </w:rPr>
              <w:t>设计处理能力为</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/d，主要收集处理生活污水，</w:t>
            </w:r>
            <w:r>
              <w:rPr>
                <w:rFonts w:hint="default" w:ascii="Times New Roman" w:hAnsi="Times New Roman" w:eastAsia="宋体" w:cs="Times New Roman"/>
                <w:color w:val="auto"/>
                <w:szCs w:val="21"/>
                <w:lang w:eastAsia="zh-CN"/>
              </w:rPr>
              <w:t>目前</w:t>
            </w:r>
            <w:r>
              <w:rPr>
                <w:rFonts w:hint="default" w:ascii="Times New Roman" w:hAnsi="Times New Roman" w:eastAsia="宋体" w:cs="Times New Roman"/>
                <w:color w:val="auto"/>
                <w:sz w:val="21"/>
                <w:szCs w:val="21"/>
                <w:lang w:eastAsia="zh-CN"/>
              </w:rPr>
              <w:t>入驻企业较少，</w:t>
            </w:r>
            <w:r>
              <w:rPr>
                <w:rFonts w:hint="default" w:ascii="Times New Roman" w:hAnsi="Times New Roman" w:eastAsia="宋体" w:cs="Times New Roman"/>
                <w:color w:val="auto"/>
                <w:szCs w:val="21"/>
              </w:rPr>
              <w:t>该生化池剩余接纳能力</w:t>
            </w:r>
            <w:r>
              <w:rPr>
                <w:rFonts w:hint="eastAsia" w:ascii="Times New Roman" w:hAnsi="Times New Roman" w:cs="Times New Roman"/>
                <w:color w:val="auto"/>
                <w:szCs w:val="21"/>
                <w:lang w:val="en-US" w:eastAsia="zh-CN"/>
              </w:rPr>
              <w:t>49</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/d</w:t>
            </w:r>
            <w:r>
              <w:rPr>
                <w:rFonts w:hint="default" w:ascii="Times New Roman" w:hAnsi="Times New Roman" w:eastAsia="宋体" w:cs="Times New Roman"/>
                <w:color w:val="auto"/>
                <w:szCs w:val="21"/>
                <w:lang w:eastAsia="zh-CN"/>
              </w:rPr>
              <w:t>，剩余处理能力充足</w:t>
            </w:r>
            <w:r>
              <w:rPr>
                <w:rFonts w:hint="default" w:ascii="Times New Roman" w:hAnsi="Times New Roman" w:eastAsia="宋体" w:cs="Times New Roman"/>
                <w:color w:val="auto"/>
                <w:szCs w:val="21"/>
              </w:rPr>
              <w:t>，本项目新增污水量为</w:t>
            </w:r>
            <w:r>
              <w:rPr>
                <w:rFonts w:hint="eastAsia" w:ascii="Times New Roman" w:hAnsi="Times New Roman" w:cs="Times New Roman"/>
                <w:color w:val="auto"/>
                <w:szCs w:val="21"/>
                <w:lang w:val="en-US" w:eastAsia="zh-CN"/>
              </w:rPr>
              <w:t>0.4932</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Cs w:val="21"/>
                <w:vertAlign w:val="superscript"/>
              </w:rPr>
              <w:t>3</w:t>
            </w:r>
            <w:r>
              <w:rPr>
                <w:rFonts w:hint="default" w:ascii="Times New Roman" w:hAnsi="Times New Roman" w:eastAsia="宋体" w:cs="Times New Roman"/>
                <w:color w:val="auto"/>
                <w:szCs w:val="21"/>
              </w:rPr>
              <w:t>/d，小于其剩余处理能力，且本项目生活污水成分较简单，不会对生化池造成较大冲击，采取的措施为</w:t>
            </w:r>
            <w:r>
              <w:rPr>
                <w:rFonts w:hint="default" w:ascii="Times New Roman" w:hAnsi="Times New Roman" w:eastAsia="宋体" w:cs="Times New Roman"/>
                <w:color w:val="auto"/>
                <w:szCs w:val="21"/>
                <w:lang w:val="en-US" w:eastAsia="zh-CN"/>
              </w:rPr>
              <w:t>《排污许可证申请与核发技术规范 橡胶和塑料制品工业》（HJ1122--2020）中推荐的</w:t>
            </w:r>
            <w:r>
              <w:rPr>
                <w:rFonts w:hint="default" w:ascii="Times New Roman" w:hAnsi="Times New Roman" w:eastAsia="宋体" w:cs="Times New Roman"/>
                <w:color w:val="auto"/>
                <w:szCs w:val="21"/>
              </w:rPr>
              <w:t>技术</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因此本项目生活污水</w:t>
            </w:r>
            <w:r>
              <w:rPr>
                <w:rFonts w:hint="default" w:ascii="Times New Roman" w:hAnsi="Times New Roman" w:eastAsia="宋体" w:cs="Times New Roman"/>
                <w:color w:val="auto"/>
                <w:szCs w:val="21"/>
                <w:lang w:eastAsia="zh-CN"/>
              </w:rPr>
              <w:t>排入</w:t>
            </w:r>
            <w:r>
              <w:rPr>
                <w:rFonts w:hint="default" w:ascii="Times New Roman" w:hAnsi="Times New Roman" w:eastAsia="宋体" w:cs="Times New Roman"/>
                <w:color w:val="auto"/>
                <w:szCs w:val="21"/>
              </w:rPr>
              <w:t>该生化池处理可行。</w:t>
            </w:r>
          </w:p>
          <w:p w14:paraId="7E72A418">
            <w:pPr>
              <w:adjustRightInd w:val="0"/>
              <w:snapToGrid w:val="0"/>
              <w:spacing w:line="360" w:lineRule="auto"/>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（3）本项目废水进入污水处理厂可行性分析</w:t>
            </w:r>
          </w:p>
          <w:p w14:paraId="59479C2A">
            <w:pPr>
              <w:spacing w:line="360" w:lineRule="auto"/>
              <w:ind w:firstLine="420" w:firstLineChars="200"/>
              <w:rPr>
                <w:rFonts w:ascii="Times New Roman" w:hAnsi="Times New Roman" w:cs="Times New Roman"/>
                <w:bCs/>
                <w:color w:val="auto"/>
                <w:sz w:val="21"/>
                <w:szCs w:val="21"/>
              </w:rPr>
            </w:pPr>
            <w:r>
              <w:rPr>
                <w:rFonts w:ascii="Times New Roman" w:hAnsi="Times New Roman" w:cs="Times New Roman"/>
                <w:bCs/>
                <w:color w:val="auto"/>
                <w:sz w:val="21"/>
                <w:szCs w:val="21"/>
              </w:rPr>
              <w:t>南溪组团A区污水处理厂处理规模2万m</w:t>
            </w:r>
            <w:r>
              <w:rPr>
                <w:rFonts w:ascii="Times New Roman" w:hAnsi="Times New Roman" w:cs="Times New Roman"/>
                <w:bCs/>
                <w:color w:val="auto"/>
                <w:sz w:val="21"/>
                <w:szCs w:val="21"/>
                <w:vertAlign w:val="superscript"/>
              </w:rPr>
              <w:t>3</w:t>
            </w:r>
            <w:r>
              <w:rPr>
                <w:rFonts w:ascii="Times New Roman" w:hAnsi="Times New Roman" w:cs="Times New Roman"/>
                <w:bCs/>
                <w:color w:val="auto"/>
                <w:sz w:val="21"/>
                <w:szCs w:val="21"/>
              </w:rPr>
              <w:t>/d，采用A/O处理工艺，主要对园区投产企业的生活污水、生产废水及</w:t>
            </w:r>
            <w:r>
              <w:rPr>
                <w:rFonts w:hint="eastAsia" w:cs="Times New Roman"/>
                <w:bCs/>
                <w:color w:val="auto"/>
                <w:sz w:val="21"/>
                <w:szCs w:val="21"/>
                <w:lang w:eastAsia="zh-CN"/>
              </w:rPr>
              <w:t>公共设施</w:t>
            </w:r>
            <w:r>
              <w:rPr>
                <w:rFonts w:ascii="Times New Roman" w:hAnsi="Times New Roman" w:cs="Times New Roman"/>
                <w:bCs/>
                <w:color w:val="auto"/>
                <w:sz w:val="21"/>
                <w:szCs w:val="21"/>
              </w:rPr>
              <w:t>、交通设施等产生的生活污水进行处理，设计出水水质满足《城镇污水处理厂污染物排放标准》（GB18918-2002）中一级标准的B级标准。污水处理厂于2014年8月开工建设，2017年8月进行了调试，目前园区污水管完善，所有企业均能进入园区污水处理厂。根据园区污水处理厂运行记录，目前园区污水剩余处理能力约7000~7500m</w:t>
            </w:r>
            <w:r>
              <w:rPr>
                <w:rFonts w:ascii="Times New Roman" w:hAnsi="Times New Roman" w:cs="Times New Roman"/>
                <w:bCs/>
                <w:color w:val="auto"/>
                <w:sz w:val="21"/>
                <w:szCs w:val="21"/>
                <w:vertAlign w:val="superscript"/>
              </w:rPr>
              <w:t>3</w:t>
            </w:r>
            <w:r>
              <w:rPr>
                <w:rFonts w:ascii="Times New Roman" w:hAnsi="Times New Roman" w:cs="Times New Roman"/>
                <w:bCs/>
                <w:color w:val="auto"/>
                <w:sz w:val="21"/>
                <w:szCs w:val="21"/>
              </w:rPr>
              <w:t>/d。</w:t>
            </w:r>
          </w:p>
          <w:p w14:paraId="63BCEEE3">
            <w:pPr>
              <w:spacing w:line="360" w:lineRule="auto"/>
              <w:ind w:firstLine="420" w:firstLineChars="200"/>
              <w:rPr>
                <w:rFonts w:hint="default" w:ascii="Times New Roman" w:hAnsi="Times New Roman" w:eastAsia="宋体" w:cs="Times New Roman"/>
                <w:color w:val="auto"/>
                <w:kern w:val="0"/>
                <w:sz w:val="21"/>
                <w:szCs w:val="21"/>
              </w:rPr>
            </w:pPr>
            <w:r>
              <w:rPr>
                <w:rFonts w:ascii="Times New Roman" w:hAnsi="Times New Roman" w:cs="Times New Roman"/>
                <w:bCs/>
                <w:color w:val="auto"/>
                <w:sz w:val="21"/>
                <w:szCs w:val="21"/>
              </w:rPr>
              <w:t>本项目属于园区污水处理厂收水范围内且项目周边污水管网已完善，本项目营运期生产废水产生量较小，主要以非持久性有机污染物为主，水质成分较简单，污染物浓度低，不会对污水处理厂造成冲击负荷，废水经园区处理厂深度处理后排放是可行的</w:t>
            </w:r>
            <w:r>
              <w:rPr>
                <w:rFonts w:hint="eastAsia" w:ascii="Times New Roman" w:hAnsi="Times New Roman" w:cs="Times New Roman"/>
                <w:bCs/>
                <w:color w:val="auto"/>
                <w:sz w:val="21"/>
                <w:szCs w:val="21"/>
                <w:lang w:eastAsia="zh-CN"/>
              </w:rPr>
              <w:t>，且</w:t>
            </w:r>
            <w:r>
              <w:rPr>
                <w:rFonts w:hint="default" w:ascii="Times New Roman" w:hAnsi="Times New Roman" w:eastAsia="宋体" w:cs="Times New Roman"/>
                <w:color w:val="auto"/>
                <w:kern w:val="0"/>
                <w:sz w:val="21"/>
                <w:szCs w:val="21"/>
              </w:rPr>
              <w:t>根据调查，</w:t>
            </w:r>
            <w:r>
              <w:rPr>
                <w:rFonts w:hint="eastAsia" w:ascii="Times New Roman" w:hAnsi="Times New Roman" w:cs="Times New Roman"/>
                <w:color w:val="auto"/>
                <w:kern w:val="0"/>
                <w:sz w:val="21"/>
                <w:szCs w:val="21"/>
                <w:lang w:eastAsia="zh-CN"/>
              </w:rPr>
              <w:t>南溪组团A区污水处理厂</w:t>
            </w:r>
            <w:r>
              <w:rPr>
                <w:rFonts w:hint="default" w:ascii="Times New Roman" w:hAnsi="Times New Roman" w:eastAsia="宋体" w:cs="Times New Roman"/>
                <w:color w:val="auto"/>
                <w:kern w:val="0"/>
                <w:sz w:val="21"/>
                <w:szCs w:val="21"/>
              </w:rPr>
              <w:t>自运行以来，污水处理设施运行良好，目前尚有充足的富余处理能力，可接受项目排入的污水量。</w:t>
            </w:r>
          </w:p>
          <w:p w14:paraId="619E46B8">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由此可见，本项目采取以上废水污染防治措施后，将有效减轻对地表水环境的影响，对水环境影响较小。</w:t>
            </w:r>
          </w:p>
          <w:p w14:paraId="371527CD">
            <w:pPr>
              <w:numPr>
                <w:ilvl w:val="0"/>
                <w:numId w:val="1"/>
              </w:numPr>
              <w:adjustRightInd w:val="0"/>
              <w:snapToGrid w:val="0"/>
              <w:spacing w:line="360" w:lineRule="auto"/>
              <w:ind w:left="0" w:leftChars="0" w:firstLine="422" w:firstLineChars="200"/>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监测要求</w:t>
            </w:r>
          </w:p>
          <w:p w14:paraId="6EEC1534">
            <w:pPr>
              <w:numPr>
                <w:ilvl w:val="0"/>
                <w:numId w:val="0"/>
              </w:numPr>
              <w:adjustRightInd w:val="0"/>
              <w:snapToGrid w:val="0"/>
              <w:spacing w:line="360" w:lineRule="auto"/>
              <w:ind w:firstLine="380" w:firstLineChars="200"/>
              <w:rPr>
                <w:rFonts w:hint="default" w:ascii="Times New Roman" w:hAnsi="Times New Roman" w:eastAsia="宋体" w:cs="Times New Roman"/>
                <w:b w:val="0"/>
                <w:bCs w:val="0"/>
                <w:color w:val="auto"/>
                <w:spacing w:val="-10"/>
                <w:szCs w:val="21"/>
              </w:rPr>
            </w:pPr>
            <w:r>
              <w:rPr>
                <w:rFonts w:hint="default" w:ascii="Times New Roman" w:hAnsi="Times New Roman" w:eastAsia="宋体" w:cs="Times New Roman"/>
                <w:b w:val="0"/>
                <w:bCs w:val="0"/>
                <w:color w:val="auto"/>
                <w:spacing w:val="-10"/>
                <w:szCs w:val="21"/>
              </w:rPr>
              <w:t>根据《排污许可证申请与核发技术规范 橡胶和塑料制品工业》（HJ1122-</w:t>
            </w:r>
            <w:r>
              <w:rPr>
                <w:rFonts w:hint="default" w:ascii="Times New Roman" w:hAnsi="Times New Roman" w:eastAsia="宋体" w:cs="Times New Roman"/>
                <w:b w:val="0"/>
                <w:bCs w:val="0"/>
                <w:color w:val="auto"/>
                <w:spacing w:val="-10"/>
                <w:szCs w:val="21"/>
                <w:lang w:val="en-US" w:eastAsia="zh-CN"/>
              </w:rPr>
              <w:t>-</w:t>
            </w:r>
            <w:r>
              <w:rPr>
                <w:rFonts w:hint="default" w:ascii="Times New Roman" w:hAnsi="Times New Roman" w:eastAsia="宋体" w:cs="Times New Roman"/>
                <w:b w:val="0"/>
                <w:bCs w:val="0"/>
                <w:color w:val="auto"/>
                <w:spacing w:val="-10"/>
                <w:szCs w:val="21"/>
              </w:rPr>
              <w:t>2020）可知，其废水自行监测主要针对重点管理、简化管理项目</w:t>
            </w:r>
            <w:r>
              <w:rPr>
                <w:rFonts w:hint="default" w:ascii="Times New Roman" w:hAnsi="Times New Roman" w:eastAsia="宋体" w:cs="Times New Roman"/>
                <w:b w:val="0"/>
                <w:bCs w:val="0"/>
                <w:color w:val="auto"/>
                <w:spacing w:val="-10"/>
                <w:szCs w:val="21"/>
                <w:lang w:eastAsia="zh-CN"/>
              </w:rPr>
              <w:t>，</w:t>
            </w:r>
            <w:r>
              <w:rPr>
                <w:rFonts w:hint="default" w:ascii="Times New Roman" w:hAnsi="Times New Roman" w:eastAsia="宋体" w:cs="Times New Roman"/>
                <w:b w:val="0"/>
                <w:bCs w:val="0"/>
                <w:color w:val="auto"/>
                <w:spacing w:val="-10"/>
                <w:szCs w:val="21"/>
              </w:rPr>
              <w:t>对照《固定污染源排污许可分类管理名录》</w:t>
            </w:r>
            <w:r>
              <w:rPr>
                <w:rFonts w:hint="default" w:ascii="Times New Roman" w:hAnsi="Times New Roman" w:eastAsia="宋体" w:cs="Times New Roman"/>
                <w:b w:val="0"/>
                <w:bCs w:val="0"/>
                <w:color w:val="auto"/>
                <w:spacing w:val="-10"/>
                <w:szCs w:val="21"/>
                <w:lang w:eastAsia="zh-CN"/>
              </w:rPr>
              <w:t>（</w:t>
            </w:r>
            <w:r>
              <w:rPr>
                <w:rFonts w:hint="default" w:ascii="Times New Roman" w:hAnsi="Times New Roman" w:eastAsia="宋体" w:cs="Times New Roman"/>
                <w:b w:val="0"/>
                <w:bCs w:val="0"/>
                <w:color w:val="auto"/>
                <w:spacing w:val="-10"/>
                <w:szCs w:val="21"/>
              </w:rPr>
              <w:t>2019年版</w:t>
            </w:r>
            <w:r>
              <w:rPr>
                <w:rFonts w:hint="default" w:ascii="Times New Roman" w:hAnsi="Times New Roman" w:eastAsia="宋体" w:cs="Times New Roman"/>
                <w:b w:val="0"/>
                <w:bCs w:val="0"/>
                <w:color w:val="auto"/>
                <w:spacing w:val="-10"/>
                <w:szCs w:val="21"/>
                <w:lang w:eastAsia="zh-CN"/>
              </w:rPr>
              <w:t>）</w:t>
            </w:r>
            <w:r>
              <w:rPr>
                <w:rFonts w:hint="default" w:ascii="Times New Roman" w:hAnsi="Times New Roman" w:eastAsia="宋体" w:cs="Times New Roman"/>
                <w:b w:val="0"/>
                <w:bCs w:val="0"/>
                <w:color w:val="auto"/>
                <w:spacing w:val="-10"/>
                <w:szCs w:val="21"/>
              </w:rPr>
              <w:t>，本项目排污许可分类属于登记管理，故本项目废水应根据《排污单位自行监测技术指南总则》</w:t>
            </w:r>
            <w:r>
              <w:rPr>
                <w:rFonts w:hint="eastAsia" w:ascii="Times New Roman" w:hAnsi="Times New Roman" w:cs="Times New Roman"/>
                <w:b w:val="0"/>
                <w:bCs w:val="0"/>
                <w:color w:val="auto"/>
                <w:spacing w:val="-10"/>
                <w:szCs w:val="21"/>
                <w:lang w:eastAsia="zh-CN"/>
              </w:rPr>
              <w:t>（</w:t>
            </w:r>
            <w:r>
              <w:rPr>
                <w:rFonts w:hint="default" w:ascii="Times New Roman" w:hAnsi="Times New Roman" w:eastAsia="宋体" w:cs="Times New Roman"/>
                <w:b w:val="0"/>
                <w:bCs w:val="0"/>
                <w:color w:val="auto"/>
                <w:spacing w:val="-10"/>
                <w:szCs w:val="21"/>
              </w:rPr>
              <w:t>HJ819-2017</w:t>
            </w:r>
            <w:r>
              <w:rPr>
                <w:rFonts w:hint="eastAsia" w:cs="Times New Roman"/>
                <w:b w:val="0"/>
                <w:bCs w:val="0"/>
                <w:color w:val="auto"/>
                <w:spacing w:val="-10"/>
                <w:szCs w:val="21"/>
                <w:lang w:eastAsia="zh-CN"/>
              </w:rPr>
              <w:t>）</w:t>
            </w:r>
            <w:r>
              <w:rPr>
                <w:rFonts w:hint="default" w:ascii="Times New Roman" w:hAnsi="Times New Roman" w:eastAsia="宋体" w:cs="Times New Roman"/>
                <w:b w:val="0"/>
                <w:bCs w:val="0"/>
                <w:color w:val="auto"/>
                <w:spacing w:val="-10"/>
                <w:szCs w:val="21"/>
              </w:rPr>
              <w:t xml:space="preserve"> 进行监测，具体监测情况见下表。</w:t>
            </w:r>
          </w:p>
          <w:p w14:paraId="584DEAB3">
            <w:pPr>
              <w:adjustRightInd w:val="0"/>
              <w:snapToGrid w:val="0"/>
              <w:ind w:firstLine="422" w:firstLineChars="200"/>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表4</w:t>
            </w:r>
            <w:r>
              <w:rPr>
                <w:rFonts w:hint="default" w:ascii="Times New Roman" w:hAnsi="Times New Roman" w:eastAsia="宋体" w:cs="Times New Roman"/>
                <w:b/>
                <w:color w:val="auto"/>
                <w:lang w:val="en-US" w:eastAsia="zh-CN"/>
              </w:rPr>
              <w:t>-</w:t>
            </w:r>
            <w:r>
              <w:rPr>
                <w:rFonts w:hint="eastAsia" w:ascii="Times New Roman" w:hAnsi="Times New Roman" w:cs="Times New Roman"/>
                <w:b/>
                <w:color w:val="auto"/>
                <w:lang w:val="en-US" w:eastAsia="zh-CN"/>
              </w:rPr>
              <w:t>9</w:t>
            </w:r>
            <w:r>
              <w:rPr>
                <w:rFonts w:hint="default" w:ascii="Times New Roman" w:hAnsi="Times New Roman" w:eastAsia="宋体" w:cs="Times New Roman"/>
                <w:b/>
                <w:color w:val="auto"/>
              </w:rPr>
              <w:t xml:space="preserve">  本项目废</w:t>
            </w:r>
            <w:r>
              <w:rPr>
                <w:rFonts w:hint="default" w:ascii="Times New Roman" w:hAnsi="Times New Roman" w:eastAsia="宋体" w:cs="Times New Roman"/>
                <w:b/>
                <w:color w:val="auto"/>
                <w:lang w:eastAsia="zh-CN"/>
              </w:rPr>
              <w:t>水</w:t>
            </w:r>
            <w:r>
              <w:rPr>
                <w:rFonts w:hint="default" w:ascii="Times New Roman" w:hAnsi="Times New Roman" w:eastAsia="宋体" w:cs="Times New Roman"/>
                <w:b/>
                <w:color w:val="auto"/>
              </w:rPr>
              <w:t>自行监测情况一览表</w:t>
            </w:r>
          </w:p>
          <w:tbl>
            <w:tblPr>
              <w:tblStyle w:val="30"/>
              <w:tblW w:w="81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44"/>
              <w:gridCol w:w="1763"/>
              <w:gridCol w:w="993"/>
              <w:gridCol w:w="3402"/>
            </w:tblGrid>
            <w:tr w14:paraId="0D030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944" w:type="dxa"/>
                  <w:noWrap w:val="0"/>
                  <w:vAlign w:val="center"/>
                </w:tcPr>
                <w:p w14:paraId="7CF89F63">
                  <w:pPr>
                    <w:adjustRightInd w:val="0"/>
                    <w:snapToGrid w:val="0"/>
                    <w:jc w:val="center"/>
                    <w:rPr>
                      <w:rFonts w:hint="default" w:ascii="Times New Roman" w:hAnsi="Times New Roman" w:eastAsia="宋体" w:cs="Times New Roman"/>
                      <w:b/>
                      <w:color w:val="auto"/>
                      <w:sz w:val="18"/>
                      <w:szCs w:val="18"/>
                    </w:rPr>
                  </w:pPr>
                  <w:r>
                    <w:rPr>
                      <w:rFonts w:hint="default" w:ascii="Times New Roman" w:hAnsi="Times New Roman" w:eastAsia="宋体" w:cs="Times New Roman"/>
                      <w:b/>
                      <w:color w:val="auto"/>
                      <w:sz w:val="18"/>
                      <w:szCs w:val="18"/>
                    </w:rPr>
                    <w:t>监测点位</w:t>
                  </w:r>
                </w:p>
              </w:tc>
              <w:tc>
                <w:tcPr>
                  <w:tcW w:w="1763" w:type="dxa"/>
                  <w:noWrap w:val="0"/>
                  <w:vAlign w:val="center"/>
                </w:tcPr>
                <w:p w14:paraId="453FB724">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监测指标</w:t>
                  </w:r>
                </w:p>
              </w:tc>
              <w:tc>
                <w:tcPr>
                  <w:tcW w:w="993" w:type="dxa"/>
                  <w:noWrap w:val="0"/>
                  <w:vAlign w:val="center"/>
                </w:tcPr>
                <w:p w14:paraId="01D33AE1">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监测频次</w:t>
                  </w:r>
                </w:p>
              </w:tc>
              <w:tc>
                <w:tcPr>
                  <w:tcW w:w="3402" w:type="dxa"/>
                  <w:noWrap w:val="0"/>
                  <w:vAlign w:val="center"/>
                </w:tcPr>
                <w:p w14:paraId="3E4CFD96">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执行标准</w:t>
                  </w:r>
                </w:p>
              </w:tc>
            </w:tr>
            <w:tr w14:paraId="29DEE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 w:hRule="atLeast"/>
                <w:jc w:val="center"/>
              </w:trPr>
              <w:tc>
                <w:tcPr>
                  <w:tcW w:w="1944" w:type="dxa"/>
                  <w:noWrap w:val="0"/>
                  <w:vAlign w:val="center"/>
                </w:tcPr>
                <w:p w14:paraId="3874874A">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eastAsia="zh-CN"/>
                    </w:rPr>
                    <w:t>生化池进出口</w:t>
                  </w:r>
                </w:p>
              </w:tc>
              <w:tc>
                <w:tcPr>
                  <w:tcW w:w="1763" w:type="dxa"/>
                  <w:noWrap w:val="0"/>
                  <w:vAlign w:val="center"/>
                </w:tcPr>
                <w:p w14:paraId="57E14652">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pH、</w:t>
                  </w:r>
                  <w:r>
                    <w:rPr>
                      <w:rFonts w:hint="default" w:ascii="Times New Roman" w:hAnsi="Times New Roman" w:eastAsia="宋体" w:cs="Times New Roman"/>
                      <w:color w:val="auto"/>
                      <w:sz w:val="18"/>
                      <w:szCs w:val="18"/>
                    </w:rPr>
                    <w:t>COD</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BOD</w:t>
                  </w:r>
                  <w:r>
                    <w:rPr>
                      <w:rFonts w:hint="default" w:ascii="Times New Roman" w:hAnsi="Times New Roman" w:eastAsia="宋体" w:cs="Times New Roman"/>
                      <w:color w:val="auto"/>
                      <w:sz w:val="18"/>
                      <w:szCs w:val="18"/>
                      <w:vertAlign w:val="subscript"/>
                    </w:rPr>
                    <w:t>5</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SS</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NH</w:t>
                  </w:r>
                  <w:r>
                    <w:rPr>
                      <w:rFonts w:hint="default" w:ascii="Times New Roman" w:hAnsi="Times New Roman" w:eastAsia="宋体" w:cs="Times New Roman"/>
                      <w:color w:val="auto"/>
                      <w:sz w:val="18"/>
                      <w:szCs w:val="18"/>
                      <w:vertAlign w:val="subscript"/>
                    </w:rPr>
                    <w:t>3</w:t>
                  </w:r>
                  <w:r>
                    <w:rPr>
                      <w:rFonts w:hint="default" w:ascii="Times New Roman" w:hAnsi="Times New Roman" w:eastAsia="宋体" w:cs="Times New Roman"/>
                      <w:color w:val="auto"/>
                      <w:sz w:val="18"/>
                      <w:szCs w:val="18"/>
                    </w:rPr>
                    <w:t>-N</w:t>
                  </w:r>
                  <w:r>
                    <w:rPr>
                      <w:rFonts w:hint="default" w:ascii="Times New Roman" w:hAnsi="Times New Roman" w:eastAsia="宋体" w:cs="Times New Roman"/>
                      <w:color w:val="auto"/>
                      <w:sz w:val="18"/>
                      <w:szCs w:val="18"/>
                      <w:lang w:eastAsia="zh-CN"/>
                    </w:rPr>
                    <w:t>、石油类</w:t>
                  </w:r>
                </w:p>
              </w:tc>
              <w:tc>
                <w:tcPr>
                  <w:tcW w:w="993" w:type="dxa"/>
                  <w:noWrap w:val="0"/>
                  <w:vAlign w:val="center"/>
                </w:tcPr>
                <w:p w14:paraId="09C6182C">
                  <w:pPr>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验收时监测一次</w:t>
                  </w:r>
                </w:p>
              </w:tc>
              <w:tc>
                <w:tcPr>
                  <w:tcW w:w="3402" w:type="dxa"/>
                  <w:noWrap w:val="0"/>
                  <w:vAlign w:val="center"/>
                </w:tcPr>
                <w:p w14:paraId="354969A9">
                  <w:pPr>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《污水综合排放标准》（GB8978-1996）三级标准</w:t>
                  </w:r>
                </w:p>
              </w:tc>
            </w:tr>
          </w:tbl>
          <w:p w14:paraId="5A6A8C70">
            <w:pPr>
              <w:adjustRightInd w:val="0"/>
              <w:snapToGrid w:val="0"/>
              <w:spacing w:line="360" w:lineRule="auto"/>
              <w:rPr>
                <w:rFonts w:hint="default" w:ascii="Times New Roman" w:hAnsi="Times New Roman" w:eastAsia="宋体" w:cs="Times New Roman"/>
                <w:b/>
                <w:bCs/>
                <w:color w:val="auto"/>
                <w:spacing w:val="-10"/>
                <w:szCs w:val="21"/>
              </w:rPr>
            </w:pPr>
            <w:r>
              <w:rPr>
                <w:rFonts w:hint="default" w:ascii="Times New Roman" w:hAnsi="Times New Roman" w:eastAsia="宋体" w:cs="Times New Roman"/>
                <w:b/>
                <w:bCs/>
                <w:color w:val="auto"/>
                <w:spacing w:val="-10"/>
                <w:szCs w:val="21"/>
              </w:rPr>
              <w:t>4.4噪声环境影响及保护措施</w:t>
            </w:r>
          </w:p>
          <w:p w14:paraId="64369571">
            <w:pPr>
              <w:adjustRightInd w:val="0"/>
              <w:snapToGrid w:val="0"/>
              <w:spacing w:line="360" w:lineRule="auto"/>
              <w:ind w:firstLine="380" w:firstLineChars="200"/>
              <w:rPr>
                <w:rFonts w:hint="default" w:ascii="Times New Roman" w:hAnsi="Times New Roman" w:eastAsia="宋体" w:cs="Times New Roman"/>
                <w:bCs/>
                <w:color w:val="auto"/>
                <w:spacing w:val="-10"/>
                <w:szCs w:val="21"/>
                <w:lang w:eastAsia="zh-CN"/>
              </w:rPr>
            </w:pPr>
            <w:r>
              <w:rPr>
                <w:rFonts w:hint="default" w:ascii="Times New Roman" w:hAnsi="Times New Roman" w:cs="Times New Roman"/>
                <w:bCs/>
                <w:color w:val="auto"/>
                <w:spacing w:val="-10"/>
                <w:szCs w:val="21"/>
              </w:rPr>
              <w:t>本项目营运期噪声主要来源于</w:t>
            </w:r>
            <w:r>
              <w:rPr>
                <w:rFonts w:hint="default" w:ascii="Times New Roman" w:hAnsi="Times New Roman" w:eastAsia="宋体" w:cs="Times New Roman"/>
                <w:color w:val="auto"/>
                <w:sz w:val="21"/>
                <w:szCs w:val="21"/>
                <w:lang w:val="en-US" w:eastAsia="zh-CN"/>
              </w:rPr>
              <w:t>注塑机、空压机</w:t>
            </w:r>
            <w:r>
              <w:rPr>
                <w:rFonts w:hint="default" w:ascii="Times New Roman" w:hAnsi="Times New Roman" w:cs="Times New Roman"/>
                <w:bCs/>
                <w:color w:val="auto"/>
                <w:spacing w:val="-10"/>
                <w:szCs w:val="21"/>
              </w:rPr>
              <w:t>等，其噪声值为</w:t>
            </w:r>
            <w:r>
              <w:rPr>
                <w:rFonts w:hint="eastAsia" w:ascii="Times New Roman" w:hAnsi="Times New Roman" w:cs="Times New Roman"/>
                <w:bCs/>
                <w:color w:val="auto"/>
                <w:spacing w:val="-10"/>
                <w:szCs w:val="21"/>
                <w:lang w:val="en-US" w:eastAsia="zh-CN"/>
              </w:rPr>
              <w:t>7</w:t>
            </w:r>
            <w:r>
              <w:rPr>
                <w:rFonts w:hint="default" w:ascii="Times New Roman" w:hAnsi="Times New Roman" w:cs="Times New Roman"/>
                <w:bCs/>
                <w:color w:val="auto"/>
                <w:spacing w:val="-10"/>
                <w:szCs w:val="21"/>
              </w:rPr>
              <w:t>5~</w:t>
            </w:r>
            <w:r>
              <w:rPr>
                <w:rFonts w:hint="default" w:ascii="Times New Roman" w:hAnsi="Times New Roman" w:cs="Times New Roman"/>
                <w:bCs/>
                <w:color w:val="auto"/>
                <w:spacing w:val="-10"/>
                <w:szCs w:val="21"/>
                <w:lang w:val="en-US" w:eastAsia="zh-CN"/>
              </w:rPr>
              <w:t>90</w:t>
            </w:r>
            <w:r>
              <w:rPr>
                <w:rFonts w:hint="default" w:ascii="Times New Roman" w:hAnsi="Times New Roman" w:cs="Times New Roman"/>
                <w:bCs/>
                <w:color w:val="auto"/>
                <w:spacing w:val="-10"/>
                <w:szCs w:val="21"/>
              </w:rPr>
              <w:t>dB（A）。本项目在选取设备时拟选用低噪声设备，并在车间内进行合理布置，主要生产设备均布置在厂房内，并对设备采取基础减振、消声等降噪措施，最后进行厂房隔声，降噪效果约15~25（dB（A）），噪声污染源源强核算结果及相关参数一览表见下表</w:t>
            </w:r>
            <w:r>
              <w:rPr>
                <w:rFonts w:hint="default" w:ascii="Times New Roman" w:hAnsi="Times New Roman" w:cs="Times New Roman"/>
                <w:bCs/>
                <w:color w:val="auto"/>
                <w:spacing w:val="-10"/>
                <w:szCs w:val="21"/>
                <w:lang w:eastAsia="zh-CN"/>
              </w:rPr>
              <w:t>。</w:t>
            </w:r>
          </w:p>
          <w:p w14:paraId="12DEA96F">
            <w:pPr>
              <w:adjustRightInd w:val="0"/>
              <w:snapToGrid w:val="0"/>
              <w:spacing w:line="360" w:lineRule="auto"/>
              <w:ind w:firstLine="422" w:firstLineChars="200"/>
              <w:rPr>
                <w:rFonts w:hint="default" w:ascii="Times New Roman" w:hAnsi="Times New Roman" w:eastAsia="宋体" w:cs="Times New Roman"/>
                <w:b/>
                <w:bCs/>
                <w:color w:val="auto"/>
                <w:spacing w:val="0"/>
                <w:position w:val="0"/>
                <w:szCs w:val="21"/>
              </w:rPr>
            </w:pPr>
            <w:r>
              <w:rPr>
                <w:rFonts w:hint="default" w:ascii="Times New Roman" w:hAnsi="Times New Roman" w:eastAsia="宋体" w:cs="Times New Roman"/>
                <w:b/>
                <w:bCs w:val="0"/>
                <w:color w:val="auto"/>
                <w:spacing w:val="0"/>
                <w:position w:val="0"/>
                <w:szCs w:val="21"/>
                <w:lang w:val="en-US" w:eastAsia="zh-CN"/>
              </w:rPr>
              <w:t>（1）</w:t>
            </w:r>
            <w:r>
              <w:rPr>
                <w:rFonts w:hint="default" w:ascii="Times New Roman" w:hAnsi="Times New Roman" w:eastAsia="宋体" w:cs="Times New Roman"/>
                <w:b/>
                <w:bCs w:val="0"/>
                <w:color w:val="auto"/>
                <w:spacing w:val="0"/>
                <w:position w:val="0"/>
                <w:szCs w:val="21"/>
              </w:rPr>
              <w:t>厂界</w:t>
            </w:r>
            <w:r>
              <w:rPr>
                <w:rFonts w:hint="default" w:ascii="Times New Roman" w:hAnsi="Times New Roman" w:eastAsia="宋体" w:cs="Times New Roman"/>
                <w:b/>
                <w:bCs/>
                <w:color w:val="auto"/>
                <w:spacing w:val="0"/>
                <w:position w:val="0"/>
                <w:szCs w:val="21"/>
              </w:rPr>
              <w:t>噪声预测</w:t>
            </w:r>
          </w:p>
          <w:p w14:paraId="15D1345E">
            <w:pPr>
              <w:spacing w:line="360" w:lineRule="auto"/>
              <w:ind w:firstLine="422" w:firstLineChars="200"/>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①预测模式</w:t>
            </w:r>
          </w:p>
          <w:p w14:paraId="0C2C463A">
            <w:pPr>
              <w:spacing w:line="360" w:lineRule="auto"/>
              <w:ind w:firstLine="420" w:firstLineChars="200"/>
              <w:rPr>
                <w:rFonts w:hint="default" w:ascii="Times New Roman" w:hAnsi="Times New Roman" w:eastAsia="宋体" w:cs="Times New Roman"/>
                <w:bCs/>
                <w:color w:val="auto"/>
                <w:szCs w:val="21"/>
              </w:rPr>
            </w:pPr>
            <w:r>
              <w:rPr>
                <w:rFonts w:hint="default" w:ascii="Times New Roman" w:hAnsi="Times New Roman" w:eastAsia="宋体" w:cs="Times New Roman"/>
                <w:color w:val="auto"/>
                <w:szCs w:val="21"/>
              </w:rPr>
              <w:t>根据《环境影响评价技术导则声环境》（HJ2.4－20</w:t>
            </w:r>
            <w:r>
              <w:rPr>
                <w:rFonts w:hint="default" w:ascii="Times New Roman" w:hAnsi="Times New Roman" w:eastAsia="宋体" w:cs="Times New Roman"/>
                <w:color w:val="auto"/>
                <w:szCs w:val="21"/>
                <w:lang w:val="en-US" w:eastAsia="zh-CN"/>
              </w:rPr>
              <w:t>21</w:t>
            </w:r>
            <w:r>
              <w:rPr>
                <w:rFonts w:hint="default" w:ascii="Times New Roman" w:hAnsi="Times New Roman" w:eastAsia="宋体" w:cs="Times New Roman"/>
                <w:color w:val="auto"/>
                <w:szCs w:val="21"/>
              </w:rPr>
              <w:t>）中推荐的以下公式，对项目的声环境影响进行预测。</w:t>
            </w:r>
          </w:p>
          <w:p w14:paraId="7466705A">
            <w:pPr>
              <w:adjustRightInd w:val="0"/>
              <w:snapToGrid w:val="0"/>
              <w:spacing w:line="360" w:lineRule="auto"/>
              <w:ind w:firstLine="422" w:firstLineChars="200"/>
              <w:rPr>
                <w:rFonts w:hint="default" w:ascii="Times New Roman" w:hAnsi="Times New Roman" w:eastAsia="宋体" w:cs="Times New Roman"/>
                <w:b/>
                <w:bCs/>
                <w:color w:val="auto"/>
                <w:spacing w:val="-10"/>
                <w:sz w:val="21"/>
                <w:szCs w:val="21"/>
              </w:rPr>
            </w:pPr>
            <w:r>
              <w:rPr>
                <w:rFonts w:hint="default" w:ascii="Times New Roman" w:hAnsi="Times New Roman" w:eastAsia="宋体" w:cs="Times New Roman"/>
                <w:b/>
                <w:color w:val="auto"/>
                <w:sz w:val="21"/>
                <w:szCs w:val="21"/>
              </w:rPr>
              <w:t>①室内声源等效室外声源声功率级计算方法</w:t>
            </w:r>
          </w:p>
          <w:p w14:paraId="2E867E72">
            <w:pPr>
              <w:widowControl w:val="0"/>
              <w:adjustRightInd w:val="0"/>
              <w:snapToGrid w:val="0"/>
              <w:spacing w:line="360" w:lineRule="auto"/>
              <w:ind w:firstLine="420" w:firstLineChars="200"/>
              <w:jc w:val="both"/>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SA"/>
              </w:rPr>
              <w:t>A.某一室内声源靠近围护结构处的倍频带声压级或A声级</w:t>
            </w:r>
          </w:p>
          <w:p w14:paraId="53A61DCC">
            <w:pPr>
              <w:spacing w:line="360" w:lineRule="auto"/>
              <w:ind w:firstLine="420" w:firstLineChars="20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Cs/>
                <w:color w:val="auto"/>
                <w:sz w:val="21"/>
                <w:szCs w:val="21"/>
              </w:rPr>
              <w:object>
                <v:shape id="_x0000_i1025" o:spt="75" type="#_x0000_t75" style="height:33.5pt;width:137.25pt;" o:ole="t" filled="f" o:preferrelative="t" stroked="f" coordsize="21600,21600">
                  <v:path/>
                  <v:fill on="f" focussize="0,0"/>
                  <v:stroke on="f"/>
                  <v:imagedata r:id="rId15" o:title=""/>
                  <o:lock v:ext="edit" aspectratio="t"/>
                  <w10:wrap type="none"/>
                  <w10:anchorlock/>
                </v:shape>
                <o:OLEObject Type="Embed" ProgID="Equations" ShapeID="_x0000_i1025" DrawAspect="Content" ObjectID="_1468075725" r:id="rId14">
                  <o:LockedField>false</o:LockedField>
                </o:OLEObject>
              </w:object>
            </w:r>
            <w:r>
              <w:rPr>
                <w:rFonts w:hint="default" w:ascii="Times New Roman" w:hAnsi="Times New Roman" w:eastAsia="宋体" w:cs="Times New Roman"/>
                <w:bCs/>
                <w:color w:val="auto"/>
                <w:sz w:val="21"/>
                <w:szCs w:val="21"/>
              </w:rPr>
              <w:t xml:space="preserve">  </w:t>
            </w:r>
          </w:p>
          <w:p w14:paraId="39E14EA4">
            <w:pPr>
              <w:adjustRightInd w:val="0"/>
              <w:snapToGrid w:val="0"/>
              <w:spacing w:line="360" w:lineRule="auto"/>
              <w:ind w:firstLine="0" w:firstLineChars="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式中：L</w:t>
            </w:r>
            <w:r>
              <w:rPr>
                <w:rFonts w:hint="default" w:ascii="Times New Roman" w:hAnsi="Times New Roman" w:eastAsia="宋体" w:cs="Times New Roman"/>
                <w:bCs/>
                <w:color w:val="auto"/>
                <w:sz w:val="21"/>
                <w:szCs w:val="21"/>
                <w:vertAlign w:val="subscript"/>
              </w:rPr>
              <w:t>p1</w:t>
            </w:r>
            <w:r>
              <w:rPr>
                <w:rFonts w:hint="default" w:ascii="Times New Roman" w:hAnsi="Times New Roman" w:eastAsia="宋体" w:cs="Times New Roman"/>
                <w:bCs/>
                <w:color w:val="auto"/>
                <w:sz w:val="21"/>
                <w:szCs w:val="21"/>
              </w:rPr>
              <w:t>——室内倍频带声压级，</w:t>
            </w:r>
            <w:r>
              <w:rPr>
                <w:rFonts w:hint="default" w:ascii="Times New Roman" w:hAnsi="Times New Roman" w:eastAsia="宋体" w:cs="Times New Roman"/>
                <w:color w:val="auto"/>
                <w:sz w:val="21"/>
                <w:szCs w:val="21"/>
              </w:rPr>
              <w:t>dB；</w:t>
            </w:r>
            <w:r>
              <w:rPr>
                <w:rFonts w:hint="default" w:ascii="Times New Roman" w:hAnsi="Times New Roman" w:eastAsia="宋体" w:cs="Times New Roman"/>
                <w:bCs/>
                <w:color w:val="auto"/>
                <w:sz w:val="21"/>
                <w:szCs w:val="21"/>
              </w:rPr>
              <w:t>L</w:t>
            </w:r>
            <w:r>
              <w:rPr>
                <w:rFonts w:hint="default" w:ascii="Times New Roman" w:hAnsi="Times New Roman" w:eastAsia="宋体" w:cs="Times New Roman"/>
                <w:bCs/>
                <w:color w:val="auto"/>
                <w:sz w:val="21"/>
                <w:szCs w:val="21"/>
                <w:vertAlign w:val="subscript"/>
              </w:rPr>
              <w:t>W</w:t>
            </w:r>
            <w:r>
              <w:rPr>
                <w:rFonts w:hint="default" w:ascii="Times New Roman" w:hAnsi="Times New Roman" w:eastAsia="宋体" w:cs="Times New Roman"/>
                <w:bCs/>
                <w:color w:val="auto"/>
                <w:sz w:val="21"/>
                <w:szCs w:val="21"/>
              </w:rPr>
              <w:t>——倍频带声功率级，</w:t>
            </w:r>
            <w:r>
              <w:rPr>
                <w:rFonts w:hint="default" w:ascii="Times New Roman" w:hAnsi="Times New Roman" w:eastAsia="宋体" w:cs="Times New Roman"/>
                <w:color w:val="auto"/>
                <w:sz w:val="21"/>
                <w:szCs w:val="21"/>
              </w:rPr>
              <w:t xml:space="preserve">dB；   </w:t>
            </w:r>
          </w:p>
          <w:p w14:paraId="408E157A">
            <w:pPr>
              <w:adjustRightInd w:val="0"/>
              <w:snapToGrid w:val="0"/>
              <w:spacing w:line="360" w:lineRule="auto"/>
              <w:ind w:firstLine="630" w:firstLineChars="30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Q——指向性因数：通常对无指向性声源，当声源放在房间中心时，Q=1；当放在一面墙的中心时，Q=2；当放在两面墙夹角处时，Q=4；当放在三面墙夹角处时，Q=8；</w:t>
            </w:r>
          </w:p>
          <w:p w14:paraId="568EDD5B">
            <w:pPr>
              <w:adjustRightInd w:val="0"/>
              <w:snapToGrid w:val="0"/>
              <w:spacing w:line="360" w:lineRule="auto"/>
              <w:ind w:firstLine="630" w:firstLineChars="300"/>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R</w:t>
            </w:r>
            <w:r>
              <w:rPr>
                <w:rFonts w:hint="default" w:ascii="Times New Roman" w:hAnsi="Times New Roman" w:eastAsia="宋体" w:cs="Times New Roman"/>
                <w:bCs/>
                <w:color w:val="auto"/>
                <w:sz w:val="21"/>
                <w:szCs w:val="21"/>
              </w:rPr>
              <w:t>——房间常数，R=Sα/（1-α），S为房间内表面面积，㎡，α为平均吸声系数；</w:t>
            </w:r>
          </w:p>
          <w:p w14:paraId="1D110084">
            <w:pPr>
              <w:adjustRightInd w:val="0"/>
              <w:snapToGrid w:val="0"/>
              <w:spacing w:line="360" w:lineRule="auto"/>
              <w:ind w:firstLine="630" w:firstLineChars="300"/>
              <w:outlineLvl w:val="0"/>
              <w:rPr>
                <w:rFonts w:hint="default" w:ascii="Times New Roman" w:hAnsi="Times New Roman" w:eastAsia="宋体" w:cs="Times New Roman"/>
                <w:bCs/>
                <w:color w:val="auto"/>
                <w:kern w:val="24"/>
                <w:sz w:val="21"/>
                <w:szCs w:val="21"/>
              </w:rPr>
            </w:pPr>
            <w:r>
              <w:rPr>
                <w:rFonts w:hint="default" w:ascii="Times New Roman" w:hAnsi="Times New Roman" w:eastAsia="宋体" w:cs="Times New Roman"/>
                <w:bCs/>
                <w:color w:val="auto"/>
                <w:sz w:val="21"/>
                <w:szCs w:val="21"/>
              </w:rPr>
              <w:t>r——声源到靠近围护结构某点处的距离，m。</w:t>
            </w:r>
          </w:p>
          <w:p w14:paraId="3C8E504B">
            <w:pPr>
              <w:adjustRightInd w:val="0"/>
              <w:snapToGrid w:val="0"/>
              <w:spacing w:line="360" w:lineRule="auto"/>
              <w:ind w:firstLine="420" w:firstLineChars="20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B</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所有室内声源在围护结构处产生的i倍频带叠加声压级</w:t>
            </w:r>
          </w:p>
          <w:p w14:paraId="07FB398A">
            <w:pPr>
              <w:adjustRightInd w:val="0"/>
              <w:snapToGrid w:val="0"/>
              <w:spacing w:before="360" w:beforeLines="150" w:line="360" w:lineRule="auto"/>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object>
                <v:shape id="_x0000_i1026" o:spt="75" type="#_x0000_t75" style="height:37.65pt;width:133.1pt;" o:ole="t" filled="f" o:preferrelative="t" stroked="f" coordsize="21600,21600">
                  <v:path/>
                  <v:fill on="f" focussize="0,0"/>
                  <v:stroke on="f"/>
                  <v:imagedata r:id="rId17" o:title=""/>
                  <o:lock v:ext="edit" aspectratio="t"/>
                  <w10:wrap type="none"/>
                  <w10:anchorlock/>
                </v:shape>
                <o:OLEObject Type="Embed" ProgID="Equations" ShapeID="_x0000_i1026" DrawAspect="Content" ObjectID="_1468075726" r:id="rId16">
                  <o:LockedField>false</o:LockedField>
                </o:OLEObject>
              </w:object>
            </w:r>
          </w:p>
          <w:p w14:paraId="716A9B30">
            <w:pPr>
              <w:adjustRightInd w:val="0"/>
              <w:snapToGrid w:val="0"/>
              <w:spacing w:line="360" w:lineRule="auto"/>
              <w:ind w:firstLine="0" w:firstLineChars="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式中：L</w:t>
            </w:r>
            <w:r>
              <w:rPr>
                <w:rFonts w:hint="default" w:ascii="Times New Roman" w:hAnsi="Times New Roman" w:eastAsia="宋体" w:cs="Times New Roman"/>
                <w:bCs/>
                <w:color w:val="auto"/>
                <w:sz w:val="21"/>
                <w:szCs w:val="21"/>
                <w:vertAlign w:val="subscript"/>
              </w:rPr>
              <w:t>p1i</w:t>
            </w:r>
            <w:r>
              <w:rPr>
                <w:rFonts w:hint="default" w:ascii="Times New Roman" w:hAnsi="Times New Roman" w:eastAsia="宋体" w:cs="Times New Roman"/>
                <w:bCs/>
                <w:color w:val="auto"/>
                <w:sz w:val="21"/>
                <w:szCs w:val="21"/>
              </w:rPr>
              <w:t>（T）——靠近围护结构处室内N个声源i倍频带的叠加声压级，</w:t>
            </w:r>
            <w:r>
              <w:rPr>
                <w:rFonts w:hint="default" w:ascii="Times New Roman" w:hAnsi="Times New Roman" w:eastAsia="宋体" w:cs="Times New Roman"/>
                <w:color w:val="auto"/>
                <w:sz w:val="21"/>
                <w:szCs w:val="21"/>
              </w:rPr>
              <w:t>dB；</w:t>
            </w:r>
          </w:p>
          <w:p w14:paraId="7D2CB763">
            <w:pPr>
              <w:adjustRightInd w:val="0"/>
              <w:snapToGrid w:val="0"/>
              <w:spacing w:line="360" w:lineRule="auto"/>
              <w:ind w:firstLine="630" w:firstLineChars="30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L</w:t>
            </w:r>
            <w:r>
              <w:rPr>
                <w:rFonts w:hint="default" w:ascii="Times New Roman" w:hAnsi="Times New Roman" w:eastAsia="宋体" w:cs="Times New Roman"/>
                <w:bCs/>
                <w:color w:val="auto"/>
                <w:sz w:val="21"/>
                <w:szCs w:val="21"/>
                <w:vertAlign w:val="subscript"/>
              </w:rPr>
              <w:t>p1ij</w:t>
            </w:r>
            <w:r>
              <w:rPr>
                <w:rFonts w:hint="default" w:ascii="Times New Roman" w:hAnsi="Times New Roman" w:eastAsia="宋体" w:cs="Times New Roman"/>
                <w:bCs/>
                <w:color w:val="auto"/>
                <w:sz w:val="21"/>
                <w:szCs w:val="21"/>
              </w:rPr>
              <w:t>——室内j声源i倍频带的声压级，</w:t>
            </w:r>
            <w:r>
              <w:rPr>
                <w:rFonts w:hint="default" w:ascii="Times New Roman" w:hAnsi="Times New Roman" w:eastAsia="宋体" w:cs="Times New Roman"/>
                <w:color w:val="auto"/>
                <w:sz w:val="21"/>
                <w:szCs w:val="21"/>
              </w:rPr>
              <w:t>dB；</w:t>
            </w:r>
          </w:p>
          <w:p w14:paraId="3B62D83F">
            <w:pPr>
              <w:adjustRightInd w:val="0"/>
              <w:snapToGrid w:val="0"/>
              <w:spacing w:line="360" w:lineRule="auto"/>
              <w:ind w:firstLine="630" w:firstLineChars="30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N——室内声源总数。</w:t>
            </w:r>
          </w:p>
          <w:p w14:paraId="60A49093">
            <w:pPr>
              <w:adjustRightInd w:val="0"/>
              <w:snapToGrid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C</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按下式计算出</w:t>
            </w:r>
            <w:r>
              <w:rPr>
                <w:rFonts w:hint="default" w:ascii="Times New Roman" w:hAnsi="Times New Roman" w:eastAsia="宋体" w:cs="Times New Roman"/>
                <w:color w:val="auto"/>
                <w:sz w:val="21"/>
                <w:szCs w:val="21"/>
              </w:rPr>
              <w:t>靠近室外围护结构处的声压级</w:t>
            </w:r>
          </w:p>
          <w:p w14:paraId="7F2C5246">
            <w:pPr>
              <w:adjustRightInd w:val="0"/>
              <w:snapToGrid w:val="0"/>
              <w:spacing w:before="120" w:beforeLines="50" w:after="120" w:afterLines="50" w:line="36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object>
                <v:shape id="_x0000_i1027" o:spt="75" type="#_x0000_t75" style="height:19.25pt;width:135.6pt;" o:ole="t" filled="f" o:preferrelative="t" stroked="f" coordsize="21600,21600">
                  <v:path/>
                  <v:fill on="f" focussize="0,0"/>
                  <v:stroke on="f"/>
                  <v:imagedata r:id="rId19" o:title=""/>
                  <o:lock v:ext="edit" aspectratio="t"/>
                  <w10:wrap type="none"/>
                  <w10:anchorlock/>
                </v:shape>
                <o:OLEObject Type="Embed" ProgID="Equations" ShapeID="_x0000_i1027" DrawAspect="Content" ObjectID="_1468075727" r:id="rId18">
                  <o:LockedField>false</o:LockedField>
                </o:OLEObject>
              </w:object>
            </w:r>
          </w:p>
          <w:p w14:paraId="09A30233">
            <w:pPr>
              <w:adjustRightInd w:val="0"/>
              <w:snapToGrid w:val="0"/>
              <w:spacing w:line="360" w:lineRule="auto"/>
              <w:ind w:firstLine="0" w:firstLineChars="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式中：L</w:t>
            </w:r>
            <w:r>
              <w:rPr>
                <w:rFonts w:hint="default" w:ascii="Times New Roman" w:hAnsi="Times New Roman" w:eastAsia="宋体" w:cs="Times New Roman"/>
                <w:bCs/>
                <w:color w:val="auto"/>
                <w:sz w:val="21"/>
                <w:szCs w:val="21"/>
                <w:vertAlign w:val="subscript"/>
              </w:rPr>
              <w:t>p2i</w:t>
            </w:r>
            <w:r>
              <w:rPr>
                <w:rFonts w:hint="default" w:ascii="Times New Roman" w:hAnsi="Times New Roman" w:eastAsia="宋体" w:cs="Times New Roman"/>
                <w:bCs/>
                <w:color w:val="auto"/>
                <w:sz w:val="21"/>
                <w:szCs w:val="21"/>
              </w:rPr>
              <w:t>（T）——靠近围护结构处室外N个声源i倍频带的叠加声压级，</w:t>
            </w:r>
            <w:r>
              <w:rPr>
                <w:rFonts w:hint="default" w:ascii="Times New Roman" w:hAnsi="Times New Roman" w:eastAsia="宋体" w:cs="Times New Roman"/>
                <w:color w:val="auto"/>
                <w:sz w:val="21"/>
                <w:szCs w:val="21"/>
              </w:rPr>
              <w:t>dB；</w:t>
            </w:r>
          </w:p>
          <w:p w14:paraId="34D678F6">
            <w:pPr>
              <w:adjustRightInd w:val="0"/>
              <w:snapToGrid w:val="0"/>
              <w:spacing w:line="360" w:lineRule="auto"/>
              <w:ind w:firstLine="630" w:firstLineChars="30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TL</w:t>
            </w:r>
            <w:r>
              <w:rPr>
                <w:rFonts w:hint="default" w:ascii="Times New Roman" w:hAnsi="Times New Roman" w:eastAsia="宋体" w:cs="Times New Roman"/>
                <w:bCs/>
                <w:color w:val="auto"/>
                <w:sz w:val="21"/>
                <w:szCs w:val="21"/>
                <w:vertAlign w:val="subscript"/>
              </w:rPr>
              <w:t>i</w:t>
            </w:r>
            <w:r>
              <w:rPr>
                <w:rFonts w:hint="default" w:ascii="Times New Roman" w:hAnsi="Times New Roman" w:eastAsia="宋体" w:cs="Times New Roman"/>
                <w:bCs/>
                <w:color w:val="auto"/>
                <w:sz w:val="21"/>
                <w:szCs w:val="21"/>
              </w:rPr>
              <w:t>——围护结构i倍频带的隔声量，</w:t>
            </w:r>
            <w:r>
              <w:rPr>
                <w:rFonts w:hint="default" w:ascii="Times New Roman" w:hAnsi="Times New Roman" w:eastAsia="宋体" w:cs="Times New Roman"/>
                <w:color w:val="auto"/>
                <w:sz w:val="21"/>
                <w:szCs w:val="21"/>
              </w:rPr>
              <w:t>dB。</w:t>
            </w:r>
          </w:p>
          <w:p w14:paraId="1C49364B">
            <w:pPr>
              <w:adjustRightInd w:val="0"/>
              <w:snapToGrid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D</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按下式将室外声源的声压级和透过面积换算成等效的室外声源，计算出</w:t>
            </w:r>
            <w:r>
              <w:rPr>
                <w:rFonts w:hint="default" w:ascii="Times New Roman" w:hAnsi="Times New Roman" w:eastAsia="宋体" w:cs="Times New Roman"/>
                <w:color w:val="auto"/>
                <w:sz w:val="21"/>
                <w:szCs w:val="21"/>
              </w:rPr>
              <w:t>中心位置位于透声面积（S）处的等效声源的倍频带声功率级</w:t>
            </w:r>
          </w:p>
          <w:p w14:paraId="5CD0FDFF">
            <w:pPr>
              <w:adjustRightInd w:val="0"/>
              <w:snapToGrid w:val="0"/>
              <w:spacing w:before="240" w:beforeLines="100" w:after="120" w:afterLines="50" w:line="36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object>
                <v:shape id="_x0000_i1028" o:spt="75" type="#_x0000_t75" style="height:19.25pt;width:102.1pt;" o:ole="t" filled="f" o:preferrelative="t" stroked="f" coordsize="21600,21600">
                  <v:path/>
                  <v:fill on="f" focussize="0,0"/>
                  <v:stroke on="f"/>
                  <v:imagedata r:id="rId21" o:title=""/>
                  <o:lock v:ext="edit" aspectratio="t"/>
                  <w10:wrap type="none"/>
                  <w10:anchorlock/>
                </v:shape>
                <o:OLEObject Type="Embed" ProgID="Equations" ShapeID="_x0000_i1028" DrawAspect="Content" ObjectID="_1468075728" r:id="rId20">
                  <o:LockedField>false</o:LockedField>
                </o:OLEObject>
              </w:object>
            </w:r>
          </w:p>
          <w:p w14:paraId="59FB1D52">
            <w:pPr>
              <w:adjustRightInd w:val="0"/>
              <w:snapToGrid w:val="0"/>
              <w:spacing w:line="360" w:lineRule="auto"/>
              <w:ind w:firstLine="413" w:firstLineChars="196"/>
              <w:rPr>
                <w:rFonts w:hint="default" w:ascii="Times New Roman" w:hAnsi="Times New Roman" w:eastAsia="宋体" w:cs="Times New Roman"/>
                <w:b/>
                <w:bCs/>
                <w:color w:val="auto"/>
                <w:sz w:val="21"/>
                <w:szCs w:val="21"/>
              </w:rPr>
            </w:pPr>
            <w:r>
              <w:rPr>
                <w:rFonts w:hint="default" w:ascii="Times New Roman" w:hAnsi="Times New Roman" w:eastAsia="宋体" w:cs="Times New Roman"/>
                <w:b/>
                <w:color w:val="auto"/>
                <w:sz w:val="21"/>
                <w:szCs w:val="21"/>
              </w:rPr>
              <w:t>②</w:t>
            </w:r>
            <w:r>
              <w:rPr>
                <w:rFonts w:hint="default" w:ascii="Times New Roman" w:hAnsi="Times New Roman" w:eastAsia="宋体" w:cs="Times New Roman"/>
                <w:b/>
                <w:bCs/>
                <w:color w:val="auto"/>
                <w:sz w:val="21"/>
                <w:szCs w:val="21"/>
              </w:rPr>
              <w:t>室外声源预测</w:t>
            </w:r>
            <w:r>
              <w:rPr>
                <w:rFonts w:hint="default" w:ascii="Times New Roman" w:hAnsi="Times New Roman" w:eastAsia="宋体" w:cs="Times New Roman"/>
                <w:b/>
                <w:color w:val="auto"/>
                <w:sz w:val="21"/>
                <w:szCs w:val="21"/>
              </w:rPr>
              <w:t>模式</w:t>
            </w:r>
          </w:p>
          <w:p w14:paraId="701A1442">
            <w:pPr>
              <w:adjustRightInd w:val="0"/>
              <w:snapToGrid w:val="0"/>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结合项目平面布置情况和外环境关系，项目周边主要为工业企业，本次噪声预测只考虑几何发散衰减，其室外声源预测方法计算预测点处的A声级如下所示：</w:t>
            </w:r>
          </w:p>
          <w:p w14:paraId="144461DF">
            <w:pPr>
              <w:adjustRightInd w:val="0"/>
              <w:snapToGrid w:val="0"/>
              <w:spacing w:line="360" w:lineRule="auto"/>
              <w:ind w:firstLine="0" w:firstLineChars="0"/>
              <w:jc w:val="center"/>
              <w:rPr>
                <w:rFonts w:hint="default" w:ascii="Times New Roman" w:hAnsi="Times New Roman" w:eastAsia="宋体" w:cs="Times New Roman"/>
                <w:color w:val="auto"/>
                <w:position w:val="-14"/>
                <w:sz w:val="21"/>
                <w:szCs w:val="21"/>
              </w:rPr>
            </w:pPr>
            <w:r>
              <w:rPr>
                <w:rFonts w:hint="default" w:ascii="Times New Roman" w:hAnsi="Times New Roman" w:eastAsia="宋体" w:cs="Times New Roman"/>
                <w:color w:val="auto"/>
                <w:position w:val="-12"/>
                <w:sz w:val="21"/>
                <w:szCs w:val="21"/>
              </w:rPr>
              <w:object>
                <v:shape id="_x0000_i1029" o:spt="75" type="#_x0000_t75" style="height:18pt;width:97.4pt;" o:ole="t" filled="f" o:preferrelative="t" stroked="f" coordsize="21600,21600">
                  <v:path/>
                  <v:fill on="f" focussize="0,0"/>
                  <v:stroke on="f"/>
                  <v:imagedata r:id="rId23" o:title=""/>
                  <o:lock v:ext="edit" aspectratio="t"/>
                  <w10:wrap type="none"/>
                  <w10:anchorlock/>
                </v:shape>
                <o:OLEObject Type="Embed" ProgID="Equation.3" ShapeID="_x0000_i1029" DrawAspect="Content" ObjectID="_1468075729" r:id="rId22">
                  <o:LockedField>false</o:LockedField>
                </o:OLEObject>
              </w:object>
            </w:r>
          </w:p>
          <w:p w14:paraId="1C6351CC">
            <w:pPr>
              <w:spacing w:line="360" w:lineRule="auto"/>
              <w:ind w:firstLine="531" w:firstLineChars="253"/>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式中：</w:t>
            </w:r>
            <w:r>
              <w:rPr>
                <w:rFonts w:hint="default" w:ascii="Times New Roman" w:hAnsi="Times New Roman" w:eastAsia="宋体" w:cs="Times New Roman"/>
                <w:color w:val="auto"/>
                <w:position w:val="-10"/>
                <w:sz w:val="21"/>
                <w:szCs w:val="21"/>
              </w:rPr>
              <w:object>
                <v:shape id="_x0000_i1030" o:spt="75" type="#_x0000_t75" style="height:17.7pt;width:28.25pt;" o:ole="t" filled="f" o:preferrelative="t" stroked="f" coordsize="21600,21600">
                  <v:path/>
                  <v:fill on="f" focussize="0,0"/>
                  <v:stroke on="f"/>
                  <v:imagedata r:id="rId25" o:title=""/>
                  <o:lock v:ext="edit" aspectratio="t"/>
                  <w10:wrap type="none"/>
                  <w10:anchorlock/>
                </v:shape>
                <o:OLEObject Type="Embed" ProgID="Equation.3" ShapeID="_x0000_i1030" DrawAspect="Content" ObjectID="_1468075730" r:id="rId24">
                  <o:LockedField>false</o:LockedField>
                </o:OLEObject>
              </w:object>
            </w:r>
            <w:r>
              <w:rPr>
                <w:rFonts w:hint="default" w:ascii="Times New Roman" w:hAnsi="Times New Roman" w:eastAsia="宋体" w:cs="Times New Roman"/>
                <w:color w:val="auto"/>
                <w:sz w:val="21"/>
                <w:szCs w:val="21"/>
              </w:rPr>
              <w:t>—距离声源r处的A声级，dB（A）；</w:t>
            </w:r>
          </w:p>
          <w:p w14:paraId="4206DDA8">
            <w:pPr>
              <w:tabs>
                <w:tab w:val="left" w:pos="6259"/>
              </w:tabs>
              <w:spacing w:line="360" w:lineRule="auto"/>
              <w:ind w:firstLine="1260" w:firstLineChars="600"/>
              <w:rPr>
                <w:rFonts w:hint="default" w:ascii="Times New Roman" w:hAnsi="Times New Roman" w:eastAsia="宋体" w:cs="Times New Roman"/>
                <w:color w:val="auto"/>
                <w:position w:val="-12"/>
                <w:sz w:val="21"/>
                <w:szCs w:val="21"/>
              </w:rPr>
            </w:pPr>
            <w:r>
              <w:rPr>
                <w:rFonts w:hint="default" w:ascii="Times New Roman" w:hAnsi="Times New Roman" w:eastAsia="宋体" w:cs="Times New Roman"/>
                <w:color w:val="auto"/>
                <w:position w:val="-12"/>
                <w:sz w:val="21"/>
                <w:szCs w:val="21"/>
              </w:rPr>
              <w:object>
                <v:shape id="_x0000_i1031" o:spt="75" type="#_x0000_t75" style="height:18.75pt;width:31.15pt;" o:ole="t" filled="f" o:preferrelative="t" stroked="f" coordsize="21600,21600">
                  <v:path/>
                  <v:fill on="f" focussize="0,0"/>
                  <v:stroke on="f"/>
                  <v:imagedata r:id="rId27" o:title=""/>
                  <o:lock v:ext="edit" aspectratio="t"/>
                  <w10:wrap type="none"/>
                  <w10:anchorlock/>
                </v:shape>
                <o:OLEObject Type="Embed" ProgID="Equation.3" ShapeID="_x0000_i1031" DrawAspect="Content" ObjectID="_1468075731" r:id="rId26">
                  <o:LockedField>false</o:LockedField>
                </o:OLEObject>
              </w:object>
            </w:r>
            <w:r>
              <w:rPr>
                <w:rFonts w:hint="default" w:ascii="Times New Roman" w:hAnsi="Times New Roman" w:eastAsia="宋体" w:cs="Times New Roman"/>
                <w:color w:val="auto"/>
                <w:sz w:val="21"/>
                <w:szCs w:val="21"/>
              </w:rPr>
              <w:t>—距离声源r</w:t>
            </w:r>
            <w:r>
              <w:rPr>
                <w:rFonts w:hint="default" w:ascii="Times New Roman" w:hAnsi="Times New Roman" w:eastAsia="宋体" w:cs="Times New Roman"/>
                <w:color w:val="auto"/>
                <w:sz w:val="21"/>
                <w:szCs w:val="21"/>
                <w:vertAlign w:val="subscript"/>
              </w:rPr>
              <w:t>0</w:t>
            </w:r>
            <w:r>
              <w:rPr>
                <w:rFonts w:hint="default" w:ascii="Times New Roman" w:hAnsi="Times New Roman" w:eastAsia="宋体" w:cs="Times New Roman"/>
                <w:color w:val="auto"/>
                <w:sz w:val="21"/>
                <w:szCs w:val="21"/>
              </w:rPr>
              <w:t>处的A声级，dB（A）；</w:t>
            </w:r>
          </w:p>
          <w:p w14:paraId="2E066265">
            <w:pPr>
              <w:tabs>
                <w:tab w:val="left" w:pos="6259"/>
              </w:tabs>
              <w:spacing w:line="360" w:lineRule="auto"/>
              <w:ind w:firstLine="840" w:firstLineChars="4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12"/>
                <w:sz w:val="21"/>
                <w:szCs w:val="21"/>
              </w:rPr>
              <w:object>
                <v:shape id="_x0000_i1032" o:spt="75" type="#_x0000_t75" style="height:19pt;width:20.4pt;" o:ole="t" filled="f" o:preferrelative="t" stroked="f" coordsize="21600,21600">
                  <v:path/>
                  <v:fill on="f" focussize="0,0"/>
                  <v:stroke on="f"/>
                  <v:imagedata r:id="rId29" o:title=""/>
                  <o:lock v:ext="edit" aspectratio="t"/>
                  <w10:wrap type="none"/>
                  <w10:anchorlock/>
                </v:shape>
                <o:OLEObject Type="Embed" ProgID="Equation.3" ShapeID="_x0000_i1032" DrawAspect="Content" ObjectID="_1468075732" r:id="rId28">
                  <o:LockedField>false</o:LockedField>
                </o:OLEObject>
              </w:object>
            </w:r>
            <w:r>
              <w:rPr>
                <w:rFonts w:hint="default" w:ascii="Times New Roman" w:hAnsi="Times New Roman" w:eastAsia="宋体" w:cs="Times New Roman"/>
                <w:color w:val="auto"/>
                <w:sz w:val="21"/>
                <w:szCs w:val="21"/>
              </w:rPr>
              <w:t>—几何发散引起的倍频带衰减，dB，计算公式见（HJ2.4－2021）附录A；</w:t>
            </w:r>
          </w:p>
          <w:p w14:paraId="36A02446">
            <w:pPr>
              <w:adjustRightInd w:val="0"/>
              <w:snapToGrid w:val="0"/>
              <w:spacing w:line="360" w:lineRule="auto"/>
              <w:ind w:firstLine="422" w:firstLineChars="200"/>
              <w:rPr>
                <w:rFonts w:hint="default" w:ascii="Times New Roman" w:hAnsi="Times New Roman" w:eastAsia="宋体" w:cs="Times New Roman"/>
                <w:bCs/>
                <w:color w:val="auto"/>
                <w:sz w:val="21"/>
                <w:szCs w:val="21"/>
              </w:rPr>
            </w:pPr>
            <w:r>
              <w:rPr>
                <w:rFonts w:hint="default" w:ascii="Times New Roman" w:hAnsi="Times New Roman" w:eastAsia="宋体" w:cs="Times New Roman"/>
                <w:b/>
                <w:bCs/>
                <w:color w:val="auto"/>
                <w:sz w:val="21"/>
                <w:szCs w:val="21"/>
              </w:rPr>
              <w:fldChar w:fldCharType="begin"/>
            </w:r>
            <w:r>
              <w:rPr>
                <w:rFonts w:hint="default" w:ascii="Times New Roman" w:hAnsi="Times New Roman" w:eastAsia="宋体" w:cs="Times New Roman"/>
                <w:b/>
                <w:bCs/>
                <w:color w:val="auto"/>
                <w:sz w:val="21"/>
                <w:szCs w:val="21"/>
              </w:rPr>
              <w:instrText xml:space="preserve"> = 3 \* GB3 \* MERGEFORMAT </w:instrText>
            </w:r>
            <w:r>
              <w:rPr>
                <w:rFonts w:hint="default" w:ascii="Times New Roman" w:hAnsi="Times New Roman" w:eastAsia="宋体" w:cs="Times New Roman"/>
                <w:b/>
                <w:bCs/>
                <w:color w:val="auto"/>
                <w:sz w:val="21"/>
                <w:szCs w:val="21"/>
              </w:rPr>
              <w:fldChar w:fldCharType="separate"/>
            </w:r>
            <w:r>
              <w:rPr>
                <w:rFonts w:hint="default" w:ascii="Times New Roman" w:hAnsi="Times New Roman" w:eastAsia="宋体" w:cs="Times New Roman"/>
                <w:b/>
                <w:bCs/>
                <w:color w:val="auto"/>
                <w:sz w:val="21"/>
                <w:szCs w:val="21"/>
              </w:rPr>
              <w:t>③</w:t>
            </w:r>
            <w:r>
              <w:rPr>
                <w:rFonts w:hint="default" w:ascii="Times New Roman" w:hAnsi="Times New Roman" w:eastAsia="宋体" w:cs="Times New Roman"/>
                <w:b/>
                <w:bCs/>
                <w:color w:val="auto"/>
                <w:sz w:val="21"/>
                <w:szCs w:val="21"/>
              </w:rPr>
              <w:fldChar w:fldCharType="end"/>
            </w:r>
            <w:r>
              <w:rPr>
                <w:rFonts w:hint="default" w:ascii="Times New Roman" w:hAnsi="Times New Roman" w:eastAsia="宋体" w:cs="Times New Roman"/>
                <w:b/>
                <w:bCs/>
                <w:color w:val="auto"/>
                <w:sz w:val="21"/>
                <w:szCs w:val="21"/>
              </w:rPr>
              <w:t>计算结果：</w:t>
            </w:r>
            <w:r>
              <w:rPr>
                <w:rFonts w:hint="default" w:ascii="Times New Roman" w:hAnsi="Times New Roman" w:eastAsia="宋体" w:cs="Times New Roman"/>
                <w:bCs/>
                <w:color w:val="auto"/>
                <w:sz w:val="21"/>
                <w:szCs w:val="21"/>
              </w:rPr>
              <w:t>多个室外声源对预测点的贡献值（</w:t>
            </w:r>
            <w:r>
              <w:rPr>
                <w:rFonts w:hint="default" w:ascii="Times New Roman" w:hAnsi="Times New Roman" w:eastAsia="宋体" w:cs="Times New Roman"/>
                <w:bCs/>
                <w:i/>
                <w:iCs/>
                <w:color w:val="auto"/>
                <w:sz w:val="21"/>
                <w:szCs w:val="21"/>
              </w:rPr>
              <w:t>L</w:t>
            </w:r>
            <w:r>
              <w:rPr>
                <w:rFonts w:hint="default" w:ascii="Times New Roman" w:hAnsi="Times New Roman" w:eastAsia="宋体" w:cs="Times New Roman"/>
                <w:bCs/>
                <w:color w:val="auto"/>
                <w:sz w:val="21"/>
                <w:szCs w:val="21"/>
                <w:vertAlign w:val="subscript"/>
              </w:rPr>
              <w:t>eqg</w:t>
            </w:r>
            <w:r>
              <w:rPr>
                <w:rFonts w:hint="default" w:ascii="Times New Roman" w:hAnsi="Times New Roman" w:eastAsia="宋体" w:cs="Times New Roman"/>
                <w:bCs/>
                <w:color w:val="auto"/>
                <w:sz w:val="21"/>
                <w:szCs w:val="21"/>
              </w:rPr>
              <w:t>）</w:t>
            </w:r>
          </w:p>
          <w:p w14:paraId="6D23D4D8">
            <w:pPr>
              <w:spacing w:before="120" w:beforeLines="50" w:after="240" w:afterLines="100" w:line="360" w:lineRule="auto"/>
              <w:ind w:firstLine="531" w:firstLineChars="253"/>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34"/>
                <w:sz w:val="21"/>
                <w:szCs w:val="21"/>
              </w:rPr>
              <w:object>
                <v:shape id="_x0000_i1033" o:spt="75" type="#_x0000_t75" style="height:40.75pt;width:205.15pt;" o:ole="t" filled="f" o:preferrelative="t" stroked="f" coordsize="21600,21600">
                  <v:path/>
                  <v:fill on="f" focussize="0,0"/>
                  <v:stroke on="f"/>
                  <v:imagedata r:id="rId31" o:title=""/>
                  <o:lock v:ext="edit" aspectratio="t"/>
                  <w10:wrap type="none"/>
                  <w10:anchorlock/>
                </v:shape>
                <o:OLEObject Type="Embed" ProgID="Equation.3" ShapeID="_x0000_i1033" DrawAspect="Content" ObjectID="_1468075733" r:id="rId30">
                  <o:LockedField>false</o:LockedField>
                </o:OLEObject>
              </w:object>
            </w:r>
          </w:p>
          <w:p w14:paraId="0BBF8753">
            <w:pPr>
              <w:spacing w:line="360" w:lineRule="auto"/>
              <w:ind w:firstLine="531" w:firstLineChars="253"/>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式中：</w:t>
            </w:r>
            <w:r>
              <w:rPr>
                <w:rFonts w:hint="default" w:ascii="Times New Roman" w:hAnsi="Times New Roman" w:eastAsia="宋体" w:cs="Times New Roman"/>
                <w:bCs/>
                <w:i/>
                <w:iCs/>
                <w:color w:val="auto"/>
                <w:sz w:val="21"/>
                <w:szCs w:val="21"/>
              </w:rPr>
              <w:t>L</w:t>
            </w:r>
            <w:r>
              <w:rPr>
                <w:rFonts w:hint="default" w:ascii="Times New Roman" w:hAnsi="Times New Roman" w:eastAsia="宋体" w:cs="Times New Roman"/>
                <w:bCs/>
                <w:color w:val="auto"/>
                <w:sz w:val="21"/>
                <w:szCs w:val="21"/>
                <w:vertAlign w:val="subscript"/>
              </w:rPr>
              <w:t>eqg——</w:t>
            </w:r>
            <w:r>
              <w:rPr>
                <w:rFonts w:hint="default" w:ascii="Times New Roman" w:hAnsi="Times New Roman" w:eastAsia="宋体" w:cs="Times New Roman"/>
                <w:bCs/>
                <w:color w:val="auto"/>
                <w:sz w:val="21"/>
                <w:szCs w:val="21"/>
              </w:rPr>
              <w:t>建设项目声源在预测点产生的噪声贡献值，dB；</w:t>
            </w:r>
          </w:p>
          <w:p w14:paraId="7A2CD18D">
            <w:pPr>
              <w:spacing w:line="360" w:lineRule="auto"/>
              <w:ind w:firstLine="1157" w:firstLineChars="55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14"/>
                <w:sz w:val="21"/>
                <w:szCs w:val="21"/>
              </w:rPr>
              <w:object>
                <v:shape id="_x0000_i1034" o:spt="75" type="#_x0000_t75" style="height:19pt;width:12.3pt;" o:ole="t" filled="f" o:preferrelative="t" stroked="f" coordsize="21600,21600">
                  <v:path/>
                  <v:fill on="f" focussize="0,0"/>
                  <v:stroke on="f"/>
                  <v:imagedata r:id="rId33" o:title=""/>
                  <o:lock v:ext="edit" aspectratio="t"/>
                  <w10:wrap type="none"/>
                  <w10:anchorlock/>
                </v:shape>
                <o:OLEObject Type="Embed" ProgID="Equation.3" ShapeID="_x0000_i1034" DrawAspect="Content" ObjectID="_1468075734" r:id="rId32">
                  <o:LockedField>false</o:LockedField>
                </o:OLEObject>
              </w:object>
            </w:r>
            <w:r>
              <w:rPr>
                <w:rFonts w:hint="default" w:ascii="Times New Roman" w:hAnsi="Times New Roman" w:eastAsia="宋体" w:cs="Times New Roman"/>
                <w:color w:val="auto"/>
                <w:sz w:val="21"/>
                <w:szCs w:val="21"/>
              </w:rPr>
              <w:t>—在T时间内j声源工作时间，s；</w:t>
            </w:r>
          </w:p>
          <w:p w14:paraId="6C5B7652">
            <w:pPr>
              <w:spacing w:line="360" w:lineRule="auto"/>
              <w:ind w:firstLine="1157" w:firstLineChars="55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position w:val="-12"/>
                <w:sz w:val="21"/>
                <w:szCs w:val="21"/>
              </w:rPr>
              <w:object>
                <v:shape id="_x0000_i1035" o:spt="75" type="#_x0000_t75" style="height:19pt;width:11.55pt;" o:ole="t" filled="f" o:preferrelative="t" stroked="f" coordsize="21600,21600">
                  <v:path/>
                  <v:fill on="f" focussize="0,0"/>
                  <v:stroke on="f"/>
                  <v:imagedata r:id="rId35" o:title=""/>
                  <o:lock v:ext="edit" aspectratio="t"/>
                  <w10:wrap type="none"/>
                  <w10:anchorlock/>
                </v:shape>
                <o:OLEObject Type="Embed" ProgID="Equation.3" ShapeID="_x0000_i1035" DrawAspect="Content" ObjectID="_1468075735" r:id="rId34">
                  <o:LockedField>false</o:LockedField>
                </o:OLEObject>
              </w:object>
            </w:r>
            <w:r>
              <w:rPr>
                <w:rFonts w:hint="default" w:ascii="Times New Roman" w:hAnsi="Times New Roman" w:eastAsia="宋体" w:cs="Times New Roman"/>
                <w:color w:val="auto"/>
                <w:sz w:val="21"/>
                <w:szCs w:val="21"/>
              </w:rPr>
              <w:t>—在T时间内i声源工作时间，s；</w:t>
            </w:r>
          </w:p>
          <w:p w14:paraId="0CB3CDCE">
            <w:pPr>
              <w:spacing w:line="360" w:lineRule="auto"/>
              <w:ind w:firstLine="1157" w:firstLineChars="55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T—用于计算等效声级的时间，s；</w:t>
            </w:r>
          </w:p>
          <w:p w14:paraId="19008584">
            <w:pPr>
              <w:spacing w:line="360" w:lineRule="auto"/>
              <w:ind w:firstLine="1157" w:firstLineChars="55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N—室外声源个数；</w:t>
            </w:r>
          </w:p>
          <w:p w14:paraId="2290101C">
            <w:pPr>
              <w:spacing w:line="360" w:lineRule="auto"/>
              <w:ind w:firstLine="1157" w:firstLineChars="551"/>
              <w:rPr>
                <w:rFonts w:hint="default" w:ascii="Times New Roman" w:hAnsi="Times New Roman" w:cs="Times New Roman"/>
                <w:color w:val="auto"/>
                <w:szCs w:val="21"/>
              </w:rPr>
            </w:pPr>
            <w:r>
              <w:rPr>
                <w:rFonts w:hint="default" w:ascii="Times New Roman" w:hAnsi="Times New Roman" w:eastAsia="宋体" w:cs="Times New Roman"/>
                <w:color w:val="auto"/>
                <w:sz w:val="21"/>
                <w:szCs w:val="21"/>
              </w:rPr>
              <w:t>M—等效室外声源个数。</w:t>
            </w:r>
          </w:p>
          <w:p w14:paraId="42ADFAB8">
            <w:pPr>
              <w:spacing w:line="360" w:lineRule="auto"/>
              <w:ind w:firstLine="542" w:firstLineChars="257"/>
              <w:rPr>
                <w:rFonts w:hint="default" w:ascii="Times New Roman" w:hAnsi="Times New Roman" w:cs="Times New Roman"/>
                <w:b/>
                <w:color w:val="auto"/>
                <w:szCs w:val="21"/>
              </w:rPr>
            </w:pPr>
            <w:r>
              <w:rPr>
                <w:rFonts w:hint="default" w:ascii="Times New Roman" w:hAnsi="Times New Roman" w:cs="Times New Roman"/>
                <w:b/>
                <w:color w:val="auto"/>
                <w:szCs w:val="21"/>
              </w:rPr>
              <w:t>②计算结果</w:t>
            </w:r>
          </w:p>
          <w:p w14:paraId="1283989F">
            <w:pPr>
              <w:pStyle w:val="26"/>
              <w:adjustRightInd w:val="0"/>
              <w:snapToGrid w:val="0"/>
              <w:spacing w:before="0" w:beforeAutospacing="0" w:after="0" w:afterAutospacing="0" w:line="360" w:lineRule="auto"/>
              <w:ind w:firstLine="420" w:firstLineChars="200"/>
              <w:outlineLvl w:val="0"/>
              <w:rPr>
                <w:rFonts w:hint="default" w:ascii="Times New Roman" w:hAnsi="Times New Roman" w:cs="Times New Roman"/>
                <w:bCs/>
                <w:color w:val="auto"/>
                <w:kern w:val="2"/>
                <w:sz w:val="21"/>
                <w:szCs w:val="21"/>
              </w:rPr>
            </w:pPr>
            <w:r>
              <w:rPr>
                <w:rFonts w:hint="default" w:ascii="Times New Roman" w:hAnsi="Times New Roman" w:cs="Times New Roman"/>
                <w:bCs/>
                <w:color w:val="auto"/>
                <w:kern w:val="2"/>
                <w:sz w:val="21"/>
                <w:szCs w:val="21"/>
              </w:rPr>
              <w:t>按上述预测模式，其噪声污染源源强及相关参数一览表、噪声设备与室内边界距离及建筑物外距离见下表</w:t>
            </w:r>
            <w:r>
              <w:rPr>
                <w:rFonts w:hint="eastAsia" w:ascii="Times New Roman" w:hAnsi="Times New Roman" w:cs="Times New Roman"/>
                <w:bCs/>
                <w:color w:val="auto"/>
                <w:kern w:val="2"/>
                <w:sz w:val="21"/>
                <w:szCs w:val="21"/>
                <w:lang w:eastAsia="zh-CN"/>
              </w:rPr>
              <w:t>（由于本项目北侧紧邻其他项目厂房，因此本次评价的噪声预测仅针对项目东、南、西侧进行）</w:t>
            </w:r>
            <w:r>
              <w:rPr>
                <w:rFonts w:hint="default" w:ascii="Times New Roman" w:hAnsi="Times New Roman" w:cs="Times New Roman"/>
                <w:bCs/>
                <w:color w:val="auto"/>
                <w:kern w:val="2"/>
                <w:sz w:val="21"/>
                <w:szCs w:val="21"/>
              </w:rPr>
              <w:t>。</w:t>
            </w:r>
          </w:p>
          <w:p w14:paraId="51E2856F">
            <w:pPr>
              <w:pStyle w:val="6"/>
              <w:rPr>
                <w:rFonts w:hint="default" w:ascii="Times New Roman" w:hAnsi="Times New Roman" w:eastAsia="宋体" w:cs="Times New Roman"/>
                <w:color w:val="auto"/>
                <w:szCs w:val="21"/>
              </w:rPr>
            </w:pPr>
          </w:p>
          <w:p w14:paraId="2B5FF7B4">
            <w:pPr>
              <w:rPr>
                <w:rFonts w:hint="default" w:ascii="Times New Roman" w:hAnsi="Times New Roman" w:eastAsia="宋体" w:cs="Times New Roman"/>
                <w:color w:val="auto"/>
                <w:szCs w:val="21"/>
              </w:rPr>
            </w:pPr>
          </w:p>
          <w:p w14:paraId="68346E52">
            <w:pPr>
              <w:rPr>
                <w:rFonts w:hint="default" w:ascii="Times New Roman" w:hAnsi="Times New Roman" w:eastAsia="宋体" w:cs="Times New Roman"/>
                <w:color w:val="auto"/>
                <w:szCs w:val="21"/>
              </w:rPr>
            </w:pPr>
          </w:p>
          <w:p w14:paraId="1C491C1F">
            <w:pPr>
              <w:rPr>
                <w:rFonts w:hint="default" w:ascii="Times New Roman" w:hAnsi="Times New Roman" w:eastAsia="宋体" w:cs="Times New Roman"/>
                <w:color w:val="auto"/>
                <w:szCs w:val="21"/>
              </w:rPr>
            </w:pPr>
          </w:p>
          <w:p w14:paraId="3DFB39D8">
            <w:pPr>
              <w:rPr>
                <w:rFonts w:hint="default" w:ascii="Times New Roman" w:hAnsi="Times New Roman" w:eastAsia="宋体" w:cs="Times New Roman"/>
                <w:color w:val="auto"/>
                <w:szCs w:val="21"/>
              </w:rPr>
            </w:pPr>
          </w:p>
          <w:p w14:paraId="40DBC075">
            <w:pPr>
              <w:pStyle w:val="54"/>
              <w:rPr>
                <w:rFonts w:hint="default" w:ascii="Times New Roman" w:hAnsi="Times New Roman" w:eastAsia="宋体" w:cs="Times New Roman"/>
                <w:color w:val="auto"/>
                <w:szCs w:val="21"/>
              </w:rPr>
            </w:pPr>
          </w:p>
          <w:p w14:paraId="665E1EDE">
            <w:pPr>
              <w:pStyle w:val="54"/>
              <w:rPr>
                <w:rFonts w:hint="default" w:ascii="Times New Roman" w:hAnsi="Times New Roman" w:eastAsia="宋体" w:cs="Times New Roman"/>
                <w:color w:val="auto"/>
                <w:szCs w:val="21"/>
              </w:rPr>
            </w:pPr>
          </w:p>
          <w:p w14:paraId="2EE337D4">
            <w:pPr>
              <w:pStyle w:val="54"/>
              <w:rPr>
                <w:rFonts w:hint="default" w:ascii="Times New Roman" w:hAnsi="Times New Roman" w:eastAsia="宋体" w:cs="Times New Roman"/>
                <w:color w:val="auto"/>
                <w:szCs w:val="21"/>
              </w:rPr>
            </w:pPr>
          </w:p>
          <w:p w14:paraId="3C0383EC">
            <w:pPr>
              <w:topLinePunct/>
              <w:adjustRightInd w:val="0"/>
              <w:snapToGrid w:val="0"/>
              <w:spacing w:line="360" w:lineRule="auto"/>
              <w:jc w:val="left"/>
              <w:rPr>
                <w:rFonts w:hint="default" w:ascii="Times New Roman" w:hAnsi="Times New Roman" w:cs="Times New Roman"/>
                <w:color w:val="auto"/>
                <w:szCs w:val="21"/>
              </w:rPr>
            </w:pPr>
          </w:p>
        </w:tc>
      </w:tr>
    </w:tbl>
    <w:p w14:paraId="7B50CA02">
      <w:pPr>
        <w:pStyle w:val="26"/>
        <w:outlineLvl w:val="0"/>
        <w:rPr>
          <w:rFonts w:hint="default" w:ascii="Times New Roman" w:hAnsi="Times New Roman" w:cs="Times New Roman"/>
          <w:snapToGrid w:val="0"/>
          <w:color w:val="auto"/>
          <w:sz w:val="30"/>
          <w:szCs w:val="30"/>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747FDC3E">
      <w:pPr>
        <w:adjustRightInd w:val="0"/>
        <w:snapToGrid w:val="0"/>
        <w:ind w:firstLine="422" w:firstLineChars="200"/>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表4-</w:t>
      </w:r>
      <w:r>
        <w:rPr>
          <w:rFonts w:hint="default" w:ascii="Times New Roman" w:hAnsi="Times New Roman" w:cs="Times New Roman"/>
          <w:b/>
          <w:color w:val="auto"/>
          <w:szCs w:val="21"/>
          <w:lang w:val="en-US" w:eastAsia="zh-CN"/>
        </w:rPr>
        <w:t>1</w:t>
      </w:r>
      <w:r>
        <w:rPr>
          <w:rFonts w:hint="eastAsia" w:ascii="Times New Roman" w:hAnsi="Times New Roman" w:cs="Times New Roman"/>
          <w:b/>
          <w:color w:val="auto"/>
          <w:szCs w:val="21"/>
          <w:lang w:val="en-US" w:eastAsia="zh-CN"/>
        </w:rPr>
        <w:t>0</w:t>
      </w:r>
      <w:r>
        <w:rPr>
          <w:rFonts w:hint="default" w:ascii="Times New Roman" w:hAnsi="Times New Roman" w:cs="Times New Roman"/>
          <w:b/>
          <w:color w:val="auto"/>
          <w:szCs w:val="21"/>
        </w:rPr>
        <w:t xml:space="preserve">  工业</w:t>
      </w:r>
      <w:r>
        <w:rPr>
          <w:rFonts w:hint="default" w:ascii="Times New Roman" w:hAnsi="Times New Roman" w:cs="Times New Roman"/>
          <w:b/>
          <w:color w:val="auto"/>
          <w:szCs w:val="21"/>
          <w:lang w:val="en-US" w:eastAsia="zh-CN"/>
        </w:rPr>
        <w:t>企业</w:t>
      </w:r>
      <w:r>
        <w:rPr>
          <w:rFonts w:hint="default" w:ascii="Times New Roman" w:hAnsi="Times New Roman" w:cs="Times New Roman"/>
          <w:b/>
          <w:color w:val="auto"/>
          <w:szCs w:val="21"/>
        </w:rPr>
        <w:t xml:space="preserve">噪声源强调查清单（室外声源） </w:t>
      </w:r>
    </w:p>
    <w:tbl>
      <w:tblPr>
        <w:tblStyle w:val="3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56"/>
        <w:gridCol w:w="1125"/>
        <w:gridCol w:w="1327"/>
        <w:gridCol w:w="1240"/>
        <w:gridCol w:w="1356"/>
        <w:gridCol w:w="2610"/>
        <w:gridCol w:w="3837"/>
        <w:gridCol w:w="1101"/>
      </w:tblGrid>
      <w:tr w14:paraId="19C8BE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056" w:type="dxa"/>
            <w:vMerge w:val="restart"/>
            <w:tcBorders>
              <w:tl2br w:val="nil"/>
              <w:tr2bl w:val="nil"/>
            </w:tcBorders>
            <w:noWrap w:val="0"/>
            <w:vAlign w:val="center"/>
          </w:tcPr>
          <w:p w14:paraId="71963D6A">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设备名称</w:t>
            </w:r>
          </w:p>
        </w:tc>
        <w:tc>
          <w:tcPr>
            <w:tcW w:w="1125" w:type="dxa"/>
            <w:vMerge w:val="restart"/>
            <w:tcBorders>
              <w:tl2br w:val="nil"/>
              <w:tr2bl w:val="nil"/>
            </w:tcBorders>
            <w:noWrap w:val="0"/>
            <w:vAlign w:val="center"/>
          </w:tcPr>
          <w:p w14:paraId="7B774465">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型号</w:t>
            </w:r>
          </w:p>
        </w:tc>
        <w:tc>
          <w:tcPr>
            <w:tcW w:w="3923" w:type="dxa"/>
            <w:gridSpan w:val="3"/>
            <w:tcBorders>
              <w:tl2br w:val="nil"/>
              <w:tr2bl w:val="nil"/>
            </w:tcBorders>
            <w:noWrap w:val="0"/>
            <w:vAlign w:val="center"/>
          </w:tcPr>
          <w:p w14:paraId="46AA706A">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空间相对位置</w:t>
            </w:r>
          </w:p>
        </w:tc>
        <w:tc>
          <w:tcPr>
            <w:tcW w:w="2610" w:type="dxa"/>
            <w:vMerge w:val="restart"/>
            <w:tcBorders>
              <w:tl2br w:val="nil"/>
              <w:tr2bl w:val="nil"/>
            </w:tcBorders>
            <w:noWrap w:val="0"/>
            <w:vAlign w:val="center"/>
          </w:tcPr>
          <w:p w14:paraId="411BC228">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声源源强dB（A）</w:t>
            </w:r>
          </w:p>
        </w:tc>
        <w:tc>
          <w:tcPr>
            <w:tcW w:w="3837" w:type="dxa"/>
            <w:vMerge w:val="restart"/>
            <w:tcBorders>
              <w:tl2br w:val="nil"/>
              <w:tr2bl w:val="nil"/>
            </w:tcBorders>
            <w:noWrap w:val="0"/>
            <w:vAlign w:val="center"/>
          </w:tcPr>
          <w:p w14:paraId="40C4F019">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声源控制措施</w:t>
            </w:r>
          </w:p>
        </w:tc>
        <w:tc>
          <w:tcPr>
            <w:tcW w:w="1101" w:type="dxa"/>
            <w:vMerge w:val="restart"/>
            <w:tcBorders>
              <w:tl2br w:val="nil"/>
              <w:tr2bl w:val="nil"/>
            </w:tcBorders>
            <w:noWrap w:val="0"/>
            <w:vAlign w:val="center"/>
          </w:tcPr>
          <w:p w14:paraId="1C745A5F">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运行时段</w:t>
            </w:r>
          </w:p>
        </w:tc>
      </w:tr>
      <w:tr w14:paraId="2FDB1D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056" w:type="dxa"/>
            <w:vMerge w:val="continue"/>
            <w:tcBorders>
              <w:tl2br w:val="nil"/>
              <w:tr2bl w:val="nil"/>
            </w:tcBorders>
            <w:noWrap w:val="0"/>
            <w:vAlign w:val="center"/>
          </w:tcPr>
          <w:p w14:paraId="101141CD">
            <w:pPr>
              <w:spacing w:line="276" w:lineRule="auto"/>
              <w:jc w:val="center"/>
              <w:rPr>
                <w:rFonts w:hint="default" w:ascii="Times New Roman" w:hAnsi="Times New Roman" w:cs="Times New Roman"/>
                <w:color w:val="auto"/>
                <w:sz w:val="18"/>
                <w:szCs w:val="18"/>
              </w:rPr>
            </w:pPr>
          </w:p>
        </w:tc>
        <w:tc>
          <w:tcPr>
            <w:tcW w:w="1125" w:type="dxa"/>
            <w:vMerge w:val="continue"/>
            <w:tcBorders>
              <w:tl2br w:val="nil"/>
              <w:tr2bl w:val="nil"/>
            </w:tcBorders>
            <w:noWrap w:val="0"/>
            <w:vAlign w:val="center"/>
          </w:tcPr>
          <w:p w14:paraId="4814FD46">
            <w:pPr>
              <w:spacing w:line="276" w:lineRule="auto"/>
              <w:jc w:val="center"/>
              <w:rPr>
                <w:rFonts w:hint="default" w:ascii="Times New Roman" w:hAnsi="Times New Roman" w:cs="Times New Roman"/>
                <w:color w:val="auto"/>
                <w:sz w:val="18"/>
                <w:szCs w:val="18"/>
              </w:rPr>
            </w:pPr>
          </w:p>
        </w:tc>
        <w:tc>
          <w:tcPr>
            <w:tcW w:w="1327" w:type="dxa"/>
            <w:tcBorders>
              <w:tl2br w:val="nil"/>
              <w:tr2bl w:val="nil"/>
            </w:tcBorders>
            <w:noWrap w:val="0"/>
            <w:vAlign w:val="center"/>
          </w:tcPr>
          <w:p w14:paraId="1ACE79E6">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X</w:t>
            </w:r>
          </w:p>
        </w:tc>
        <w:tc>
          <w:tcPr>
            <w:tcW w:w="1240" w:type="dxa"/>
            <w:tcBorders>
              <w:tl2br w:val="nil"/>
              <w:tr2bl w:val="nil"/>
            </w:tcBorders>
            <w:noWrap w:val="0"/>
            <w:vAlign w:val="center"/>
          </w:tcPr>
          <w:p w14:paraId="7800CE47">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Y</w:t>
            </w:r>
          </w:p>
        </w:tc>
        <w:tc>
          <w:tcPr>
            <w:tcW w:w="1356" w:type="dxa"/>
            <w:tcBorders>
              <w:tl2br w:val="nil"/>
              <w:tr2bl w:val="nil"/>
            </w:tcBorders>
            <w:noWrap w:val="0"/>
            <w:vAlign w:val="center"/>
          </w:tcPr>
          <w:p w14:paraId="0CE562ED">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Z</w:t>
            </w:r>
          </w:p>
        </w:tc>
        <w:tc>
          <w:tcPr>
            <w:tcW w:w="2610" w:type="dxa"/>
            <w:vMerge w:val="continue"/>
            <w:tcBorders>
              <w:tl2br w:val="nil"/>
              <w:tr2bl w:val="nil"/>
            </w:tcBorders>
            <w:noWrap w:val="0"/>
            <w:vAlign w:val="center"/>
          </w:tcPr>
          <w:p w14:paraId="78B16129">
            <w:pPr>
              <w:spacing w:line="276" w:lineRule="auto"/>
              <w:jc w:val="center"/>
              <w:rPr>
                <w:rFonts w:hint="default" w:ascii="Times New Roman" w:hAnsi="Times New Roman" w:cs="Times New Roman"/>
                <w:color w:val="auto"/>
                <w:sz w:val="18"/>
                <w:szCs w:val="18"/>
              </w:rPr>
            </w:pPr>
          </w:p>
        </w:tc>
        <w:tc>
          <w:tcPr>
            <w:tcW w:w="3837" w:type="dxa"/>
            <w:vMerge w:val="continue"/>
            <w:tcBorders>
              <w:tl2br w:val="nil"/>
              <w:tr2bl w:val="nil"/>
            </w:tcBorders>
            <w:noWrap w:val="0"/>
            <w:vAlign w:val="center"/>
          </w:tcPr>
          <w:p w14:paraId="10EAA9A3">
            <w:pPr>
              <w:spacing w:line="276" w:lineRule="auto"/>
              <w:jc w:val="center"/>
              <w:rPr>
                <w:rFonts w:hint="default" w:ascii="Times New Roman" w:hAnsi="Times New Roman" w:cs="Times New Roman"/>
                <w:color w:val="auto"/>
                <w:sz w:val="18"/>
                <w:szCs w:val="18"/>
              </w:rPr>
            </w:pPr>
          </w:p>
        </w:tc>
        <w:tc>
          <w:tcPr>
            <w:tcW w:w="1101" w:type="dxa"/>
            <w:vMerge w:val="continue"/>
            <w:tcBorders>
              <w:tl2br w:val="nil"/>
              <w:tr2bl w:val="nil"/>
            </w:tcBorders>
            <w:noWrap w:val="0"/>
            <w:vAlign w:val="center"/>
          </w:tcPr>
          <w:p w14:paraId="7771222D">
            <w:pPr>
              <w:spacing w:line="276" w:lineRule="auto"/>
              <w:jc w:val="center"/>
              <w:rPr>
                <w:rFonts w:hint="default" w:ascii="Times New Roman" w:hAnsi="Times New Roman" w:cs="Times New Roman"/>
                <w:color w:val="auto"/>
                <w:sz w:val="18"/>
                <w:szCs w:val="18"/>
              </w:rPr>
            </w:pPr>
          </w:p>
        </w:tc>
      </w:tr>
      <w:tr w14:paraId="4EF0B8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056" w:type="dxa"/>
            <w:tcBorders>
              <w:tl2br w:val="nil"/>
              <w:tr2bl w:val="nil"/>
            </w:tcBorders>
            <w:noWrap w:val="0"/>
            <w:vAlign w:val="center"/>
          </w:tcPr>
          <w:p w14:paraId="49C1447C">
            <w:pPr>
              <w:widowControl/>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冷却塔</w:t>
            </w:r>
          </w:p>
        </w:tc>
        <w:tc>
          <w:tcPr>
            <w:tcW w:w="1125" w:type="dxa"/>
            <w:tcBorders>
              <w:tl2br w:val="nil"/>
              <w:tr2bl w:val="nil"/>
            </w:tcBorders>
            <w:noWrap w:val="0"/>
            <w:vAlign w:val="center"/>
          </w:tcPr>
          <w:p w14:paraId="2A4B8DB7">
            <w:pPr>
              <w:widowControl/>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10</w:t>
            </w:r>
            <w:r>
              <w:rPr>
                <w:rFonts w:hint="default" w:ascii="Times New Roman" w:hAnsi="Times New Roman" w:cs="Times New Roman"/>
                <w:color w:val="auto"/>
                <w:sz w:val="18"/>
                <w:szCs w:val="18"/>
              </w:rPr>
              <w:t>t/h</w:t>
            </w:r>
          </w:p>
        </w:tc>
        <w:tc>
          <w:tcPr>
            <w:tcW w:w="1327" w:type="dxa"/>
            <w:tcBorders>
              <w:tl2br w:val="nil"/>
              <w:tr2bl w:val="nil"/>
            </w:tcBorders>
            <w:noWrap w:val="0"/>
            <w:vAlign w:val="center"/>
          </w:tcPr>
          <w:p w14:paraId="1A587F8A">
            <w:pPr>
              <w:widowControl/>
              <w:spacing w:line="276"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-5</w:t>
            </w:r>
          </w:p>
        </w:tc>
        <w:tc>
          <w:tcPr>
            <w:tcW w:w="1240" w:type="dxa"/>
            <w:tcBorders>
              <w:tl2br w:val="nil"/>
              <w:tr2bl w:val="nil"/>
            </w:tcBorders>
            <w:noWrap w:val="0"/>
            <w:vAlign w:val="center"/>
          </w:tcPr>
          <w:p w14:paraId="4E3E157D">
            <w:pPr>
              <w:widowControl/>
              <w:spacing w:line="276"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-17</w:t>
            </w:r>
          </w:p>
        </w:tc>
        <w:tc>
          <w:tcPr>
            <w:tcW w:w="1356" w:type="dxa"/>
            <w:tcBorders>
              <w:tl2br w:val="nil"/>
              <w:tr2bl w:val="nil"/>
            </w:tcBorders>
            <w:noWrap w:val="0"/>
            <w:vAlign w:val="center"/>
          </w:tcPr>
          <w:p w14:paraId="1F20E423">
            <w:pPr>
              <w:widowControl/>
              <w:spacing w:line="276"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w:t>
            </w:r>
          </w:p>
        </w:tc>
        <w:tc>
          <w:tcPr>
            <w:tcW w:w="2610" w:type="dxa"/>
            <w:tcBorders>
              <w:tl2br w:val="nil"/>
              <w:tr2bl w:val="nil"/>
            </w:tcBorders>
            <w:noWrap w:val="0"/>
            <w:vAlign w:val="center"/>
          </w:tcPr>
          <w:p w14:paraId="7A2F665D">
            <w:pPr>
              <w:widowControl/>
              <w:spacing w:line="276"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8</w:t>
            </w:r>
            <w:r>
              <w:rPr>
                <w:rFonts w:hint="default" w:ascii="Times New Roman" w:hAnsi="Times New Roman" w:cs="Times New Roman"/>
                <w:color w:val="auto"/>
                <w:sz w:val="18"/>
                <w:szCs w:val="18"/>
                <w:lang w:val="en-US" w:eastAsia="zh-CN"/>
              </w:rPr>
              <w:t>5</w:t>
            </w:r>
          </w:p>
        </w:tc>
        <w:tc>
          <w:tcPr>
            <w:tcW w:w="3837" w:type="dxa"/>
            <w:vMerge w:val="restart"/>
            <w:tcBorders>
              <w:tl2br w:val="nil"/>
              <w:tr2bl w:val="nil"/>
            </w:tcBorders>
            <w:noWrap w:val="0"/>
            <w:vAlign w:val="center"/>
          </w:tcPr>
          <w:p w14:paraId="524C2CBB">
            <w:pPr>
              <w:widowControl/>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基础减振，设置隔音罩，降噪效果25dB（A）</w:t>
            </w:r>
          </w:p>
        </w:tc>
        <w:tc>
          <w:tcPr>
            <w:tcW w:w="1101" w:type="dxa"/>
            <w:vMerge w:val="restart"/>
            <w:tcBorders>
              <w:tl2br w:val="nil"/>
              <w:tr2bl w:val="nil"/>
            </w:tcBorders>
            <w:noWrap w:val="0"/>
            <w:vAlign w:val="center"/>
          </w:tcPr>
          <w:p w14:paraId="14535CC8">
            <w:pPr>
              <w:widowControl/>
              <w:spacing w:line="276" w:lineRule="auto"/>
              <w:jc w:val="center"/>
              <w:rPr>
                <w:rFonts w:hint="eastAsia"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昼间</w:t>
            </w:r>
            <w:r>
              <w:rPr>
                <w:rFonts w:hint="eastAsia" w:ascii="Times New Roman" w:hAnsi="Times New Roman" w:cs="Times New Roman"/>
                <w:color w:val="auto"/>
                <w:sz w:val="18"/>
                <w:szCs w:val="18"/>
                <w:lang w:eastAsia="zh-CN"/>
              </w:rPr>
              <w:t>、夜间</w:t>
            </w:r>
          </w:p>
        </w:tc>
      </w:tr>
      <w:tr w14:paraId="7338A3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56" w:type="dxa"/>
            <w:tcBorders>
              <w:tl2br w:val="nil"/>
              <w:tr2bl w:val="nil"/>
            </w:tcBorders>
            <w:noWrap w:val="0"/>
            <w:vAlign w:val="center"/>
          </w:tcPr>
          <w:p w14:paraId="384FCA6A">
            <w:pPr>
              <w:widowControl/>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风机</w:t>
            </w:r>
          </w:p>
        </w:tc>
        <w:tc>
          <w:tcPr>
            <w:tcW w:w="1125" w:type="dxa"/>
            <w:tcBorders>
              <w:tl2br w:val="nil"/>
              <w:tr2bl w:val="nil"/>
            </w:tcBorders>
            <w:noWrap w:val="0"/>
            <w:vAlign w:val="center"/>
          </w:tcPr>
          <w:p w14:paraId="04881691">
            <w:pPr>
              <w:widowControl/>
              <w:spacing w:line="276" w:lineRule="auto"/>
              <w:jc w:val="center"/>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14000</w:t>
            </w:r>
            <w:r>
              <w:rPr>
                <w:rFonts w:hint="default" w:ascii="Times New Roman" w:hAnsi="Times New Roman" w:cs="Times New Roman"/>
                <w:color w:val="auto"/>
                <w:sz w:val="18"/>
                <w:szCs w:val="18"/>
              </w:rPr>
              <w:t>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/h</w:t>
            </w:r>
          </w:p>
        </w:tc>
        <w:tc>
          <w:tcPr>
            <w:tcW w:w="1327" w:type="dxa"/>
            <w:tcBorders>
              <w:tl2br w:val="nil"/>
              <w:tr2bl w:val="nil"/>
            </w:tcBorders>
            <w:noWrap w:val="0"/>
            <w:vAlign w:val="center"/>
          </w:tcPr>
          <w:p w14:paraId="3AC681F6">
            <w:pPr>
              <w:widowControl/>
              <w:spacing w:line="276"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-10</w:t>
            </w:r>
          </w:p>
        </w:tc>
        <w:tc>
          <w:tcPr>
            <w:tcW w:w="1240" w:type="dxa"/>
            <w:tcBorders>
              <w:tl2br w:val="nil"/>
              <w:tr2bl w:val="nil"/>
            </w:tcBorders>
            <w:noWrap w:val="0"/>
            <w:vAlign w:val="center"/>
          </w:tcPr>
          <w:p w14:paraId="0133EDEA">
            <w:pPr>
              <w:widowControl/>
              <w:spacing w:line="276"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w:t>
            </w:r>
            <w:r>
              <w:rPr>
                <w:rFonts w:hint="eastAsia" w:ascii="Times New Roman" w:hAnsi="Times New Roman" w:cs="Times New Roman"/>
                <w:color w:val="auto"/>
                <w:sz w:val="18"/>
                <w:szCs w:val="18"/>
                <w:lang w:val="en-US" w:eastAsia="zh-CN"/>
              </w:rPr>
              <w:t>7</w:t>
            </w:r>
          </w:p>
        </w:tc>
        <w:tc>
          <w:tcPr>
            <w:tcW w:w="1356" w:type="dxa"/>
            <w:tcBorders>
              <w:tl2br w:val="nil"/>
              <w:tr2bl w:val="nil"/>
            </w:tcBorders>
            <w:noWrap w:val="0"/>
            <w:vAlign w:val="center"/>
          </w:tcPr>
          <w:p w14:paraId="244F9915">
            <w:pPr>
              <w:widowControl/>
              <w:spacing w:line="276"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c>
          <w:tcPr>
            <w:tcW w:w="2610" w:type="dxa"/>
            <w:tcBorders>
              <w:tl2br w:val="nil"/>
              <w:tr2bl w:val="nil"/>
            </w:tcBorders>
            <w:noWrap w:val="0"/>
            <w:vAlign w:val="center"/>
          </w:tcPr>
          <w:p w14:paraId="674DB3C1">
            <w:pPr>
              <w:widowControl/>
              <w:spacing w:line="276"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8</w:t>
            </w:r>
            <w:r>
              <w:rPr>
                <w:rFonts w:hint="default" w:ascii="Times New Roman" w:hAnsi="Times New Roman" w:cs="Times New Roman"/>
                <w:color w:val="auto"/>
                <w:sz w:val="18"/>
                <w:szCs w:val="18"/>
                <w:lang w:val="en-US" w:eastAsia="zh-CN"/>
              </w:rPr>
              <w:t>5</w:t>
            </w:r>
          </w:p>
        </w:tc>
        <w:tc>
          <w:tcPr>
            <w:tcW w:w="3837" w:type="dxa"/>
            <w:vMerge w:val="continue"/>
            <w:tcBorders>
              <w:tl2br w:val="nil"/>
              <w:tr2bl w:val="nil"/>
            </w:tcBorders>
            <w:noWrap w:val="0"/>
            <w:vAlign w:val="center"/>
          </w:tcPr>
          <w:p w14:paraId="73EB33D5">
            <w:pPr>
              <w:widowControl/>
              <w:spacing w:line="276" w:lineRule="auto"/>
              <w:jc w:val="center"/>
              <w:rPr>
                <w:rFonts w:hint="default" w:ascii="Times New Roman" w:hAnsi="Times New Roman" w:cs="Times New Roman"/>
                <w:color w:val="auto"/>
                <w:sz w:val="18"/>
                <w:szCs w:val="18"/>
              </w:rPr>
            </w:pPr>
          </w:p>
        </w:tc>
        <w:tc>
          <w:tcPr>
            <w:tcW w:w="1101" w:type="dxa"/>
            <w:vMerge w:val="continue"/>
            <w:tcBorders>
              <w:tl2br w:val="nil"/>
              <w:tr2bl w:val="nil"/>
            </w:tcBorders>
            <w:noWrap w:val="0"/>
            <w:vAlign w:val="center"/>
          </w:tcPr>
          <w:p w14:paraId="0B861559">
            <w:pPr>
              <w:widowControl/>
              <w:spacing w:line="276" w:lineRule="auto"/>
              <w:jc w:val="center"/>
              <w:rPr>
                <w:rFonts w:hint="default" w:ascii="Times New Roman" w:hAnsi="Times New Roman" w:cs="Times New Roman"/>
                <w:color w:val="auto"/>
                <w:sz w:val="18"/>
                <w:szCs w:val="18"/>
              </w:rPr>
            </w:pPr>
          </w:p>
        </w:tc>
      </w:tr>
    </w:tbl>
    <w:p w14:paraId="6A8862BE">
      <w:pPr>
        <w:pStyle w:val="26"/>
        <w:adjustRightInd w:val="0"/>
        <w:snapToGrid w:val="0"/>
        <w:spacing w:before="0" w:beforeAutospacing="0" w:after="0" w:afterAutospacing="0" w:line="240" w:lineRule="auto"/>
        <w:jc w:val="center"/>
        <w:outlineLvl w:val="0"/>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表4-</w:t>
      </w:r>
      <w:r>
        <w:rPr>
          <w:rFonts w:hint="default" w:ascii="Times New Roman" w:hAnsi="Times New Roman" w:cs="Times New Roman"/>
          <w:b/>
          <w:color w:val="auto"/>
          <w:sz w:val="21"/>
          <w:szCs w:val="21"/>
          <w:lang w:val="en-US" w:eastAsia="zh-CN"/>
        </w:rPr>
        <w:t>1</w:t>
      </w:r>
      <w:r>
        <w:rPr>
          <w:rFonts w:hint="eastAsia" w:ascii="Times New Roman" w:hAnsi="Times New Roman" w:cs="Times New Roman"/>
          <w:b/>
          <w:color w:val="auto"/>
          <w:sz w:val="21"/>
          <w:szCs w:val="21"/>
          <w:lang w:val="en-US" w:eastAsia="zh-CN"/>
        </w:rPr>
        <w:t>1</w:t>
      </w:r>
      <w:r>
        <w:rPr>
          <w:rFonts w:hint="default" w:ascii="Times New Roman" w:hAnsi="Times New Roman" w:cs="Times New Roman"/>
          <w:b/>
          <w:color w:val="auto"/>
          <w:sz w:val="21"/>
          <w:szCs w:val="21"/>
        </w:rPr>
        <w:t xml:space="preserve"> </w:t>
      </w:r>
      <w:r>
        <w:rPr>
          <w:rFonts w:hint="default" w:ascii="Times New Roman" w:hAnsi="Times New Roman" w:cs="Times New Roman"/>
          <w:b/>
          <w:snapToGrid w:val="0"/>
          <w:color w:val="auto"/>
          <w:sz w:val="21"/>
          <w:szCs w:val="21"/>
        </w:rPr>
        <w:t xml:space="preserve"> </w:t>
      </w:r>
      <w:r>
        <w:rPr>
          <w:rFonts w:hint="default" w:ascii="Times New Roman" w:hAnsi="Times New Roman" w:cs="Times New Roman"/>
          <w:b/>
          <w:color w:val="auto"/>
          <w:sz w:val="21"/>
          <w:szCs w:val="21"/>
        </w:rPr>
        <w:t>工业</w:t>
      </w:r>
      <w:r>
        <w:rPr>
          <w:rFonts w:hint="default" w:ascii="Times New Roman" w:hAnsi="Times New Roman" w:cs="Times New Roman"/>
          <w:b/>
          <w:color w:val="auto"/>
          <w:sz w:val="21"/>
          <w:szCs w:val="21"/>
          <w:lang w:val="en-US" w:eastAsia="zh-CN"/>
        </w:rPr>
        <w:t>企业</w:t>
      </w:r>
      <w:r>
        <w:rPr>
          <w:rFonts w:hint="default" w:ascii="Times New Roman" w:hAnsi="Times New Roman" w:cs="Times New Roman"/>
          <w:b/>
          <w:color w:val="auto"/>
          <w:sz w:val="21"/>
          <w:szCs w:val="21"/>
        </w:rPr>
        <w:t>噪声源强调查清单（室内声源）</w:t>
      </w:r>
    </w:p>
    <w:tbl>
      <w:tblPr>
        <w:tblStyle w:val="3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58"/>
        <w:gridCol w:w="966"/>
        <w:gridCol w:w="1409"/>
        <w:gridCol w:w="777"/>
        <w:gridCol w:w="1296"/>
        <w:gridCol w:w="490"/>
        <w:gridCol w:w="555"/>
        <w:gridCol w:w="400"/>
        <w:gridCol w:w="461"/>
        <w:gridCol w:w="447"/>
        <w:gridCol w:w="448"/>
        <w:gridCol w:w="473"/>
        <w:gridCol w:w="448"/>
        <w:gridCol w:w="447"/>
        <w:gridCol w:w="421"/>
        <w:gridCol w:w="448"/>
        <w:gridCol w:w="521"/>
        <w:gridCol w:w="847"/>
        <w:gridCol w:w="408"/>
        <w:gridCol w:w="460"/>
        <w:gridCol w:w="421"/>
        <w:gridCol w:w="403"/>
        <w:gridCol w:w="648"/>
      </w:tblGrid>
      <w:tr w14:paraId="5CA310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458" w:type="dxa"/>
            <w:vMerge w:val="restart"/>
            <w:tcBorders>
              <w:tl2br w:val="nil"/>
              <w:tr2bl w:val="nil"/>
            </w:tcBorders>
            <w:noWrap w:val="0"/>
            <w:vAlign w:val="center"/>
          </w:tcPr>
          <w:p w14:paraId="62788B81">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建筑物名称</w:t>
            </w:r>
          </w:p>
        </w:tc>
        <w:tc>
          <w:tcPr>
            <w:tcW w:w="966" w:type="dxa"/>
            <w:vMerge w:val="restart"/>
            <w:tcBorders>
              <w:tl2br w:val="nil"/>
              <w:tr2bl w:val="nil"/>
            </w:tcBorders>
            <w:noWrap w:val="0"/>
            <w:vAlign w:val="center"/>
          </w:tcPr>
          <w:p w14:paraId="123F90E3">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设备名称</w:t>
            </w:r>
          </w:p>
        </w:tc>
        <w:tc>
          <w:tcPr>
            <w:tcW w:w="1409" w:type="dxa"/>
            <w:vMerge w:val="restart"/>
            <w:tcBorders>
              <w:tl2br w:val="nil"/>
              <w:tr2bl w:val="nil"/>
            </w:tcBorders>
            <w:noWrap w:val="0"/>
            <w:vAlign w:val="center"/>
          </w:tcPr>
          <w:p w14:paraId="7CB743E2">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型号</w:t>
            </w:r>
          </w:p>
        </w:tc>
        <w:tc>
          <w:tcPr>
            <w:tcW w:w="777" w:type="dxa"/>
            <w:vMerge w:val="restart"/>
            <w:tcBorders>
              <w:tl2br w:val="nil"/>
              <w:tr2bl w:val="nil"/>
            </w:tcBorders>
            <w:noWrap w:val="0"/>
            <w:vAlign w:val="center"/>
          </w:tcPr>
          <w:p w14:paraId="7C3908F2">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声源源强dB（A）</w:t>
            </w:r>
          </w:p>
        </w:tc>
        <w:tc>
          <w:tcPr>
            <w:tcW w:w="1296" w:type="dxa"/>
            <w:vMerge w:val="restart"/>
            <w:tcBorders>
              <w:tl2br w:val="nil"/>
              <w:tr2bl w:val="nil"/>
            </w:tcBorders>
            <w:noWrap w:val="0"/>
            <w:vAlign w:val="center"/>
          </w:tcPr>
          <w:p w14:paraId="3CC30F0B">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声源控制措施</w:t>
            </w:r>
          </w:p>
        </w:tc>
        <w:tc>
          <w:tcPr>
            <w:tcW w:w="1445" w:type="dxa"/>
            <w:gridSpan w:val="3"/>
            <w:tcBorders>
              <w:tl2br w:val="nil"/>
              <w:tr2bl w:val="nil"/>
            </w:tcBorders>
            <w:noWrap w:val="0"/>
            <w:vAlign w:val="center"/>
          </w:tcPr>
          <w:p w14:paraId="044E3B12">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空间相对位置</w:t>
            </w:r>
          </w:p>
        </w:tc>
        <w:tc>
          <w:tcPr>
            <w:tcW w:w="1829" w:type="dxa"/>
            <w:gridSpan w:val="4"/>
            <w:tcBorders>
              <w:tl2br w:val="nil"/>
              <w:tr2bl w:val="nil"/>
            </w:tcBorders>
            <w:noWrap w:val="0"/>
            <w:vAlign w:val="center"/>
          </w:tcPr>
          <w:p w14:paraId="446CA9A8">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距室内边界距离/m</w:t>
            </w:r>
          </w:p>
        </w:tc>
        <w:tc>
          <w:tcPr>
            <w:tcW w:w="1764" w:type="dxa"/>
            <w:gridSpan w:val="4"/>
            <w:tcBorders>
              <w:tl2br w:val="nil"/>
              <w:tr2bl w:val="nil"/>
            </w:tcBorders>
            <w:noWrap w:val="0"/>
            <w:vAlign w:val="center"/>
          </w:tcPr>
          <w:p w14:paraId="449F43AD">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室内边界声级/dB(A)</w:t>
            </w:r>
          </w:p>
        </w:tc>
        <w:tc>
          <w:tcPr>
            <w:tcW w:w="521" w:type="dxa"/>
            <w:vMerge w:val="restart"/>
            <w:tcBorders>
              <w:tl2br w:val="nil"/>
              <w:tr2bl w:val="nil"/>
            </w:tcBorders>
            <w:noWrap w:val="0"/>
            <w:vAlign w:val="center"/>
          </w:tcPr>
          <w:p w14:paraId="29ECCB82">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运行</w:t>
            </w:r>
          </w:p>
          <w:p w14:paraId="2977A310">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时段</w:t>
            </w:r>
          </w:p>
        </w:tc>
        <w:tc>
          <w:tcPr>
            <w:tcW w:w="847" w:type="dxa"/>
            <w:vMerge w:val="restart"/>
            <w:tcBorders>
              <w:tl2br w:val="nil"/>
              <w:tr2bl w:val="nil"/>
            </w:tcBorders>
            <w:noWrap w:val="0"/>
            <w:vAlign w:val="center"/>
          </w:tcPr>
          <w:p w14:paraId="5315DD07">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建筑物插入损失dB(A)</w:t>
            </w:r>
          </w:p>
        </w:tc>
        <w:tc>
          <w:tcPr>
            <w:tcW w:w="2340" w:type="dxa"/>
            <w:gridSpan w:val="5"/>
            <w:tcBorders>
              <w:tl2br w:val="nil"/>
              <w:tr2bl w:val="nil"/>
            </w:tcBorders>
            <w:noWrap w:val="0"/>
            <w:vAlign w:val="center"/>
          </w:tcPr>
          <w:p w14:paraId="102F4B54">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建筑物外噪声</w:t>
            </w:r>
          </w:p>
        </w:tc>
      </w:tr>
      <w:tr w14:paraId="44861A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458" w:type="dxa"/>
            <w:vMerge w:val="continue"/>
            <w:tcBorders>
              <w:tl2br w:val="nil"/>
              <w:tr2bl w:val="nil"/>
            </w:tcBorders>
            <w:noWrap w:val="0"/>
            <w:vAlign w:val="center"/>
          </w:tcPr>
          <w:p w14:paraId="6A14E0D1">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4894DA75">
            <w:pPr>
              <w:spacing w:line="276" w:lineRule="auto"/>
              <w:jc w:val="center"/>
              <w:rPr>
                <w:rFonts w:hint="default" w:ascii="Times New Roman" w:hAnsi="Times New Roman" w:cs="Times New Roman"/>
                <w:color w:val="auto"/>
                <w:sz w:val="18"/>
                <w:szCs w:val="18"/>
              </w:rPr>
            </w:pPr>
          </w:p>
        </w:tc>
        <w:tc>
          <w:tcPr>
            <w:tcW w:w="1409" w:type="dxa"/>
            <w:vMerge w:val="continue"/>
            <w:tcBorders>
              <w:tl2br w:val="nil"/>
              <w:tr2bl w:val="nil"/>
            </w:tcBorders>
            <w:noWrap w:val="0"/>
            <w:vAlign w:val="center"/>
          </w:tcPr>
          <w:p w14:paraId="3A146D5E">
            <w:pPr>
              <w:spacing w:line="276" w:lineRule="auto"/>
              <w:jc w:val="center"/>
              <w:rPr>
                <w:rFonts w:hint="default" w:ascii="Times New Roman" w:hAnsi="Times New Roman" w:cs="Times New Roman"/>
                <w:color w:val="auto"/>
                <w:sz w:val="18"/>
                <w:szCs w:val="18"/>
              </w:rPr>
            </w:pPr>
          </w:p>
        </w:tc>
        <w:tc>
          <w:tcPr>
            <w:tcW w:w="777" w:type="dxa"/>
            <w:vMerge w:val="continue"/>
            <w:tcBorders>
              <w:tl2br w:val="nil"/>
              <w:tr2bl w:val="nil"/>
            </w:tcBorders>
            <w:noWrap w:val="0"/>
            <w:vAlign w:val="center"/>
          </w:tcPr>
          <w:p w14:paraId="2BC1C82B">
            <w:pPr>
              <w:spacing w:line="276" w:lineRule="auto"/>
              <w:jc w:val="center"/>
              <w:rPr>
                <w:rFonts w:hint="default" w:ascii="Times New Roman" w:hAnsi="Times New Roman" w:cs="Times New Roman"/>
                <w:color w:val="auto"/>
                <w:sz w:val="18"/>
                <w:szCs w:val="18"/>
              </w:rPr>
            </w:pPr>
          </w:p>
        </w:tc>
        <w:tc>
          <w:tcPr>
            <w:tcW w:w="1296" w:type="dxa"/>
            <w:vMerge w:val="continue"/>
            <w:tcBorders>
              <w:tl2br w:val="nil"/>
              <w:tr2bl w:val="nil"/>
            </w:tcBorders>
            <w:noWrap w:val="0"/>
            <w:vAlign w:val="center"/>
          </w:tcPr>
          <w:p w14:paraId="16FA5DCF">
            <w:pPr>
              <w:spacing w:line="276" w:lineRule="auto"/>
              <w:jc w:val="center"/>
              <w:rPr>
                <w:rFonts w:hint="default" w:ascii="Times New Roman" w:hAnsi="Times New Roman" w:cs="Times New Roman"/>
                <w:color w:val="auto"/>
                <w:sz w:val="18"/>
                <w:szCs w:val="18"/>
              </w:rPr>
            </w:pPr>
          </w:p>
        </w:tc>
        <w:tc>
          <w:tcPr>
            <w:tcW w:w="490" w:type="dxa"/>
            <w:vMerge w:val="restart"/>
            <w:tcBorders>
              <w:tl2br w:val="nil"/>
              <w:tr2bl w:val="nil"/>
            </w:tcBorders>
            <w:noWrap w:val="0"/>
            <w:vAlign w:val="center"/>
          </w:tcPr>
          <w:p w14:paraId="74E6DC8B">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X</w:t>
            </w:r>
          </w:p>
        </w:tc>
        <w:tc>
          <w:tcPr>
            <w:tcW w:w="555" w:type="dxa"/>
            <w:vMerge w:val="restart"/>
            <w:tcBorders>
              <w:tl2br w:val="nil"/>
              <w:tr2bl w:val="nil"/>
            </w:tcBorders>
            <w:noWrap w:val="0"/>
            <w:vAlign w:val="center"/>
          </w:tcPr>
          <w:p w14:paraId="7BA231C0">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Y</w:t>
            </w:r>
          </w:p>
        </w:tc>
        <w:tc>
          <w:tcPr>
            <w:tcW w:w="400" w:type="dxa"/>
            <w:vMerge w:val="restart"/>
            <w:tcBorders>
              <w:tl2br w:val="nil"/>
              <w:tr2bl w:val="nil"/>
            </w:tcBorders>
            <w:noWrap w:val="0"/>
            <w:vAlign w:val="center"/>
          </w:tcPr>
          <w:p w14:paraId="77835E8B">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Z</w:t>
            </w:r>
          </w:p>
        </w:tc>
        <w:tc>
          <w:tcPr>
            <w:tcW w:w="461" w:type="dxa"/>
            <w:vMerge w:val="restart"/>
            <w:tcBorders>
              <w:tl2br w:val="nil"/>
              <w:tr2bl w:val="nil"/>
            </w:tcBorders>
            <w:noWrap w:val="0"/>
            <w:vAlign w:val="center"/>
          </w:tcPr>
          <w:p w14:paraId="5B6FA9C2">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东</w:t>
            </w:r>
          </w:p>
        </w:tc>
        <w:tc>
          <w:tcPr>
            <w:tcW w:w="447" w:type="dxa"/>
            <w:vMerge w:val="restart"/>
            <w:tcBorders>
              <w:tl2br w:val="nil"/>
              <w:tr2bl w:val="nil"/>
            </w:tcBorders>
            <w:noWrap w:val="0"/>
            <w:vAlign w:val="center"/>
          </w:tcPr>
          <w:p w14:paraId="0935F457">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南</w:t>
            </w:r>
          </w:p>
        </w:tc>
        <w:tc>
          <w:tcPr>
            <w:tcW w:w="448" w:type="dxa"/>
            <w:vMerge w:val="restart"/>
            <w:tcBorders>
              <w:tl2br w:val="nil"/>
              <w:tr2bl w:val="nil"/>
            </w:tcBorders>
            <w:noWrap w:val="0"/>
            <w:vAlign w:val="center"/>
          </w:tcPr>
          <w:p w14:paraId="535DE1FC">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西</w:t>
            </w:r>
          </w:p>
        </w:tc>
        <w:tc>
          <w:tcPr>
            <w:tcW w:w="473" w:type="dxa"/>
            <w:vMerge w:val="restart"/>
            <w:tcBorders>
              <w:tl2br w:val="nil"/>
              <w:tr2bl w:val="nil"/>
            </w:tcBorders>
            <w:noWrap w:val="0"/>
            <w:vAlign w:val="center"/>
          </w:tcPr>
          <w:p w14:paraId="02DFB365">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北</w:t>
            </w:r>
          </w:p>
        </w:tc>
        <w:tc>
          <w:tcPr>
            <w:tcW w:w="448" w:type="dxa"/>
            <w:vMerge w:val="restart"/>
            <w:tcBorders>
              <w:tl2br w:val="nil"/>
              <w:tr2bl w:val="nil"/>
            </w:tcBorders>
            <w:noWrap w:val="0"/>
            <w:vAlign w:val="center"/>
          </w:tcPr>
          <w:p w14:paraId="623BEE6C">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东</w:t>
            </w:r>
          </w:p>
        </w:tc>
        <w:tc>
          <w:tcPr>
            <w:tcW w:w="447" w:type="dxa"/>
            <w:vMerge w:val="restart"/>
            <w:tcBorders>
              <w:tl2br w:val="nil"/>
              <w:tr2bl w:val="nil"/>
            </w:tcBorders>
            <w:noWrap w:val="0"/>
            <w:vAlign w:val="center"/>
          </w:tcPr>
          <w:p w14:paraId="15232C96">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南</w:t>
            </w:r>
          </w:p>
        </w:tc>
        <w:tc>
          <w:tcPr>
            <w:tcW w:w="421" w:type="dxa"/>
            <w:vMerge w:val="restart"/>
            <w:tcBorders>
              <w:tl2br w:val="nil"/>
              <w:tr2bl w:val="nil"/>
            </w:tcBorders>
            <w:noWrap w:val="0"/>
            <w:vAlign w:val="center"/>
          </w:tcPr>
          <w:p w14:paraId="5D5E9F0B">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西</w:t>
            </w:r>
          </w:p>
        </w:tc>
        <w:tc>
          <w:tcPr>
            <w:tcW w:w="448" w:type="dxa"/>
            <w:vMerge w:val="restart"/>
            <w:tcBorders>
              <w:tl2br w:val="nil"/>
              <w:tr2bl w:val="nil"/>
            </w:tcBorders>
            <w:noWrap w:val="0"/>
            <w:vAlign w:val="center"/>
          </w:tcPr>
          <w:p w14:paraId="730FCE81">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北</w:t>
            </w:r>
          </w:p>
        </w:tc>
        <w:tc>
          <w:tcPr>
            <w:tcW w:w="521" w:type="dxa"/>
            <w:vMerge w:val="continue"/>
            <w:tcBorders>
              <w:tl2br w:val="nil"/>
              <w:tr2bl w:val="nil"/>
            </w:tcBorders>
            <w:noWrap w:val="0"/>
            <w:vAlign w:val="center"/>
          </w:tcPr>
          <w:p w14:paraId="6C9AF417">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7D5E6D6E">
            <w:pPr>
              <w:spacing w:line="276" w:lineRule="auto"/>
              <w:jc w:val="center"/>
              <w:rPr>
                <w:rFonts w:hint="default" w:ascii="Times New Roman" w:hAnsi="Times New Roman" w:cs="Times New Roman"/>
                <w:color w:val="auto"/>
                <w:sz w:val="18"/>
                <w:szCs w:val="18"/>
              </w:rPr>
            </w:pPr>
          </w:p>
        </w:tc>
        <w:tc>
          <w:tcPr>
            <w:tcW w:w="1692" w:type="dxa"/>
            <w:gridSpan w:val="4"/>
            <w:tcBorders>
              <w:tl2br w:val="nil"/>
              <w:tr2bl w:val="nil"/>
            </w:tcBorders>
            <w:noWrap w:val="0"/>
            <w:vAlign w:val="center"/>
          </w:tcPr>
          <w:p w14:paraId="38B49400">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声压级/dB(A)</w:t>
            </w:r>
          </w:p>
        </w:tc>
        <w:tc>
          <w:tcPr>
            <w:tcW w:w="648" w:type="dxa"/>
            <w:vMerge w:val="restart"/>
            <w:tcBorders>
              <w:tl2br w:val="nil"/>
              <w:tr2bl w:val="nil"/>
            </w:tcBorders>
            <w:noWrap w:val="0"/>
            <w:vAlign w:val="center"/>
          </w:tcPr>
          <w:p w14:paraId="38AF1DB5">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建筑物外距离</w:t>
            </w:r>
          </w:p>
        </w:tc>
      </w:tr>
      <w:tr w14:paraId="084FD7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8" w:type="dxa"/>
            <w:vMerge w:val="continue"/>
            <w:tcBorders>
              <w:tl2br w:val="nil"/>
              <w:tr2bl w:val="nil"/>
            </w:tcBorders>
            <w:noWrap w:val="0"/>
            <w:vAlign w:val="center"/>
          </w:tcPr>
          <w:p w14:paraId="7C6053AB">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0DF025DF">
            <w:pPr>
              <w:spacing w:line="276" w:lineRule="auto"/>
              <w:jc w:val="center"/>
              <w:rPr>
                <w:rFonts w:hint="default" w:ascii="Times New Roman" w:hAnsi="Times New Roman" w:cs="Times New Roman"/>
                <w:color w:val="auto"/>
                <w:sz w:val="18"/>
                <w:szCs w:val="18"/>
              </w:rPr>
            </w:pPr>
          </w:p>
        </w:tc>
        <w:tc>
          <w:tcPr>
            <w:tcW w:w="1409" w:type="dxa"/>
            <w:vMerge w:val="continue"/>
            <w:tcBorders>
              <w:tl2br w:val="nil"/>
              <w:tr2bl w:val="nil"/>
            </w:tcBorders>
            <w:noWrap w:val="0"/>
            <w:vAlign w:val="center"/>
          </w:tcPr>
          <w:p w14:paraId="0387714C">
            <w:pPr>
              <w:spacing w:line="276" w:lineRule="auto"/>
              <w:jc w:val="center"/>
              <w:rPr>
                <w:rFonts w:hint="default" w:ascii="Times New Roman" w:hAnsi="Times New Roman" w:cs="Times New Roman"/>
                <w:color w:val="auto"/>
                <w:sz w:val="18"/>
                <w:szCs w:val="18"/>
              </w:rPr>
            </w:pPr>
          </w:p>
        </w:tc>
        <w:tc>
          <w:tcPr>
            <w:tcW w:w="777" w:type="dxa"/>
            <w:vMerge w:val="continue"/>
            <w:tcBorders>
              <w:tl2br w:val="nil"/>
              <w:tr2bl w:val="nil"/>
            </w:tcBorders>
            <w:noWrap w:val="0"/>
            <w:vAlign w:val="center"/>
          </w:tcPr>
          <w:p w14:paraId="24AE2917">
            <w:pPr>
              <w:spacing w:line="276" w:lineRule="auto"/>
              <w:jc w:val="center"/>
              <w:rPr>
                <w:rFonts w:hint="default" w:ascii="Times New Roman" w:hAnsi="Times New Roman" w:cs="Times New Roman"/>
                <w:color w:val="auto"/>
                <w:sz w:val="18"/>
                <w:szCs w:val="18"/>
              </w:rPr>
            </w:pPr>
          </w:p>
        </w:tc>
        <w:tc>
          <w:tcPr>
            <w:tcW w:w="1296" w:type="dxa"/>
            <w:vMerge w:val="continue"/>
            <w:tcBorders>
              <w:tl2br w:val="nil"/>
              <w:tr2bl w:val="nil"/>
            </w:tcBorders>
            <w:noWrap w:val="0"/>
            <w:vAlign w:val="center"/>
          </w:tcPr>
          <w:p w14:paraId="75F1401D">
            <w:pPr>
              <w:spacing w:line="276" w:lineRule="auto"/>
              <w:jc w:val="center"/>
              <w:rPr>
                <w:rFonts w:hint="default" w:ascii="Times New Roman" w:hAnsi="Times New Roman" w:cs="Times New Roman"/>
                <w:color w:val="auto"/>
                <w:sz w:val="18"/>
                <w:szCs w:val="18"/>
              </w:rPr>
            </w:pPr>
          </w:p>
        </w:tc>
        <w:tc>
          <w:tcPr>
            <w:tcW w:w="490" w:type="dxa"/>
            <w:vMerge w:val="continue"/>
            <w:tcBorders>
              <w:tl2br w:val="nil"/>
              <w:tr2bl w:val="nil"/>
            </w:tcBorders>
            <w:noWrap w:val="0"/>
            <w:vAlign w:val="center"/>
          </w:tcPr>
          <w:p w14:paraId="03C02C2E">
            <w:pPr>
              <w:spacing w:line="276" w:lineRule="auto"/>
              <w:jc w:val="center"/>
              <w:rPr>
                <w:rFonts w:hint="default" w:ascii="Times New Roman" w:hAnsi="Times New Roman" w:cs="Times New Roman"/>
                <w:color w:val="auto"/>
                <w:sz w:val="18"/>
                <w:szCs w:val="18"/>
              </w:rPr>
            </w:pPr>
          </w:p>
        </w:tc>
        <w:tc>
          <w:tcPr>
            <w:tcW w:w="555" w:type="dxa"/>
            <w:vMerge w:val="continue"/>
            <w:tcBorders>
              <w:tl2br w:val="nil"/>
              <w:tr2bl w:val="nil"/>
            </w:tcBorders>
            <w:noWrap w:val="0"/>
            <w:vAlign w:val="center"/>
          </w:tcPr>
          <w:p w14:paraId="583BC679">
            <w:pPr>
              <w:spacing w:line="276" w:lineRule="auto"/>
              <w:jc w:val="center"/>
              <w:rPr>
                <w:rFonts w:hint="default" w:ascii="Times New Roman" w:hAnsi="Times New Roman" w:cs="Times New Roman"/>
                <w:color w:val="auto"/>
                <w:sz w:val="18"/>
                <w:szCs w:val="18"/>
              </w:rPr>
            </w:pPr>
          </w:p>
        </w:tc>
        <w:tc>
          <w:tcPr>
            <w:tcW w:w="400" w:type="dxa"/>
            <w:vMerge w:val="continue"/>
            <w:tcBorders>
              <w:tl2br w:val="nil"/>
              <w:tr2bl w:val="nil"/>
            </w:tcBorders>
            <w:noWrap w:val="0"/>
            <w:vAlign w:val="center"/>
          </w:tcPr>
          <w:p w14:paraId="26494C24">
            <w:pPr>
              <w:spacing w:line="276" w:lineRule="auto"/>
              <w:jc w:val="center"/>
              <w:rPr>
                <w:rFonts w:hint="default" w:ascii="Times New Roman" w:hAnsi="Times New Roman" w:cs="Times New Roman"/>
                <w:color w:val="auto"/>
                <w:sz w:val="18"/>
                <w:szCs w:val="18"/>
              </w:rPr>
            </w:pPr>
          </w:p>
        </w:tc>
        <w:tc>
          <w:tcPr>
            <w:tcW w:w="461" w:type="dxa"/>
            <w:vMerge w:val="continue"/>
            <w:tcBorders>
              <w:tl2br w:val="nil"/>
              <w:tr2bl w:val="nil"/>
            </w:tcBorders>
            <w:noWrap w:val="0"/>
            <w:vAlign w:val="center"/>
          </w:tcPr>
          <w:p w14:paraId="190C47CE">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570C8774">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4E603DFC">
            <w:pPr>
              <w:spacing w:line="276" w:lineRule="auto"/>
              <w:jc w:val="center"/>
              <w:rPr>
                <w:rFonts w:hint="default" w:ascii="Times New Roman" w:hAnsi="Times New Roman" w:cs="Times New Roman"/>
                <w:color w:val="auto"/>
                <w:sz w:val="18"/>
                <w:szCs w:val="18"/>
              </w:rPr>
            </w:pPr>
          </w:p>
        </w:tc>
        <w:tc>
          <w:tcPr>
            <w:tcW w:w="473" w:type="dxa"/>
            <w:vMerge w:val="continue"/>
            <w:tcBorders>
              <w:tl2br w:val="nil"/>
              <w:tr2bl w:val="nil"/>
            </w:tcBorders>
            <w:noWrap w:val="0"/>
            <w:vAlign w:val="center"/>
          </w:tcPr>
          <w:p w14:paraId="45E7D326">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1D428A26">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563AC46A">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2D727E52">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08055359">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74B972E5">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68C0BAA9">
            <w:pPr>
              <w:spacing w:line="276" w:lineRule="auto"/>
              <w:jc w:val="center"/>
              <w:rPr>
                <w:rFonts w:hint="default" w:ascii="Times New Roman" w:hAnsi="Times New Roman" w:cs="Times New Roman"/>
                <w:color w:val="auto"/>
                <w:sz w:val="18"/>
                <w:szCs w:val="18"/>
              </w:rPr>
            </w:pPr>
          </w:p>
        </w:tc>
        <w:tc>
          <w:tcPr>
            <w:tcW w:w="408" w:type="dxa"/>
            <w:tcBorders>
              <w:tl2br w:val="nil"/>
              <w:tr2bl w:val="nil"/>
            </w:tcBorders>
            <w:noWrap w:val="0"/>
            <w:vAlign w:val="center"/>
          </w:tcPr>
          <w:p w14:paraId="6550A510">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东</w:t>
            </w:r>
          </w:p>
        </w:tc>
        <w:tc>
          <w:tcPr>
            <w:tcW w:w="460" w:type="dxa"/>
            <w:tcBorders>
              <w:tl2br w:val="nil"/>
              <w:tr2bl w:val="nil"/>
            </w:tcBorders>
            <w:noWrap w:val="0"/>
            <w:vAlign w:val="center"/>
          </w:tcPr>
          <w:p w14:paraId="3C416D87">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南</w:t>
            </w:r>
          </w:p>
        </w:tc>
        <w:tc>
          <w:tcPr>
            <w:tcW w:w="421" w:type="dxa"/>
            <w:tcBorders>
              <w:tl2br w:val="nil"/>
              <w:tr2bl w:val="nil"/>
            </w:tcBorders>
            <w:noWrap w:val="0"/>
            <w:vAlign w:val="center"/>
          </w:tcPr>
          <w:p w14:paraId="2CC90596">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西</w:t>
            </w:r>
          </w:p>
        </w:tc>
        <w:tc>
          <w:tcPr>
            <w:tcW w:w="403" w:type="dxa"/>
            <w:tcBorders>
              <w:tl2br w:val="nil"/>
              <w:tr2bl w:val="nil"/>
            </w:tcBorders>
            <w:noWrap w:val="0"/>
            <w:vAlign w:val="center"/>
          </w:tcPr>
          <w:p w14:paraId="67493B60">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北</w:t>
            </w:r>
          </w:p>
        </w:tc>
        <w:tc>
          <w:tcPr>
            <w:tcW w:w="648" w:type="dxa"/>
            <w:vMerge w:val="continue"/>
            <w:tcBorders>
              <w:tl2br w:val="nil"/>
              <w:tr2bl w:val="nil"/>
            </w:tcBorders>
            <w:noWrap w:val="0"/>
            <w:vAlign w:val="center"/>
          </w:tcPr>
          <w:p w14:paraId="13DA3F29">
            <w:pPr>
              <w:spacing w:line="276" w:lineRule="auto"/>
              <w:jc w:val="center"/>
              <w:rPr>
                <w:rFonts w:hint="default" w:ascii="Times New Roman" w:hAnsi="Times New Roman" w:cs="Times New Roman"/>
                <w:color w:val="auto"/>
                <w:sz w:val="18"/>
                <w:szCs w:val="18"/>
              </w:rPr>
            </w:pPr>
          </w:p>
        </w:tc>
      </w:tr>
      <w:tr w14:paraId="0B025C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458" w:type="dxa"/>
            <w:vMerge w:val="restart"/>
            <w:tcBorders>
              <w:tl2br w:val="nil"/>
              <w:tr2bl w:val="nil"/>
            </w:tcBorders>
            <w:noWrap w:val="0"/>
            <w:vAlign w:val="center"/>
          </w:tcPr>
          <w:p w14:paraId="4CDB38AA">
            <w:pPr>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生产车间</w:t>
            </w:r>
          </w:p>
        </w:tc>
        <w:tc>
          <w:tcPr>
            <w:tcW w:w="966" w:type="dxa"/>
            <w:vMerge w:val="restart"/>
            <w:tcBorders>
              <w:tl2br w:val="nil"/>
              <w:tr2bl w:val="nil"/>
            </w:tcBorders>
            <w:noWrap w:val="0"/>
            <w:vAlign w:val="center"/>
          </w:tcPr>
          <w:p w14:paraId="314738DD">
            <w:pPr>
              <w:spacing w:line="32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注塑机</w:t>
            </w:r>
          </w:p>
        </w:tc>
        <w:tc>
          <w:tcPr>
            <w:tcW w:w="1409" w:type="dxa"/>
            <w:tcBorders>
              <w:tl2br w:val="nil"/>
              <w:tr2bl w:val="nil"/>
            </w:tcBorders>
            <w:noWrap w:val="0"/>
            <w:vAlign w:val="center"/>
          </w:tcPr>
          <w:p w14:paraId="473C18BD">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UN260SKIII</w:t>
            </w:r>
          </w:p>
        </w:tc>
        <w:tc>
          <w:tcPr>
            <w:tcW w:w="777" w:type="dxa"/>
            <w:tcBorders>
              <w:tl2br w:val="nil"/>
              <w:tr2bl w:val="nil"/>
            </w:tcBorders>
            <w:noWrap w:val="0"/>
            <w:vAlign w:val="center"/>
          </w:tcPr>
          <w:p w14:paraId="0BF5C798">
            <w:pPr>
              <w:widowControl/>
              <w:spacing w:line="276"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75</w:t>
            </w:r>
          </w:p>
        </w:tc>
        <w:tc>
          <w:tcPr>
            <w:tcW w:w="1296" w:type="dxa"/>
            <w:vMerge w:val="restart"/>
            <w:tcBorders>
              <w:tl2br w:val="nil"/>
              <w:tr2bl w:val="nil"/>
            </w:tcBorders>
            <w:noWrap w:val="0"/>
            <w:vAlign w:val="center"/>
          </w:tcPr>
          <w:p w14:paraId="68F69ADB">
            <w:pPr>
              <w:widowControl/>
              <w:spacing w:line="276" w:lineRule="auto"/>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rPr>
              <w:t>建筑隔声</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基础减振</w:t>
            </w:r>
          </w:p>
        </w:tc>
        <w:tc>
          <w:tcPr>
            <w:tcW w:w="490" w:type="dxa"/>
            <w:tcBorders>
              <w:tl2br w:val="nil"/>
              <w:tr2bl w:val="nil"/>
            </w:tcBorders>
            <w:noWrap w:val="0"/>
            <w:vAlign w:val="center"/>
          </w:tcPr>
          <w:p w14:paraId="0D61E7DC">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22</w:t>
            </w:r>
          </w:p>
        </w:tc>
        <w:tc>
          <w:tcPr>
            <w:tcW w:w="555" w:type="dxa"/>
            <w:tcBorders>
              <w:tl2br w:val="nil"/>
              <w:tr2bl w:val="nil"/>
            </w:tcBorders>
            <w:noWrap w:val="0"/>
            <w:vAlign w:val="center"/>
          </w:tcPr>
          <w:p w14:paraId="00E5752D">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7C14B79D">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5ECE421C">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3</w:t>
            </w:r>
          </w:p>
        </w:tc>
        <w:tc>
          <w:tcPr>
            <w:tcW w:w="447" w:type="dxa"/>
            <w:tcBorders>
              <w:tl2br w:val="nil"/>
              <w:tr2bl w:val="nil"/>
            </w:tcBorders>
            <w:noWrap w:val="0"/>
            <w:vAlign w:val="center"/>
          </w:tcPr>
          <w:p w14:paraId="492EEFDE">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5</w:t>
            </w:r>
          </w:p>
        </w:tc>
        <w:tc>
          <w:tcPr>
            <w:tcW w:w="448" w:type="dxa"/>
            <w:tcBorders>
              <w:tl2br w:val="nil"/>
              <w:tr2bl w:val="nil"/>
            </w:tcBorders>
            <w:noWrap w:val="0"/>
            <w:vAlign w:val="center"/>
          </w:tcPr>
          <w:p w14:paraId="10D910C0">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47</w:t>
            </w:r>
          </w:p>
        </w:tc>
        <w:tc>
          <w:tcPr>
            <w:tcW w:w="473" w:type="dxa"/>
            <w:tcBorders>
              <w:tl2br w:val="nil"/>
              <w:tr2bl w:val="nil"/>
            </w:tcBorders>
            <w:noWrap w:val="0"/>
            <w:vAlign w:val="center"/>
          </w:tcPr>
          <w:p w14:paraId="2306EC9B">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448" w:type="dxa"/>
            <w:vMerge w:val="restart"/>
            <w:tcBorders>
              <w:tl2br w:val="nil"/>
              <w:tr2bl w:val="nil"/>
            </w:tcBorders>
            <w:noWrap w:val="0"/>
            <w:vAlign w:val="center"/>
          </w:tcPr>
          <w:p w14:paraId="17AD621D">
            <w:pPr>
              <w:spacing w:line="276" w:lineRule="auto"/>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64</w:t>
            </w:r>
          </w:p>
        </w:tc>
        <w:tc>
          <w:tcPr>
            <w:tcW w:w="447" w:type="dxa"/>
            <w:vMerge w:val="restart"/>
            <w:tcBorders>
              <w:tl2br w:val="nil"/>
              <w:tr2bl w:val="nil"/>
            </w:tcBorders>
            <w:noWrap w:val="0"/>
            <w:vAlign w:val="center"/>
          </w:tcPr>
          <w:p w14:paraId="4F3BA2E2">
            <w:pPr>
              <w:spacing w:line="276" w:lineRule="auto"/>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67</w:t>
            </w:r>
          </w:p>
        </w:tc>
        <w:tc>
          <w:tcPr>
            <w:tcW w:w="421" w:type="dxa"/>
            <w:vMerge w:val="restart"/>
            <w:tcBorders>
              <w:tl2br w:val="nil"/>
              <w:tr2bl w:val="nil"/>
            </w:tcBorders>
            <w:noWrap w:val="0"/>
            <w:vAlign w:val="center"/>
          </w:tcPr>
          <w:p w14:paraId="66256538">
            <w:pPr>
              <w:spacing w:line="276" w:lineRule="auto"/>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65</w:t>
            </w:r>
          </w:p>
        </w:tc>
        <w:tc>
          <w:tcPr>
            <w:tcW w:w="448" w:type="dxa"/>
            <w:vMerge w:val="restart"/>
            <w:tcBorders>
              <w:tl2br w:val="nil"/>
              <w:tr2bl w:val="nil"/>
            </w:tcBorders>
            <w:noWrap w:val="0"/>
            <w:vAlign w:val="center"/>
          </w:tcPr>
          <w:p w14:paraId="74E752DB">
            <w:pPr>
              <w:spacing w:line="276"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521" w:type="dxa"/>
            <w:vMerge w:val="restart"/>
            <w:tcBorders>
              <w:tl2br w:val="nil"/>
              <w:tr2bl w:val="nil"/>
            </w:tcBorders>
            <w:noWrap w:val="0"/>
            <w:vAlign w:val="center"/>
          </w:tcPr>
          <w:p w14:paraId="00DAAADD">
            <w:pPr>
              <w:spacing w:line="276"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昼间</w:t>
            </w:r>
            <w:r>
              <w:rPr>
                <w:rFonts w:hint="eastAsia" w:ascii="Times New Roman" w:hAnsi="Times New Roman" w:cs="Times New Roman"/>
                <w:color w:val="auto"/>
                <w:sz w:val="18"/>
                <w:szCs w:val="18"/>
                <w:lang w:val="en-US" w:eastAsia="zh-CN"/>
              </w:rPr>
              <w:t>、夜间</w:t>
            </w:r>
          </w:p>
        </w:tc>
        <w:tc>
          <w:tcPr>
            <w:tcW w:w="847" w:type="dxa"/>
            <w:vMerge w:val="restart"/>
            <w:tcBorders>
              <w:tl2br w:val="nil"/>
              <w:tr2bl w:val="nil"/>
            </w:tcBorders>
            <w:noWrap w:val="0"/>
            <w:vAlign w:val="center"/>
          </w:tcPr>
          <w:p w14:paraId="2AE59B1D">
            <w:pPr>
              <w:spacing w:line="276"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15</w:t>
            </w:r>
          </w:p>
        </w:tc>
        <w:tc>
          <w:tcPr>
            <w:tcW w:w="408" w:type="dxa"/>
            <w:vMerge w:val="restart"/>
            <w:tcBorders>
              <w:tl2br w:val="nil"/>
              <w:tr2bl w:val="nil"/>
            </w:tcBorders>
            <w:noWrap w:val="0"/>
            <w:vAlign w:val="center"/>
          </w:tcPr>
          <w:p w14:paraId="643B69FF">
            <w:pPr>
              <w:spacing w:line="276" w:lineRule="auto"/>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49</w:t>
            </w:r>
          </w:p>
        </w:tc>
        <w:tc>
          <w:tcPr>
            <w:tcW w:w="460" w:type="dxa"/>
            <w:vMerge w:val="restart"/>
            <w:tcBorders>
              <w:tl2br w:val="nil"/>
              <w:tr2bl w:val="nil"/>
            </w:tcBorders>
            <w:noWrap w:val="0"/>
            <w:vAlign w:val="center"/>
          </w:tcPr>
          <w:p w14:paraId="15316581">
            <w:pPr>
              <w:spacing w:line="276" w:lineRule="auto"/>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52</w:t>
            </w:r>
          </w:p>
        </w:tc>
        <w:tc>
          <w:tcPr>
            <w:tcW w:w="421" w:type="dxa"/>
            <w:vMerge w:val="restart"/>
            <w:tcBorders>
              <w:tl2br w:val="nil"/>
              <w:tr2bl w:val="nil"/>
            </w:tcBorders>
            <w:noWrap w:val="0"/>
            <w:vAlign w:val="center"/>
          </w:tcPr>
          <w:p w14:paraId="29BE1193">
            <w:pPr>
              <w:spacing w:line="276" w:lineRule="auto"/>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50</w:t>
            </w:r>
          </w:p>
        </w:tc>
        <w:tc>
          <w:tcPr>
            <w:tcW w:w="403" w:type="dxa"/>
            <w:vMerge w:val="restart"/>
            <w:tcBorders>
              <w:tl2br w:val="nil"/>
              <w:tr2bl w:val="nil"/>
            </w:tcBorders>
            <w:noWrap w:val="0"/>
            <w:vAlign w:val="center"/>
          </w:tcPr>
          <w:p w14:paraId="2920650D">
            <w:pPr>
              <w:spacing w:line="276" w:lineRule="auto"/>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648" w:type="dxa"/>
            <w:vMerge w:val="restart"/>
            <w:tcBorders>
              <w:tl2br w:val="nil"/>
              <w:tr2bl w:val="nil"/>
            </w:tcBorders>
            <w:noWrap w:val="0"/>
            <w:vAlign w:val="center"/>
          </w:tcPr>
          <w:p w14:paraId="68FBF145">
            <w:pPr>
              <w:spacing w:line="276"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1</w:t>
            </w:r>
          </w:p>
        </w:tc>
      </w:tr>
      <w:tr w14:paraId="264ACA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458" w:type="dxa"/>
            <w:vMerge w:val="continue"/>
            <w:tcBorders>
              <w:tl2br w:val="nil"/>
              <w:tr2bl w:val="nil"/>
            </w:tcBorders>
            <w:noWrap w:val="0"/>
            <w:vAlign w:val="center"/>
          </w:tcPr>
          <w:p w14:paraId="17F32378">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168693EC">
            <w:pPr>
              <w:spacing w:line="320" w:lineRule="exact"/>
              <w:jc w:val="center"/>
              <w:rPr>
                <w:rFonts w:hint="default" w:ascii="Times New Roman" w:hAnsi="Times New Roman" w:cs="Times New Roman"/>
                <w:color w:val="auto"/>
                <w:sz w:val="18"/>
                <w:szCs w:val="18"/>
              </w:rPr>
            </w:pPr>
          </w:p>
        </w:tc>
        <w:tc>
          <w:tcPr>
            <w:tcW w:w="1409" w:type="dxa"/>
            <w:tcBorders>
              <w:tl2br w:val="nil"/>
              <w:tr2bl w:val="nil"/>
            </w:tcBorders>
            <w:noWrap w:val="0"/>
            <w:vAlign w:val="center"/>
          </w:tcPr>
          <w:p w14:paraId="488047B0">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UN260SKIII</w:t>
            </w:r>
          </w:p>
        </w:tc>
        <w:tc>
          <w:tcPr>
            <w:tcW w:w="777" w:type="dxa"/>
            <w:tcBorders>
              <w:tl2br w:val="nil"/>
              <w:tr2bl w:val="nil"/>
            </w:tcBorders>
            <w:noWrap w:val="0"/>
            <w:vAlign w:val="center"/>
          </w:tcPr>
          <w:p w14:paraId="763487AF">
            <w:pPr>
              <w:widowControl/>
              <w:spacing w:line="276"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75</w:t>
            </w:r>
          </w:p>
        </w:tc>
        <w:tc>
          <w:tcPr>
            <w:tcW w:w="1296" w:type="dxa"/>
            <w:vMerge w:val="continue"/>
            <w:tcBorders>
              <w:tl2br w:val="nil"/>
              <w:tr2bl w:val="nil"/>
            </w:tcBorders>
            <w:noWrap w:val="0"/>
            <w:vAlign w:val="center"/>
          </w:tcPr>
          <w:p w14:paraId="574AB84C">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741775D1">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19</w:t>
            </w:r>
          </w:p>
        </w:tc>
        <w:tc>
          <w:tcPr>
            <w:tcW w:w="555" w:type="dxa"/>
            <w:tcBorders>
              <w:tl2br w:val="nil"/>
              <w:tr2bl w:val="nil"/>
            </w:tcBorders>
            <w:noWrap w:val="0"/>
            <w:vAlign w:val="center"/>
          </w:tcPr>
          <w:p w14:paraId="3A4E7FA4">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45241EAA">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18CEC466">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6</w:t>
            </w:r>
          </w:p>
        </w:tc>
        <w:tc>
          <w:tcPr>
            <w:tcW w:w="447" w:type="dxa"/>
            <w:tcBorders>
              <w:tl2br w:val="nil"/>
              <w:tr2bl w:val="nil"/>
            </w:tcBorders>
            <w:noWrap w:val="0"/>
            <w:vAlign w:val="center"/>
          </w:tcPr>
          <w:p w14:paraId="57F89635">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5</w:t>
            </w:r>
          </w:p>
        </w:tc>
        <w:tc>
          <w:tcPr>
            <w:tcW w:w="448" w:type="dxa"/>
            <w:tcBorders>
              <w:tl2br w:val="nil"/>
              <w:tr2bl w:val="nil"/>
            </w:tcBorders>
            <w:noWrap w:val="0"/>
            <w:vAlign w:val="center"/>
          </w:tcPr>
          <w:p w14:paraId="11BDFEC5">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44</w:t>
            </w:r>
          </w:p>
        </w:tc>
        <w:tc>
          <w:tcPr>
            <w:tcW w:w="473" w:type="dxa"/>
            <w:tcBorders>
              <w:tl2br w:val="nil"/>
              <w:tr2bl w:val="nil"/>
            </w:tcBorders>
            <w:noWrap w:val="0"/>
            <w:vAlign w:val="center"/>
          </w:tcPr>
          <w:p w14:paraId="7AAC6CCE">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3F0A8352">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1128129D">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75B5298F">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69D0432E">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547B91E4">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4C0D20F1">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6D954A87">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0C67C1E2">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15EFFA31">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7DD81FCB">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3144D3C6">
            <w:pPr>
              <w:spacing w:line="276" w:lineRule="auto"/>
              <w:jc w:val="center"/>
              <w:rPr>
                <w:rFonts w:hint="default" w:ascii="Times New Roman" w:hAnsi="Times New Roman" w:cs="Times New Roman"/>
                <w:color w:val="auto"/>
                <w:sz w:val="18"/>
                <w:szCs w:val="18"/>
              </w:rPr>
            </w:pPr>
          </w:p>
        </w:tc>
      </w:tr>
      <w:tr w14:paraId="1B6DE6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09" w:hRule="atLeast"/>
          <w:jc w:val="center"/>
        </w:trPr>
        <w:tc>
          <w:tcPr>
            <w:tcW w:w="458" w:type="dxa"/>
            <w:vMerge w:val="continue"/>
            <w:tcBorders>
              <w:tl2br w:val="nil"/>
              <w:tr2bl w:val="nil"/>
            </w:tcBorders>
            <w:noWrap w:val="0"/>
            <w:vAlign w:val="center"/>
          </w:tcPr>
          <w:p w14:paraId="217A4ECC">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615D7BB2">
            <w:pPr>
              <w:pStyle w:val="113"/>
              <w:spacing w:line="240" w:lineRule="auto"/>
              <w:jc w:val="center"/>
              <w:rPr>
                <w:rFonts w:hint="default" w:ascii="Times New Roman" w:hAnsi="Times New Roman" w:eastAsia="宋体" w:cs="Times New Roman"/>
                <w:color w:val="auto"/>
                <w:kern w:val="0"/>
                <w:sz w:val="18"/>
                <w:szCs w:val="18"/>
                <w:lang w:val="en-US" w:eastAsia="zh-CN" w:bidi="ar"/>
              </w:rPr>
            </w:pPr>
          </w:p>
        </w:tc>
        <w:tc>
          <w:tcPr>
            <w:tcW w:w="1409" w:type="dxa"/>
            <w:tcBorders>
              <w:tl2br w:val="nil"/>
              <w:tr2bl w:val="nil"/>
            </w:tcBorders>
            <w:noWrap w:val="0"/>
            <w:vAlign w:val="center"/>
          </w:tcPr>
          <w:p w14:paraId="0A17AD6C">
            <w:pPr>
              <w:spacing w:line="240" w:lineRule="auto"/>
              <w:jc w:val="center"/>
              <w:rPr>
                <w:rFonts w:hint="default" w:ascii="Times New Roman" w:hAnsi="Times New Roman" w:eastAsia="宋体" w:cs="Times New Roman"/>
                <w:color w:val="auto"/>
                <w:kern w:val="0"/>
                <w:sz w:val="18"/>
                <w:szCs w:val="18"/>
                <w:lang w:val="en-US" w:eastAsia="zh-CN" w:bidi="ar"/>
              </w:rPr>
            </w:pPr>
            <w:r>
              <w:rPr>
                <w:rFonts w:hint="eastAsia" w:ascii="Times New Roman" w:hAnsi="Times New Roman" w:eastAsia="宋体" w:cs="Times New Roman"/>
                <w:color w:val="auto"/>
                <w:sz w:val="18"/>
                <w:szCs w:val="18"/>
                <w:lang w:val="en-US" w:eastAsia="zh-CN"/>
              </w:rPr>
              <w:t>UN260SKIII</w:t>
            </w:r>
          </w:p>
        </w:tc>
        <w:tc>
          <w:tcPr>
            <w:tcW w:w="777" w:type="dxa"/>
            <w:tcBorders>
              <w:tl2br w:val="nil"/>
              <w:tr2bl w:val="nil"/>
            </w:tcBorders>
            <w:noWrap w:val="0"/>
            <w:vAlign w:val="center"/>
          </w:tcPr>
          <w:p w14:paraId="47E23D09">
            <w:pPr>
              <w:widowControl/>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75</w:t>
            </w:r>
          </w:p>
        </w:tc>
        <w:tc>
          <w:tcPr>
            <w:tcW w:w="1296" w:type="dxa"/>
            <w:vMerge w:val="continue"/>
            <w:tcBorders>
              <w:tl2br w:val="nil"/>
              <w:tr2bl w:val="nil"/>
            </w:tcBorders>
            <w:noWrap w:val="0"/>
            <w:vAlign w:val="center"/>
          </w:tcPr>
          <w:p w14:paraId="18EF2256">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2624C7CB">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16</w:t>
            </w:r>
          </w:p>
        </w:tc>
        <w:tc>
          <w:tcPr>
            <w:tcW w:w="555" w:type="dxa"/>
            <w:tcBorders>
              <w:tl2br w:val="nil"/>
              <w:tr2bl w:val="nil"/>
            </w:tcBorders>
            <w:noWrap w:val="0"/>
            <w:vAlign w:val="center"/>
          </w:tcPr>
          <w:p w14:paraId="7C5E121C">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01C0DF29">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4A79281B">
            <w:pPr>
              <w:keepNext w:val="0"/>
              <w:keepLines w:val="0"/>
              <w:widowControl/>
              <w:suppressLineNumbers w:val="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9</w:t>
            </w:r>
          </w:p>
        </w:tc>
        <w:tc>
          <w:tcPr>
            <w:tcW w:w="447" w:type="dxa"/>
            <w:tcBorders>
              <w:tl2br w:val="nil"/>
              <w:tr2bl w:val="nil"/>
            </w:tcBorders>
            <w:noWrap w:val="0"/>
            <w:vAlign w:val="center"/>
          </w:tcPr>
          <w:p w14:paraId="26088C93">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5</w:t>
            </w:r>
          </w:p>
        </w:tc>
        <w:tc>
          <w:tcPr>
            <w:tcW w:w="448" w:type="dxa"/>
            <w:tcBorders>
              <w:tl2br w:val="nil"/>
              <w:tr2bl w:val="nil"/>
            </w:tcBorders>
            <w:noWrap w:val="0"/>
            <w:vAlign w:val="center"/>
          </w:tcPr>
          <w:p w14:paraId="2E6AD9C7">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41</w:t>
            </w:r>
          </w:p>
        </w:tc>
        <w:tc>
          <w:tcPr>
            <w:tcW w:w="473" w:type="dxa"/>
            <w:tcBorders>
              <w:tl2br w:val="nil"/>
              <w:tr2bl w:val="nil"/>
            </w:tcBorders>
            <w:noWrap w:val="0"/>
            <w:vAlign w:val="center"/>
          </w:tcPr>
          <w:p w14:paraId="67E7E671">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573EC2CC">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696D3A4D">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5E48DE80">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1522DEE9">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251B16E6">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51A26D9E">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6077A19C">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5695C463">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2CA947C8">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02093BFA">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2AC9DC36">
            <w:pPr>
              <w:spacing w:line="276" w:lineRule="auto"/>
              <w:jc w:val="center"/>
              <w:rPr>
                <w:rFonts w:hint="default" w:ascii="Times New Roman" w:hAnsi="Times New Roman" w:cs="Times New Roman"/>
                <w:color w:val="auto"/>
                <w:sz w:val="18"/>
                <w:szCs w:val="18"/>
              </w:rPr>
            </w:pPr>
          </w:p>
        </w:tc>
      </w:tr>
      <w:tr w14:paraId="66EF2D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458" w:type="dxa"/>
            <w:vMerge w:val="continue"/>
            <w:tcBorders>
              <w:tl2br w:val="nil"/>
              <w:tr2bl w:val="nil"/>
            </w:tcBorders>
            <w:noWrap w:val="0"/>
            <w:vAlign w:val="center"/>
          </w:tcPr>
          <w:p w14:paraId="466440D0">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17845CF0">
            <w:pPr>
              <w:spacing w:line="320" w:lineRule="exact"/>
              <w:jc w:val="center"/>
              <w:rPr>
                <w:rFonts w:hint="default" w:ascii="Times New Roman" w:hAnsi="Times New Roman" w:eastAsia="宋体" w:cs="Times New Roman"/>
                <w:color w:val="auto"/>
                <w:sz w:val="18"/>
                <w:szCs w:val="18"/>
                <w:lang w:val="en-US" w:eastAsia="zh-CN"/>
              </w:rPr>
            </w:pPr>
          </w:p>
        </w:tc>
        <w:tc>
          <w:tcPr>
            <w:tcW w:w="1409" w:type="dxa"/>
            <w:tcBorders>
              <w:tl2br w:val="nil"/>
              <w:tr2bl w:val="nil"/>
            </w:tcBorders>
            <w:noWrap w:val="0"/>
            <w:vAlign w:val="center"/>
          </w:tcPr>
          <w:p w14:paraId="2B71771E">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UN260SKIII</w:t>
            </w:r>
          </w:p>
        </w:tc>
        <w:tc>
          <w:tcPr>
            <w:tcW w:w="777" w:type="dxa"/>
            <w:tcBorders>
              <w:tl2br w:val="nil"/>
              <w:tr2bl w:val="nil"/>
            </w:tcBorders>
            <w:noWrap w:val="0"/>
            <w:vAlign w:val="center"/>
          </w:tcPr>
          <w:p w14:paraId="51735C45">
            <w:pPr>
              <w:widowControl/>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75</w:t>
            </w:r>
          </w:p>
        </w:tc>
        <w:tc>
          <w:tcPr>
            <w:tcW w:w="1296" w:type="dxa"/>
            <w:vMerge w:val="continue"/>
            <w:tcBorders>
              <w:tl2br w:val="nil"/>
              <w:tr2bl w:val="nil"/>
            </w:tcBorders>
            <w:noWrap w:val="0"/>
            <w:vAlign w:val="center"/>
          </w:tcPr>
          <w:p w14:paraId="54D24FB1">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4497B014">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13</w:t>
            </w:r>
          </w:p>
        </w:tc>
        <w:tc>
          <w:tcPr>
            <w:tcW w:w="555" w:type="dxa"/>
            <w:tcBorders>
              <w:tl2br w:val="nil"/>
              <w:tr2bl w:val="nil"/>
            </w:tcBorders>
            <w:noWrap w:val="0"/>
            <w:vAlign w:val="center"/>
          </w:tcPr>
          <w:p w14:paraId="394A57B4">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46CAFE99">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778F42B0">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12</w:t>
            </w:r>
          </w:p>
        </w:tc>
        <w:tc>
          <w:tcPr>
            <w:tcW w:w="447" w:type="dxa"/>
            <w:tcBorders>
              <w:tl2br w:val="nil"/>
              <w:tr2bl w:val="nil"/>
            </w:tcBorders>
            <w:noWrap w:val="0"/>
            <w:vAlign w:val="center"/>
          </w:tcPr>
          <w:p w14:paraId="6A59E201">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5</w:t>
            </w:r>
          </w:p>
        </w:tc>
        <w:tc>
          <w:tcPr>
            <w:tcW w:w="448" w:type="dxa"/>
            <w:tcBorders>
              <w:tl2br w:val="nil"/>
              <w:tr2bl w:val="nil"/>
            </w:tcBorders>
            <w:noWrap w:val="0"/>
            <w:vAlign w:val="center"/>
          </w:tcPr>
          <w:p w14:paraId="205E8B0C">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38</w:t>
            </w:r>
          </w:p>
        </w:tc>
        <w:tc>
          <w:tcPr>
            <w:tcW w:w="473" w:type="dxa"/>
            <w:tcBorders>
              <w:tl2br w:val="nil"/>
              <w:tr2bl w:val="nil"/>
            </w:tcBorders>
            <w:noWrap w:val="0"/>
            <w:vAlign w:val="center"/>
          </w:tcPr>
          <w:p w14:paraId="2494155C">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77CD8CEB">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0D112231">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3C7131C4">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68A292D9">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78D3EFB2">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5D4346E3">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6F25D8CD">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6CC5CBC9">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7062E52A">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1BD5E871">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7E86FF44">
            <w:pPr>
              <w:spacing w:line="276" w:lineRule="auto"/>
              <w:jc w:val="center"/>
              <w:rPr>
                <w:rFonts w:hint="default" w:ascii="Times New Roman" w:hAnsi="Times New Roman" w:cs="Times New Roman"/>
                <w:color w:val="auto"/>
                <w:sz w:val="18"/>
                <w:szCs w:val="18"/>
              </w:rPr>
            </w:pPr>
          </w:p>
        </w:tc>
      </w:tr>
      <w:tr w14:paraId="116F60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15" w:hRule="atLeast"/>
          <w:jc w:val="center"/>
        </w:trPr>
        <w:tc>
          <w:tcPr>
            <w:tcW w:w="458" w:type="dxa"/>
            <w:vMerge w:val="continue"/>
            <w:tcBorders>
              <w:tl2br w:val="nil"/>
              <w:tr2bl w:val="nil"/>
            </w:tcBorders>
            <w:noWrap w:val="0"/>
            <w:vAlign w:val="center"/>
          </w:tcPr>
          <w:p w14:paraId="4F5A0371">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191DD0A3">
            <w:pPr>
              <w:spacing w:line="320" w:lineRule="exact"/>
              <w:jc w:val="center"/>
              <w:rPr>
                <w:rFonts w:hint="default" w:ascii="Times New Roman" w:hAnsi="Times New Roman" w:cs="Times New Roman"/>
                <w:color w:val="auto"/>
                <w:sz w:val="18"/>
                <w:szCs w:val="18"/>
              </w:rPr>
            </w:pPr>
          </w:p>
        </w:tc>
        <w:tc>
          <w:tcPr>
            <w:tcW w:w="1409" w:type="dxa"/>
            <w:tcBorders>
              <w:tl2br w:val="nil"/>
              <w:tr2bl w:val="nil"/>
            </w:tcBorders>
            <w:noWrap w:val="0"/>
            <w:vAlign w:val="center"/>
          </w:tcPr>
          <w:p w14:paraId="7EEA1BC9">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UN260SKIII</w:t>
            </w:r>
          </w:p>
        </w:tc>
        <w:tc>
          <w:tcPr>
            <w:tcW w:w="777" w:type="dxa"/>
            <w:tcBorders>
              <w:tl2br w:val="nil"/>
              <w:tr2bl w:val="nil"/>
            </w:tcBorders>
            <w:noWrap w:val="0"/>
            <w:vAlign w:val="center"/>
          </w:tcPr>
          <w:p w14:paraId="71A27F7A">
            <w:pPr>
              <w:widowControl/>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75</w:t>
            </w:r>
          </w:p>
        </w:tc>
        <w:tc>
          <w:tcPr>
            <w:tcW w:w="1296" w:type="dxa"/>
            <w:vMerge w:val="continue"/>
            <w:tcBorders>
              <w:tl2br w:val="nil"/>
              <w:tr2bl w:val="nil"/>
            </w:tcBorders>
            <w:noWrap w:val="0"/>
            <w:vAlign w:val="center"/>
          </w:tcPr>
          <w:p w14:paraId="5F92B29D">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2E3CF659">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10</w:t>
            </w:r>
          </w:p>
        </w:tc>
        <w:tc>
          <w:tcPr>
            <w:tcW w:w="555" w:type="dxa"/>
            <w:tcBorders>
              <w:tl2br w:val="nil"/>
              <w:tr2bl w:val="nil"/>
            </w:tcBorders>
            <w:noWrap w:val="0"/>
            <w:vAlign w:val="center"/>
          </w:tcPr>
          <w:p w14:paraId="58554AC6">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2566E22C">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104A84B9">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15</w:t>
            </w:r>
          </w:p>
        </w:tc>
        <w:tc>
          <w:tcPr>
            <w:tcW w:w="447" w:type="dxa"/>
            <w:tcBorders>
              <w:tl2br w:val="nil"/>
              <w:tr2bl w:val="nil"/>
            </w:tcBorders>
            <w:noWrap w:val="0"/>
            <w:vAlign w:val="center"/>
          </w:tcPr>
          <w:p w14:paraId="771611C2">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5</w:t>
            </w:r>
          </w:p>
        </w:tc>
        <w:tc>
          <w:tcPr>
            <w:tcW w:w="448" w:type="dxa"/>
            <w:tcBorders>
              <w:tl2br w:val="nil"/>
              <w:tr2bl w:val="nil"/>
            </w:tcBorders>
            <w:noWrap w:val="0"/>
            <w:vAlign w:val="center"/>
          </w:tcPr>
          <w:p w14:paraId="3AACC92C">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35</w:t>
            </w:r>
          </w:p>
        </w:tc>
        <w:tc>
          <w:tcPr>
            <w:tcW w:w="473" w:type="dxa"/>
            <w:tcBorders>
              <w:tl2br w:val="nil"/>
              <w:tr2bl w:val="nil"/>
            </w:tcBorders>
            <w:noWrap w:val="0"/>
            <w:vAlign w:val="center"/>
          </w:tcPr>
          <w:p w14:paraId="055A3C0B">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35AFF29D">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27140623">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7AFE795C">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6AFC59AB">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73F05EF9">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40A0C993">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21F6DEE4">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50A2A113">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036BDC55">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6DC0CAA1">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140AD1EB">
            <w:pPr>
              <w:spacing w:line="276" w:lineRule="auto"/>
              <w:jc w:val="center"/>
              <w:rPr>
                <w:rFonts w:hint="default" w:ascii="Times New Roman" w:hAnsi="Times New Roman" w:cs="Times New Roman"/>
                <w:color w:val="auto"/>
                <w:sz w:val="18"/>
                <w:szCs w:val="18"/>
              </w:rPr>
            </w:pPr>
          </w:p>
        </w:tc>
      </w:tr>
      <w:tr w14:paraId="18BA4F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8" w:type="dxa"/>
            <w:vMerge w:val="continue"/>
            <w:tcBorders>
              <w:tl2br w:val="nil"/>
              <w:tr2bl w:val="nil"/>
            </w:tcBorders>
            <w:noWrap w:val="0"/>
            <w:vAlign w:val="center"/>
          </w:tcPr>
          <w:p w14:paraId="77222539">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3D6CFCD3">
            <w:pPr>
              <w:spacing w:line="320" w:lineRule="exact"/>
              <w:jc w:val="center"/>
              <w:rPr>
                <w:rFonts w:hint="default" w:ascii="Times New Roman" w:hAnsi="Times New Roman" w:cs="Times New Roman"/>
                <w:color w:val="auto"/>
                <w:sz w:val="18"/>
                <w:szCs w:val="18"/>
              </w:rPr>
            </w:pPr>
          </w:p>
        </w:tc>
        <w:tc>
          <w:tcPr>
            <w:tcW w:w="1409" w:type="dxa"/>
            <w:tcBorders>
              <w:tl2br w:val="nil"/>
              <w:tr2bl w:val="nil"/>
            </w:tcBorders>
            <w:noWrap w:val="0"/>
            <w:vAlign w:val="center"/>
          </w:tcPr>
          <w:p w14:paraId="660D7250">
            <w:pPr>
              <w:spacing w:line="320" w:lineRule="exact"/>
              <w:jc w:val="center"/>
              <w:rPr>
                <w:rFonts w:hint="default" w:ascii="Times New Roman" w:hAnsi="Times New Roman" w:cs="Times New Roman"/>
                <w:color w:val="auto"/>
                <w:sz w:val="18"/>
                <w:szCs w:val="18"/>
              </w:rPr>
            </w:pPr>
            <w:r>
              <w:rPr>
                <w:rFonts w:hint="eastAsia" w:ascii="Times New Roman" w:hAnsi="Times New Roman" w:eastAsia="宋体" w:cs="Times New Roman"/>
                <w:color w:val="auto"/>
                <w:sz w:val="18"/>
                <w:szCs w:val="18"/>
                <w:lang w:val="en-US" w:eastAsia="zh-CN"/>
              </w:rPr>
              <w:t>UN260SKIII</w:t>
            </w:r>
          </w:p>
        </w:tc>
        <w:tc>
          <w:tcPr>
            <w:tcW w:w="777" w:type="dxa"/>
            <w:tcBorders>
              <w:tl2br w:val="nil"/>
              <w:tr2bl w:val="nil"/>
            </w:tcBorders>
            <w:noWrap w:val="0"/>
            <w:vAlign w:val="center"/>
          </w:tcPr>
          <w:p w14:paraId="0410C049">
            <w:pPr>
              <w:widowControl/>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75</w:t>
            </w:r>
          </w:p>
        </w:tc>
        <w:tc>
          <w:tcPr>
            <w:tcW w:w="1296" w:type="dxa"/>
            <w:vMerge w:val="continue"/>
            <w:tcBorders>
              <w:tl2br w:val="nil"/>
              <w:tr2bl w:val="nil"/>
            </w:tcBorders>
            <w:noWrap w:val="0"/>
            <w:vAlign w:val="center"/>
          </w:tcPr>
          <w:p w14:paraId="00E91CF7">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13383196">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7</w:t>
            </w:r>
          </w:p>
        </w:tc>
        <w:tc>
          <w:tcPr>
            <w:tcW w:w="555" w:type="dxa"/>
            <w:tcBorders>
              <w:tl2br w:val="nil"/>
              <w:tr2bl w:val="nil"/>
            </w:tcBorders>
            <w:noWrap w:val="0"/>
            <w:vAlign w:val="center"/>
          </w:tcPr>
          <w:p w14:paraId="47B885C7">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7A6BD654">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5A9E8B15">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18</w:t>
            </w:r>
          </w:p>
        </w:tc>
        <w:tc>
          <w:tcPr>
            <w:tcW w:w="447" w:type="dxa"/>
            <w:tcBorders>
              <w:tl2br w:val="nil"/>
              <w:tr2bl w:val="nil"/>
            </w:tcBorders>
            <w:noWrap w:val="0"/>
            <w:vAlign w:val="center"/>
          </w:tcPr>
          <w:p w14:paraId="3663F98E">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5</w:t>
            </w:r>
          </w:p>
        </w:tc>
        <w:tc>
          <w:tcPr>
            <w:tcW w:w="448" w:type="dxa"/>
            <w:tcBorders>
              <w:tl2br w:val="nil"/>
              <w:tr2bl w:val="nil"/>
            </w:tcBorders>
            <w:noWrap w:val="0"/>
            <w:vAlign w:val="center"/>
          </w:tcPr>
          <w:p w14:paraId="1509914D">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32</w:t>
            </w:r>
          </w:p>
        </w:tc>
        <w:tc>
          <w:tcPr>
            <w:tcW w:w="473" w:type="dxa"/>
            <w:tcBorders>
              <w:tl2br w:val="nil"/>
              <w:tr2bl w:val="nil"/>
            </w:tcBorders>
            <w:noWrap w:val="0"/>
            <w:vAlign w:val="center"/>
          </w:tcPr>
          <w:p w14:paraId="1F3280D2">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3298319A">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63290F61">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015B0E0B">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2A104A8E">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54E8B9C1">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230CFFAE">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7C0F785C">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0DC8B88F">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2F180052">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10A36FE7">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31EE6C53">
            <w:pPr>
              <w:spacing w:line="276" w:lineRule="auto"/>
              <w:jc w:val="center"/>
              <w:rPr>
                <w:rFonts w:hint="default" w:ascii="Times New Roman" w:hAnsi="Times New Roman" w:cs="Times New Roman"/>
                <w:color w:val="auto"/>
                <w:sz w:val="18"/>
                <w:szCs w:val="18"/>
              </w:rPr>
            </w:pPr>
          </w:p>
        </w:tc>
      </w:tr>
      <w:tr w14:paraId="5F11AF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8" w:type="dxa"/>
            <w:vMerge w:val="continue"/>
            <w:tcBorders>
              <w:tl2br w:val="nil"/>
              <w:tr2bl w:val="nil"/>
            </w:tcBorders>
            <w:noWrap w:val="0"/>
            <w:vAlign w:val="center"/>
          </w:tcPr>
          <w:p w14:paraId="16786ACB">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0D64C06E">
            <w:pPr>
              <w:spacing w:line="320" w:lineRule="exact"/>
              <w:jc w:val="center"/>
              <w:rPr>
                <w:rFonts w:hint="default" w:ascii="Times New Roman" w:hAnsi="Times New Roman" w:cs="Times New Roman"/>
                <w:color w:val="auto"/>
                <w:sz w:val="18"/>
                <w:szCs w:val="18"/>
              </w:rPr>
            </w:pPr>
          </w:p>
        </w:tc>
        <w:tc>
          <w:tcPr>
            <w:tcW w:w="1409" w:type="dxa"/>
            <w:tcBorders>
              <w:tl2br w:val="nil"/>
              <w:tr2bl w:val="nil"/>
            </w:tcBorders>
            <w:noWrap w:val="0"/>
            <w:vAlign w:val="center"/>
          </w:tcPr>
          <w:p w14:paraId="125EC1E9">
            <w:pPr>
              <w:spacing w:line="320" w:lineRule="exact"/>
              <w:jc w:val="center"/>
              <w:rPr>
                <w:rFonts w:hint="default" w:ascii="Times New Roman" w:hAnsi="Times New Roman" w:cs="Times New Roman"/>
                <w:color w:val="auto"/>
                <w:sz w:val="18"/>
                <w:szCs w:val="18"/>
              </w:rPr>
            </w:pPr>
            <w:r>
              <w:rPr>
                <w:rFonts w:hint="eastAsia" w:ascii="Times New Roman" w:hAnsi="Times New Roman" w:eastAsia="宋体" w:cs="Times New Roman"/>
                <w:color w:val="auto"/>
                <w:sz w:val="18"/>
                <w:szCs w:val="18"/>
                <w:lang w:val="en-US" w:eastAsia="zh-CN"/>
              </w:rPr>
              <w:t>UN260SKIII</w:t>
            </w:r>
          </w:p>
        </w:tc>
        <w:tc>
          <w:tcPr>
            <w:tcW w:w="777" w:type="dxa"/>
            <w:tcBorders>
              <w:tl2br w:val="nil"/>
              <w:tr2bl w:val="nil"/>
            </w:tcBorders>
            <w:noWrap w:val="0"/>
            <w:vAlign w:val="center"/>
          </w:tcPr>
          <w:p w14:paraId="155D5AFE">
            <w:pPr>
              <w:widowControl/>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75</w:t>
            </w:r>
          </w:p>
        </w:tc>
        <w:tc>
          <w:tcPr>
            <w:tcW w:w="1296" w:type="dxa"/>
            <w:vMerge w:val="continue"/>
            <w:tcBorders>
              <w:tl2br w:val="nil"/>
              <w:tr2bl w:val="nil"/>
            </w:tcBorders>
            <w:noWrap w:val="0"/>
            <w:vAlign w:val="center"/>
          </w:tcPr>
          <w:p w14:paraId="64E46CDC">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0B9BBADE">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4</w:t>
            </w:r>
          </w:p>
        </w:tc>
        <w:tc>
          <w:tcPr>
            <w:tcW w:w="555" w:type="dxa"/>
            <w:tcBorders>
              <w:tl2br w:val="nil"/>
              <w:tr2bl w:val="nil"/>
            </w:tcBorders>
            <w:noWrap w:val="0"/>
            <w:vAlign w:val="center"/>
          </w:tcPr>
          <w:p w14:paraId="23F19F4A">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5F2F441C">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171C658B">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21</w:t>
            </w:r>
          </w:p>
        </w:tc>
        <w:tc>
          <w:tcPr>
            <w:tcW w:w="447" w:type="dxa"/>
            <w:tcBorders>
              <w:tl2br w:val="nil"/>
              <w:tr2bl w:val="nil"/>
            </w:tcBorders>
            <w:noWrap w:val="0"/>
            <w:vAlign w:val="center"/>
          </w:tcPr>
          <w:p w14:paraId="3C2D7381">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5</w:t>
            </w:r>
          </w:p>
        </w:tc>
        <w:tc>
          <w:tcPr>
            <w:tcW w:w="448" w:type="dxa"/>
            <w:tcBorders>
              <w:tl2br w:val="nil"/>
              <w:tr2bl w:val="nil"/>
            </w:tcBorders>
            <w:noWrap w:val="0"/>
            <w:vAlign w:val="center"/>
          </w:tcPr>
          <w:p w14:paraId="3F9D7190">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29</w:t>
            </w:r>
          </w:p>
        </w:tc>
        <w:tc>
          <w:tcPr>
            <w:tcW w:w="473" w:type="dxa"/>
            <w:tcBorders>
              <w:tl2br w:val="nil"/>
              <w:tr2bl w:val="nil"/>
            </w:tcBorders>
            <w:noWrap w:val="0"/>
            <w:vAlign w:val="center"/>
          </w:tcPr>
          <w:p w14:paraId="272348F6">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62D638F1">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73366F6D">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1B1C9221">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50D734E8">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79925D89">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3C934D38">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5952F37A">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26074A41">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28C0338D">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7C9CD44B">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3246F218">
            <w:pPr>
              <w:spacing w:line="276" w:lineRule="auto"/>
              <w:jc w:val="center"/>
              <w:rPr>
                <w:rFonts w:hint="default" w:ascii="Times New Roman" w:hAnsi="Times New Roman" w:cs="Times New Roman"/>
                <w:color w:val="auto"/>
                <w:sz w:val="18"/>
                <w:szCs w:val="18"/>
              </w:rPr>
            </w:pPr>
          </w:p>
        </w:tc>
      </w:tr>
      <w:tr w14:paraId="493D27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3" w:hRule="atLeast"/>
          <w:jc w:val="center"/>
        </w:trPr>
        <w:tc>
          <w:tcPr>
            <w:tcW w:w="458" w:type="dxa"/>
            <w:vMerge w:val="continue"/>
            <w:tcBorders>
              <w:tl2br w:val="nil"/>
              <w:tr2bl w:val="nil"/>
            </w:tcBorders>
            <w:noWrap w:val="0"/>
            <w:vAlign w:val="center"/>
          </w:tcPr>
          <w:p w14:paraId="677A3FFB">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5C964A41">
            <w:pPr>
              <w:spacing w:line="320" w:lineRule="exact"/>
              <w:jc w:val="center"/>
              <w:rPr>
                <w:rFonts w:hint="default" w:ascii="Times New Roman" w:hAnsi="Times New Roman" w:cs="Times New Roman"/>
                <w:color w:val="auto"/>
                <w:sz w:val="18"/>
                <w:szCs w:val="18"/>
              </w:rPr>
            </w:pPr>
          </w:p>
        </w:tc>
        <w:tc>
          <w:tcPr>
            <w:tcW w:w="1409" w:type="dxa"/>
            <w:tcBorders>
              <w:tl2br w:val="nil"/>
              <w:tr2bl w:val="nil"/>
            </w:tcBorders>
            <w:noWrap w:val="0"/>
            <w:vAlign w:val="center"/>
          </w:tcPr>
          <w:p w14:paraId="5679FDA2">
            <w:pPr>
              <w:spacing w:line="320" w:lineRule="exact"/>
              <w:jc w:val="center"/>
              <w:rPr>
                <w:rFonts w:hint="default" w:ascii="Times New Roman" w:hAnsi="Times New Roman" w:cs="Times New Roman"/>
                <w:color w:val="auto"/>
                <w:sz w:val="18"/>
                <w:szCs w:val="18"/>
              </w:rPr>
            </w:pPr>
            <w:r>
              <w:rPr>
                <w:rFonts w:hint="eastAsia" w:ascii="Times New Roman" w:hAnsi="Times New Roman" w:eastAsia="宋体" w:cs="Times New Roman"/>
                <w:color w:val="auto"/>
                <w:sz w:val="18"/>
                <w:szCs w:val="18"/>
                <w:lang w:val="en-US" w:eastAsia="zh-CN"/>
              </w:rPr>
              <w:t>UN260SKIII</w:t>
            </w:r>
          </w:p>
        </w:tc>
        <w:tc>
          <w:tcPr>
            <w:tcW w:w="777" w:type="dxa"/>
            <w:tcBorders>
              <w:tl2br w:val="nil"/>
              <w:tr2bl w:val="nil"/>
            </w:tcBorders>
            <w:noWrap w:val="0"/>
            <w:vAlign w:val="center"/>
          </w:tcPr>
          <w:p w14:paraId="28525841">
            <w:pPr>
              <w:widowControl/>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75</w:t>
            </w:r>
          </w:p>
        </w:tc>
        <w:tc>
          <w:tcPr>
            <w:tcW w:w="1296" w:type="dxa"/>
            <w:vMerge w:val="continue"/>
            <w:tcBorders>
              <w:tl2br w:val="nil"/>
              <w:tr2bl w:val="nil"/>
            </w:tcBorders>
            <w:noWrap w:val="0"/>
            <w:vAlign w:val="center"/>
          </w:tcPr>
          <w:p w14:paraId="55702E4C">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7DC05792">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1</w:t>
            </w:r>
          </w:p>
        </w:tc>
        <w:tc>
          <w:tcPr>
            <w:tcW w:w="555" w:type="dxa"/>
            <w:tcBorders>
              <w:tl2br w:val="nil"/>
              <w:tr2bl w:val="nil"/>
            </w:tcBorders>
            <w:noWrap w:val="0"/>
            <w:vAlign w:val="center"/>
          </w:tcPr>
          <w:p w14:paraId="7261ADDD">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699D2F17">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7701FD7B">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24</w:t>
            </w:r>
          </w:p>
        </w:tc>
        <w:tc>
          <w:tcPr>
            <w:tcW w:w="447" w:type="dxa"/>
            <w:tcBorders>
              <w:tl2br w:val="nil"/>
              <w:tr2bl w:val="nil"/>
            </w:tcBorders>
            <w:noWrap w:val="0"/>
            <w:vAlign w:val="center"/>
          </w:tcPr>
          <w:p w14:paraId="21A3BA08">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5</w:t>
            </w:r>
          </w:p>
        </w:tc>
        <w:tc>
          <w:tcPr>
            <w:tcW w:w="448" w:type="dxa"/>
            <w:tcBorders>
              <w:tl2br w:val="nil"/>
              <w:tr2bl w:val="nil"/>
            </w:tcBorders>
            <w:noWrap w:val="0"/>
            <w:vAlign w:val="center"/>
          </w:tcPr>
          <w:p w14:paraId="6D2BADB1">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26</w:t>
            </w:r>
          </w:p>
        </w:tc>
        <w:tc>
          <w:tcPr>
            <w:tcW w:w="473" w:type="dxa"/>
            <w:tcBorders>
              <w:tl2br w:val="nil"/>
              <w:tr2bl w:val="nil"/>
            </w:tcBorders>
            <w:noWrap w:val="0"/>
            <w:vAlign w:val="center"/>
          </w:tcPr>
          <w:p w14:paraId="364C60C6">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6457CC0D">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22861DC7">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349BB636">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20558E29">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2A16A9A2">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4E2C1119">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7F993677">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69B89E30">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652B85F4">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7E81FA84">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47BBF229">
            <w:pPr>
              <w:spacing w:line="276" w:lineRule="auto"/>
              <w:jc w:val="center"/>
              <w:rPr>
                <w:rFonts w:hint="default" w:ascii="Times New Roman" w:hAnsi="Times New Roman" w:cs="Times New Roman"/>
                <w:color w:val="auto"/>
                <w:sz w:val="18"/>
                <w:szCs w:val="18"/>
              </w:rPr>
            </w:pPr>
          </w:p>
        </w:tc>
      </w:tr>
      <w:tr w14:paraId="6876FD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458" w:type="dxa"/>
            <w:vMerge w:val="continue"/>
            <w:tcBorders>
              <w:tl2br w:val="nil"/>
              <w:tr2bl w:val="nil"/>
            </w:tcBorders>
            <w:noWrap w:val="0"/>
            <w:vAlign w:val="center"/>
          </w:tcPr>
          <w:p w14:paraId="4797A0B2">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446818E5">
            <w:pPr>
              <w:spacing w:line="320" w:lineRule="exact"/>
              <w:jc w:val="center"/>
              <w:rPr>
                <w:rFonts w:hint="default" w:ascii="Times New Roman" w:hAnsi="Times New Roman" w:cs="Times New Roman"/>
                <w:color w:val="auto"/>
                <w:sz w:val="18"/>
                <w:szCs w:val="18"/>
              </w:rPr>
            </w:pPr>
          </w:p>
        </w:tc>
        <w:tc>
          <w:tcPr>
            <w:tcW w:w="1409" w:type="dxa"/>
            <w:tcBorders>
              <w:tl2br w:val="nil"/>
              <w:tr2bl w:val="nil"/>
            </w:tcBorders>
            <w:noWrap w:val="0"/>
            <w:vAlign w:val="center"/>
          </w:tcPr>
          <w:p w14:paraId="2DB27980">
            <w:pPr>
              <w:spacing w:line="320" w:lineRule="exact"/>
              <w:jc w:val="center"/>
              <w:rPr>
                <w:rFonts w:hint="default" w:ascii="Times New Roman" w:hAnsi="Times New Roman" w:cs="Times New Roman"/>
                <w:color w:val="auto"/>
                <w:sz w:val="18"/>
                <w:szCs w:val="18"/>
              </w:rPr>
            </w:pPr>
            <w:r>
              <w:rPr>
                <w:rFonts w:hint="eastAsia" w:ascii="Times New Roman" w:hAnsi="Times New Roman" w:eastAsia="宋体" w:cs="Times New Roman"/>
                <w:color w:val="auto"/>
                <w:sz w:val="18"/>
                <w:szCs w:val="18"/>
                <w:lang w:val="en-US" w:eastAsia="zh-CN"/>
              </w:rPr>
              <w:t>UN160SKIII</w:t>
            </w:r>
          </w:p>
        </w:tc>
        <w:tc>
          <w:tcPr>
            <w:tcW w:w="777" w:type="dxa"/>
            <w:tcBorders>
              <w:tl2br w:val="nil"/>
              <w:tr2bl w:val="nil"/>
            </w:tcBorders>
            <w:noWrap w:val="0"/>
            <w:vAlign w:val="center"/>
          </w:tcPr>
          <w:p w14:paraId="6F34FFEF">
            <w:pPr>
              <w:widowControl/>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75</w:t>
            </w:r>
          </w:p>
        </w:tc>
        <w:tc>
          <w:tcPr>
            <w:tcW w:w="1296" w:type="dxa"/>
            <w:vMerge w:val="continue"/>
            <w:tcBorders>
              <w:tl2br w:val="nil"/>
              <w:tr2bl w:val="nil"/>
            </w:tcBorders>
            <w:noWrap w:val="0"/>
            <w:vAlign w:val="center"/>
          </w:tcPr>
          <w:p w14:paraId="2C0BDAD9">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38A6D92F">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-2</w:t>
            </w:r>
          </w:p>
        </w:tc>
        <w:tc>
          <w:tcPr>
            <w:tcW w:w="555" w:type="dxa"/>
            <w:tcBorders>
              <w:tl2br w:val="nil"/>
              <w:tr2bl w:val="nil"/>
            </w:tcBorders>
            <w:noWrap w:val="0"/>
            <w:vAlign w:val="center"/>
          </w:tcPr>
          <w:p w14:paraId="4A591AA2">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29A08F93">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7C6E3050">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27</w:t>
            </w:r>
          </w:p>
        </w:tc>
        <w:tc>
          <w:tcPr>
            <w:tcW w:w="447" w:type="dxa"/>
            <w:tcBorders>
              <w:tl2br w:val="nil"/>
              <w:tr2bl w:val="nil"/>
            </w:tcBorders>
            <w:noWrap w:val="0"/>
            <w:vAlign w:val="center"/>
          </w:tcPr>
          <w:p w14:paraId="2EDBB329">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5</w:t>
            </w:r>
          </w:p>
        </w:tc>
        <w:tc>
          <w:tcPr>
            <w:tcW w:w="448" w:type="dxa"/>
            <w:tcBorders>
              <w:tl2br w:val="nil"/>
              <w:tr2bl w:val="nil"/>
            </w:tcBorders>
            <w:noWrap w:val="0"/>
            <w:vAlign w:val="center"/>
          </w:tcPr>
          <w:p w14:paraId="1B5DDDC5">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23</w:t>
            </w:r>
          </w:p>
        </w:tc>
        <w:tc>
          <w:tcPr>
            <w:tcW w:w="473" w:type="dxa"/>
            <w:tcBorders>
              <w:tl2br w:val="nil"/>
              <w:tr2bl w:val="nil"/>
            </w:tcBorders>
            <w:noWrap w:val="0"/>
            <w:vAlign w:val="center"/>
          </w:tcPr>
          <w:p w14:paraId="5BF23DE3">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3627D84F">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2BDDF62E">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4AE1B960">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258640DF">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37228E7E">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02A787CA">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7D621825">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695881CE">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60A811D8">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2A65D132">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33436660">
            <w:pPr>
              <w:spacing w:line="276" w:lineRule="auto"/>
              <w:jc w:val="center"/>
              <w:rPr>
                <w:rFonts w:hint="default" w:ascii="Times New Roman" w:hAnsi="Times New Roman" w:cs="Times New Roman"/>
                <w:color w:val="auto"/>
                <w:sz w:val="18"/>
                <w:szCs w:val="18"/>
              </w:rPr>
            </w:pPr>
          </w:p>
        </w:tc>
      </w:tr>
      <w:tr w14:paraId="284F81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458" w:type="dxa"/>
            <w:vMerge w:val="continue"/>
            <w:tcBorders>
              <w:tl2br w:val="nil"/>
              <w:tr2bl w:val="nil"/>
            </w:tcBorders>
            <w:noWrap w:val="0"/>
            <w:vAlign w:val="center"/>
          </w:tcPr>
          <w:p w14:paraId="5AC7B6BC">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23AD360B">
            <w:pPr>
              <w:spacing w:line="320" w:lineRule="exact"/>
              <w:jc w:val="center"/>
              <w:rPr>
                <w:rFonts w:hint="default" w:ascii="Times New Roman" w:hAnsi="Times New Roman" w:cs="Times New Roman"/>
                <w:color w:val="auto"/>
                <w:sz w:val="18"/>
                <w:szCs w:val="18"/>
              </w:rPr>
            </w:pPr>
          </w:p>
        </w:tc>
        <w:tc>
          <w:tcPr>
            <w:tcW w:w="1409" w:type="dxa"/>
            <w:tcBorders>
              <w:tl2br w:val="nil"/>
              <w:tr2bl w:val="nil"/>
            </w:tcBorders>
            <w:noWrap w:val="0"/>
            <w:vAlign w:val="center"/>
          </w:tcPr>
          <w:p w14:paraId="00DC2486">
            <w:pPr>
              <w:spacing w:line="320" w:lineRule="exact"/>
              <w:jc w:val="center"/>
              <w:rPr>
                <w:rFonts w:hint="default" w:ascii="Times New Roman" w:hAnsi="Times New Roman" w:cs="Times New Roman"/>
                <w:color w:val="auto"/>
                <w:sz w:val="18"/>
                <w:szCs w:val="18"/>
              </w:rPr>
            </w:pPr>
            <w:r>
              <w:rPr>
                <w:rFonts w:hint="eastAsia" w:ascii="Times New Roman" w:hAnsi="Times New Roman" w:eastAsia="宋体" w:cs="Times New Roman"/>
                <w:color w:val="auto"/>
                <w:sz w:val="18"/>
                <w:szCs w:val="18"/>
                <w:lang w:val="en-US" w:eastAsia="zh-CN"/>
              </w:rPr>
              <w:t>UN160SKIII</w:t>
            </w:r>
          </w:p>
        </w:tc>
        <w:tc>
          <w:tcPr>
            <w:tcW w:w="777" w:type="dxa"/>
            <w:tcBorders>
              <w:tl2br w:val="nil"/>
              <w:tr2bl w:val="nil"/>
            </w:tcBorders>
            <w:noWrap w:val="0"/>
            <w:vAlign w:val="center"/>
          </w:tcPr>
          <w:p w14:paraId="6EAE0570">
            <w:pPr>
              <w:widowControl/>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75</w:t>
            </w:r>
          </w:p>
        </w:tc>
        <w:tc>
          <w:tcPr>
            <w:tcW w:w="1296" w:type="dxa"/>
            <w:vMerge w:val="continue"/>
            <w:tcBorders>
              <w:tl2br w:val="nil"/>
              <w:tr2bl w:val="nil"/>
            </w:tcBorders>
            <w:noWrap w:val="0"/>
            <w:vAlign w:val="center"/>
          </w:tcPr>
          <w:p w14:paraId="356D1148">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13796966">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-5</w:t>
            </w:r>
          </w:p>
        </w:tc>
        <w:tc>
          <w:tcPr>
            <w:tcW w:w="555" w:type="dxa"/>
            <w:tcBorders>
              <w:tl2br w:val="nil"/>
              <w:tr2bl w:val="nil"/>
            </w:tcBorders>
            <w:noWrap w:val="0"/>
            <w:vAlign w:val="center"/>
          </w:tcPr>
          <w:p w14:paraId="11D99073">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1F008E14">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4F2963B4">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30</w:t>
            </w:r>
          </w:p>
        </w:tc>
        <w:tc>
          <w:tcPr>
            <w:tcW w:w="447" w:type="dxa"/>
            <w:tcBorders>
              <w:tl2br w:val="nil"/>
              <w:tr2bl w:val="nil"/>
            </w:tcBorders>
            <w:noWrap w:val="0"/>
            <w:vAlign w:val="center"/>
          </w:tcPr>
          <w:p w14:paraId="6C830A56">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5</w:t>
            </w:r>
          </w:p>
        </w:tc>
        <w:tc>
          <w:tcPr>
            <w:tcW w:w="448" w:type="dxa"/>
            <w:tcBorders>
              <w:tl2br w:val="nil"/>
              <w:tr2bl w:val="nil"/>
            </w:tcBorders>
            <w:noWrap w:val="0"/>
            <w:vAlign w:val="center"/>
          </w:tcPr>
          <w:p w14:paraId="78FA99E5">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20</w:t>
            </w:r>
          </w:p>
        </w:tc>
        <w:tc>
          <w:tcPr>
            <w:tcW w:w="473" w:type="dxa"/>
            <w:tcBorders>
              <w:tl2br w:val="nil"/>
              <w:tr2bl w:val="nil"/>
            </w:tcBorders>
            <w:noWrap w:val="0"/>
            <w:vAlign w:val="center"/>
          </w:tcPr>
          <w:p w14:paraId="7F2CC0F6">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56BE4E69">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55F4B7BC">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372888CE">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1648D699">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1A426E30">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4EFF5543">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207F23A9">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3A593A4F">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6C0FA6FE">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2863A73A">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56EDFEED">
            <w:pPr>
              <w:spacing w:line="276" w:lineRule="auto"/>
              <w:jc w:val="center"/>
              <w:rPr>
                <w:rFonts w:hint="default" w:ascii="Times New Roman" w:hAnsi="Times New Roman" w:cs="Times New Roman"/>
                <w:color w:val="auto"/>
                <w:sz w:val="18"/>
                <w:szCs w:val="18"/>
              </w:rPr>
            </w:pPr>
          </w:p>
        </w:tc>
      </w:tr>
      <w:tr w14:paraId="292F34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458" w:type="dxa"/>
            <w:vMerge w:val="continue"/>
            <w:tcBorders>
              <w:tl2br w:val="nil"/>
              <w:tr2bl w:val="nil"/>
            </w:tcBorders>
            <w:noWrap w:val="0"/>
            <w:vAlign w:val="center"/>
          </w:tcPr>
          <w:p w14:paraId="6562015C">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3629C603">
            <w:pPr>
              <w:spacing w:line="320" w:lineRule="exact"/>
              <w:jc w:val="center"/>
              <w:rPr>
                <w:rFonts w:hint="default" w:ascii="Times New Roman" w:hAnsi="Times New Roman" w:cs="Times New Roman"/>
                <w:color w:val="auto"/>
                <w:sz w:val="18"/>
                <w:szCs w:val="18"/>
              </w:rPr>
            </w:pPr>
          </w:p>
        </w:tc>
        <w:tc>
          <w:tcPr>
            <w:tcW w:w="1409" w:type="dxa"/>
            <w:tcBorders>
              <w:tl2br w:val="nil"/>
              <w:tr2bl w:val="nil"/>
            </w:tcBorders>
            <w:noWrap w:val="0"/>
            <w:vAlign w:val="center"/>
          </w:tcPr>
          <w:p w14:paraId="327CD98D">
            <w:pPr>
              <w:spacing w:line="32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UN160SKIII</w:t>
            </w:r>
          </w:p>
        </w:tc>
        <w:tc>
          <w:tcPr>
            <w:tcW w:w="777" w:type="dxa"/>
            <w:tcBorders>
              <w:tl2br w:val="nil"/>
              <w:tr2bl w:val="nil"/>
            </w:tcBorders>
            <w:noWrap w:val="0"/>
            <w:vAlign w:val="center"/>
          </w:tcPr>
          <w:p w14:paraId="067C005E">
            <w:pPr>
              <w:widowControl/>
              <w:spacing w:line="276"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75</w:t>
            </w:r>
          </w:p>
        </w:tc>
        <w:tc>
          <w:tcPr>
            <w:tcW w:w="1296" w:type="dxa"/>
            <w:vMerge w:val="continue"/>
            <w:tcBorders>
              <w:tl2br w:val="nil"/>
              <w:tr2bl w:val="nil"/>
            </w:tcBorders>
            <w:noWrap w:val="0"/>
            <w:vAlign w:val="center"/>
          </w:tcPr>
          <w:p w14:paraId="0595021F">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72328EA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-8</w:t>
            </w:r>
          </w:p>
        </w:tc>
        <w:tc>
          <w:tcPr>
            <w:tcW w:w="555" w:type="dxa"/>
            <w:tcBorders>
              <w:tl2br w:val="nil"/>
              <w:tr2bl w:val="nil"/>
            </w:tcBorders>
            <w:noWrap w:val="0"/>
            <w:vAlign w:val="center"/>
          </w:tcPr>
          <w:p w14:paraId="3DABF82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7EF27C3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45F2003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33</w:t>
            </w:r>
          </w:p>
        </w:tc>
        <w:tc>
          <w:tcPr>
            <w:tcW w:w="447" w:type="dxa"/>
            <w:tcBorders>
              <w:tl2br w:val="nil"/>
              <w:tr2bl w:val="nil"/>
            </w:tcBorders>
            <w:noWrap w:val="0"/>
            <w:vAlign w:val="center"/>
          </w:tcPr>
          <w:p w14:paraId="1C939A4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5</w:t>
            </w:r>
          </w:p>
        </w:tc>
        <w:tc>
          <w:tcPr>
            <w:tcW w:w="448" w:type="dxa"/>
            <w:tcBorders>
              <w:tl2br w:val="nil"/>
              <w:tr2bl w:val="nil"/>
            </w:tcBorders>
            <w:noWrap w:val="0"/>
            <w:vAlign w:val="center"/>
          </w:tcPr>
          <w:p w14:paraId="3EE211C4">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w:t>
            </w:r>
          </w:p>
        </w:tc>
        <w:tc>
          <w:tcPr>
            <w:tcW w:w="473" w:type="dxa"/>
            <w:tcBorders>
              <w:tl2br w:val="nil"/>
              <w:tr2bl w:val="nil"/>
            </w:tcBorders>
            <w:noWrap w:val="0"/>
            <w:vAlign w:val="center"/>
          </w:tcPr>
          <w:p w14:paraId="4554D86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1E9EF3A6">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2E446DC0">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04B7D1EE">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70FC55E2">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50209E68">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662BCBBC">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747565BB">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64B610F9">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35492AF8">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1765BCD3">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16E98776">
            <w:pPr>
              <w:spacing w:line="276" w:lineRule="auto"/>
              <w:jc w:val="center"/>
              <w:rPr>
                <w:rFonts w:hint="default" w:ascii="Times New Roman" w:hAnsi="Times New Roman" w:cs="Times New Roman"/>
                <w:color w:val="auto"/>
                <w:sz w:val="18"/>
                <w:szCs w:val="18"/>
              </w:rPr>
            </w:pPr>
          </w:p>
        </w:tc>
      </w:tr>
      <w:tr w14:paraId="0087E2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15" w:hRule="atLeast"/>
          <w:jc w:val="center"/>
        </w:trPr>
        <w:tc>
          <w:tcPr>
            <w:tcW w:w="458" w:type="dxa"/>
            <w:vMerge w:val="continue"/>
            <w:tcBorders>
              <w:tl2br w:val="nil"/>
              <w:tr2bl w:val="nil"/>
            </w:tcBorders>
            <w:noWrap w:val="0"/>
            <w:vAlign w:val="center"/>
          </w:tcPr>
          <w:p w14:paraId="11F21566">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16719BF7">
            <w:pPr>
              <w:spacing w:line="320" w:lineRule="exact"/>
              <w:jc w:val="center"/>
              <w:rPr>
                <w:rFonts w:hint="default" w:ascii="Times New Roman" w:hAnsi="Times New Roman" w:cs="Times New Roman"/>
                <w:color w:val="auto"/>
                <w:sz w:val="18"/>
                <w:szCs w:val="18"/>
              </w:rPr>
            </w:pPr>
          </w:p>
        </w:tc>
        <w:tc>
          <w:tcPr>
            <w:tcW w:w="1409" w:type="dxa"/>
            <w:tcBorders>
              <w:tl2br w:val="nil"/>
              <w:tr2bl w:val="nil"/>
            </w:tcBorders>
            <w:noWrap w:val="0"/>
            <w:vAlign w:val="center"/>
          </w:tcPr>
          <w:p w14:paraId="090EEEA5">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UN160SKIII</w:t>
            </w:r>
          </w:p>
        </w:tc>
        <w:tc>
          <w:tcPr>
            <w:tcW w:w="777" w:type="dxa"/>
            <w:tcBorders>
              <w:tl2br w:val="nil"/>
              <w:tr2bl w:val="nil"/>
            </w:tcBorders>
            <w:noWrap w:val="0"/>
            <w:vAlign w:val="center"/>
          </w:tcPr>
          <w:p w14:paraId="0CDB9BB5">
            <w:pPr>
              <w:widowControl/>
              <w:spacing w:line="276"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75</w:t>
            </w:r>
          </w:p>
        </w:tc>
        <w:tc>
          <w:tcPr>
            <w:tcW w:w="1296" w:type="dxa"/>
            <w:vMerge w:val="continue"/>
            <w:tcBorders>
              <w:tl2br w:val="nil"/>
              <w:tr2bl w:val="nil"/>
            </w:tcBorders>
            <w:noWrap w:val="0"/>
            <w:vAlign w:val="center"/>
          </w:tcPr>
          <w:p w14:paraId="2B618AD5">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06BCC31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-11</w:t>
            </w:r>
          </w:p>
        </w:tc>
        <w:tc>
          <w:tcPr>
            <w:tcW w:w="555" w:type="dxa"/>
            <w:tcBorders>
              <w:tl2br w:val="nil"/>
              <w:tr2bl w:val="nil"/>
            </w:tcBorders>
            <w:noWrap w:val="0"/>
            <w:vAlign w:val="center"/>
          </w:tcPr>
          <w:p w14:paraId="44025A0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1E04EE0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28C9689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36</w:t>
            </w:r>
          </w:p>
        </w:tc>
        <w:tc>
          <w:tcPr>
            <w:tcW w:w="447" w:type="dxa"/>
            <w:tcBorders>
              <w:tl2br w:val="nil"/>
              <w:tr2bl w:val="nil"/>
            </w:tcBorders>
            <w:noWrap w:val="0"/>
            <w:vAlign w:val="center"/>
          </w:tcPr>
          <w:p w14:paraId="5129F8B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5</w:t>
            </w:r>
          </w:p>
        </w:tc>
        <w:tc>
          <w:tcPr>
            <w:tcW w:w="448" w:type="dxa"/>
            <w:tcBorders>
              <w:tl2br w:val="nil"/>
              <w:tr2bl w:val="nil"/>
            </w:tcBorders>
            <w:noWrap w:val="0"/>
            <w:vAlign w:val="center"/>
          </w:tcPr>
          <w:p w14:paraId="6B336879">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14</w:t>
            </w:r>
          </w:p>
        </w:tc>
        <w:tc>
          <w:tcPr>
            <w:tcW w:w="473" w:type="dxa"/>
            <w:tcBorders>
              <w:tl2br w:val="nil"/>
              <w:tr2bl w:val="nil"/>
            </w:tcBorders>
            <w:noWrap w:val="0"/>
            <w:vAlign w:val="center"/>
          </w:tcPr>
          <w:p w14:paraId="111A91E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566C417B">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5EE37365">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087158D5">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5FDCF541">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7CE5D634">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35450AE1">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0438607E">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5EE70F51">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4745F97A">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6079F86F">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59DDF023">
            <w:pPr>
              <w:spacing w:line="276" w:lineRule="auto"/>
              <w:jc w:val="center"/>
              <w:rPr>
                <w:rFonts w:hint="default" w:ascii="Times New Roman" w:hAnsi="Times New Roman" w:cs="Times New Roman"/>
                <w:color w:val="auto"/>
                <w:sz w:val="18"/>
                <w:szCs w:val="18"/>
              </w:rPr>
            </w:pPr>
          </w:p>
        </w:tc>
      </w:tr>
      <w:tr w14:paraId="5D97FC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458" w:type="dxa"/>
            <w:vMerge w:val="continue"/>
            <w:tcBorders>
              <w:tl2br w:val="nil"/>
              <w:tr2bl w:val="nil"/>
            </w:tcBorders>
            <w:noWrap w:val="0"/>
            <w:vAlign w:val="center"/>
          </w:tcPr>
          <w:p w14:paraId="277DE3FB">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5931247C">
            <w:pPr>
              <w:spacing w:line="320" w:lineRule="exact"/>
              <w:jc w:val="center"/>
              <w:rPr>
                <w:rFonts w:hint="default" w:ascii="Times New Roman" w:hAnsi="Times New Roman" w:cs="Times New Roman"/>
                <w:color w:val="auto"/>
                <w:sz w:val="18"/>
                <w:szCs w:val="18"/>
              </w:rPr>
            </w:pPr>
          </w:p>
        </w:tc>
        <w:tc>
          <w:tcPr>
            <w:tcW w:w="1409" w:type="dxa"/>
            <w:tcBorders>
              <w:tl2br w:val="nil"/>
              <w:tr2bl w:val="nil"/>
            </w:tcBorders>
            <w:noWrap w:val="0"/>
            <w:vAlign w:val="center"/>
          </w:tcPr>
          <w:p w14:paraId="3C1ACED7">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UN160SKIII</w:t>
            </w:r>
          </w:p>
        </w:tc>
        <w:tc>
          <w:tcPr>
            <w:tcW w:w="777" w:type="dxa"/>
            <w:tcBorders>
              <w:tl2br w:val="nil"/>
              <w:tr2bl w:val="nil"/>
            </w:tcBorders>
            <w:noWrap w:val="0"/>
            <w:vAlign w:val="center"/>
          </w:tcPr>
          <w:p w14:paraId="1EBEEB30">
            <w:pPr>
              <w:widowControl/>
              <w:spacing w:line="276"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75</w:t>
            </w:r>
          </w:p>
        </w:tc>
        <w:tc>
          <w:tcPr>
            <w:tcW w:w="1296" w:type="dxa"/>
            <w:vMerge w:val="continue"/>
            <w:tcBorders>
              <w:tl2br w:val="nil"/>
              <w:tr2bl w:val="nil"/>
            </w:tcBorders>
            <w:noWrap w:val="0"/>
            <w:vAlign w:val="center"/>
          </w:tcPr>
          <w:p w14:paraId="014974C1">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4C25C7C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i w:val="0"/>
                <w:iCs w:val="0"/>
                <w:color w:val="auto"/>
                <w:kern w:val="0"/>
                <w:sz w:val="18"/>
                <w:szCs w:val="18"/>
                <w:u w:val="none"/>
                <w:lang w:val="en-US" w:eastAsia="zh-CN" w:bidi="ar"/>
              </w:rPr>
              <w:t>-14</w:t>
            </w:r>
          </w:p>
        </w:tc>
        <w:tc>
          <w:tcPr>
            <w:tcW w:w="555" w:type="dxa"/>
            <w:tcBorders>
              <w:tl2br w:val="nil"/>
              <w:tr2bl w:val="nil"/>
            </w:tcBorders>
            <w:noWrap w:val="0"/>
            <w:vAlign w:val="center"/>
          </w:tcPr>
          <w:p w14:paraId="1E9F768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7312CFB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27C489C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39</w:t>
            </w:r>
          </w:p>
        </w:tc>
        <w:tc>
          <w:tcPr>
            <w:tcW w:w="447" w:type="dxa"/>
            <w:tcBorders>
              <w:tl2br w:val="nil"/>
              <w:tr2bl w:val="nil"/>
            </w:tcBorders>
            <w:noWrap w:val="0"/>
            <w:vAlign w:val="center"/>
          </w:tcPr>
          <w:p w14:paraId="76A966B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5</w:t>
            </w:r>
          </w:p>
        </w:tc>
        <w:tc>
          <w:tcPr>
            <w:tcW w:w="448" w:type="dxa"/>
            <w:tcBorders>
              <w:tl2br w:val="nil"/>
              <w:tr2bl w:val="nil"/>
            </w:tcBorders>
            <w:noWrap w:val="0"/>
            <w:vAlign w:val="center"/>
          </w:tcPr>
          <w:p w14:paraId="589173A2">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11</w:t>
            </w:r>
          </w:p>
        </w:tc>
        <w:tc>
          <w:tcPr>
            <w:tcW w:w="473" w:type="dxa"/>
            <w:tcBorders>
              <w:tl2br w:val="nil"/>
              <w:tr2bl w:val="nil"/>
            </w:tcBorders>
            <w:noWrap w:val="0"/>
            <w:vAlign w:val="center"/>
          </w:tcPr>
          <w:p w14:paraId="0683BA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7DC9D717">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3FDB1882">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01334D28">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25025258">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4B6025D8">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319632AA">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0A490CE0">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2192CBF2">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1D81040A">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291F7D59">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6590BA3E">
            <w:pPr>
              <w:spacing w:line="276" w:lineRule="auto"/>
              <w:jc w:val="center"/>
              <w:rPr>
                <w:rFonts w:hint="default" w:ascii="Times New Roman" w:hAnsi="Times New Roman" w:cs="Times New Roman"/>
                <w:color w:val="auto"/>
                <w:sz w:val="18"/>
                <w:szCs w:val="18"/>
              </w:rPr>
            </w:pPr>
          </w:p>
        </w:tc>
      </w:tr>
      <w:tr w14:paraId="08D96B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458" w:type="dxa"/>
            <w:vMerge w:val="continue"/>
            <w:tcBorders>
              <w:tl2br w:val="nil"/>
              <w:tr2bl w:val="nil"/>
            </w:tcBorders>
            <w:noWrap w:val="0"/>
            <w:vAlign w:val="center"/>
          </w:tcPr>
          <w:p w14:paraId="6548F768">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6E308AE3">
            <w:pPr>
              <w:spacing w:line="320" w:lineRule="exact"/>
              <w:jc w:val="center"/>
              <w:rPr>
                <w:rFonts w:hint="default" w:ascii="Times New Roman" w:hAnsi="Times New Roman" w:cs="Times New Roman"/>
                <w:color w:val="auto"/>
                <w:sz w:val="18"/>
                <w:szCs w:val="18"/>
              </w:rPr>
            </w:pPr>
          </w:p>
        </w:tc>
        <w:tc>
          <w:tcPr>
            <w:tcW w:w="1409" w:type="dxa"/>
            <w:tcBorders>
              <w:tl2br w:val="nil"/>
              <w:tr2bl w:val="nil"/>
            </w:tcBorders>
            <w:noWrap w:val="0"/>
            <w:vAlign w:val="center"/>
          </w:tcPr>
          <w:p w14:paraId="508C3A54">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UN160SKIII</w:t>
            </w:r>
          </w:p>
        </w:tc>
        <w:tc>
          <w:tcPr>
            <w:tcW w:w="777" w:type="dxa"/>
            <w:tcBorders>
              <w:tl2br w:val="nil"/>
              <w:tr2bl w:val="nil"/>
            </w:tcBorders>
            <w:noWrap w:val="0"/>
            <w:vAlign w:val="center"/>
          </w:tcPr>
          <w:p w14:paraId="742E208E">
            <w:pPr>
              <w:widowControl/>
              <w:spacing w:line="276"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75</w:t>
            </w:r>
          </w:p>
        </w:tc>
        <w:tc>
          <w:tcPr>
            <w:tcW w:w="1296" w:type="dxa"/>
            <w:vMerge w:val="continue"/>
            <w:tcBorders>
              <w:tl2br w:val="nil"/>
              <w:tr2bl w:val="nil"/>
            </w:tcBorders>
            <w:noWrap w:val="0"/>
            <w:vAlign w:val="center"/>
          </w:tcPr>
          <w:p w14:paraId="046F6B44">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7BCD4EE7">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-17</w:t>
            </w:r>
          </w:p>
        </w:tc>
        <w:tc>
          <w:tcPr>
            <w:tcW w:w="555" w:type="dxa"/>
            <w:tcBorders>
              <w:tl2br w:val="nil"/>
              <w:tr2bl w:val="nil"/>
            </w:tcBorders>
            <w:noWrap w:val="0"/>
            <w:vAlign w:val="center"/>
          </w:tcPr>
          <w:p w14:paraId="0AF6F5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11FCAA4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341292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42</w:t>
            </w:r>
          </w:p>
        </w:tc>
        <w:tc>
          <w:tcPr>
            <w:tcW w:w="447" w:type="dxa"/>
            <w:tcBorders>
              <w:tl2br w:val="nil"/>
              <w:tr2bl w:val="nil"/>
            </w:tcBorders>
            <w:noWrap w:val="0"/>
            <w:vAlign w:val="center"/>
          </w:tcPr>
          <w:p w14:paraId="6570C2F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5</w:t>
            </w:r>
          </w:p>
        </w:tc>
        <w:tc>
          <w:tcPr>
            <w:tcW w:w="448" w:type="dxa"/>
            <w:tcBorders>
              <w:tl2br w:val="nil"/>
              <w:tr2bl w:val="nil"/>
            </w:tcBorders>
            <w:noWrap w:val="0"/>
            <w:vAlign w:val="center"/>
          </w:tcPr>
          <w:p w14:paraId="23CF5636">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w:t>
            </w:r>
          </w:p>
        </w:tc>
        <w:tc>
          <w:tcPr>
            <w:tcW w:w="473" w:type="dxa"/>
            <w:tcBorders>
              <w:tl2br w:val="nil"/>
              <w:tr2bl w:val="nil"/>
            </w:tcBorders>
            <w:noWrap w:val="0"/>
            <w:vAlign w:val="center"/>
          </w:tcPr>
          <w:p w14:paraId="16FE4612">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313E1534">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232A772B">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5F788B80">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60C521B4">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12627149">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2B9E0583">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26C9E620">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448D3FA4">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09F6A103">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688905A8">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4D0A3E10">
            <w:pPr>
              <w:spacing w:line="276" w:lineRule="auto"/>
              <w:jc w:val="center"/>
              <w:rPr>
                <w:rFonts w:hint="default" w:ascii="Times New Roman" w:hAnsi="Times New Roman" w:cs="Times New Roman"/>
                <w:color w:val="auto"/>
                <w:sz w:val="18"/>
                <w:szCs w:val="18"/>
              </w:rPr>
            </w:pPr>
          </w:p>
        </w:tc>
      </w:tr>
      <w:tr w14:paraId="7B5642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15" w:hRule="atLeast"/>
          <w:jc w:val="center"/>
        </w:trPr>
        <w:tc>
          <w:tcPr>
            <w:tcW w:w="458" w:type="dxa"/>
            <w:vMerge w:val="continue"/>
            <w:tcBorders>
              <w:tl2br w:val="nil"/>
              <w:tr2bl w:val="nil"/>
            </w:tcBorders>
            <w:noWrap w:val="0"/>
            <w:vAlign w:val="center"/>
          </w:tcPr>
          <w:p w14:paraId="40D6FB2F">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5E487384">
            <w:pPr>
              <w:spacing w:line="320" w:lineRule="exact"/>
              <w:jc w:val="center"/>
              <w:rPr>
                <w:rFonts w:hint="default" w:ascii="Times New Roman" w:hAnsi="Times New Roman" w:cs="Times New Roman"/>
                <w:color w:val="auto"/>
                <w:sz w:val="18"/>
                <w:szCs w:val="18"/>
              </w:rPr>
            </w:pPr>
          </w:p>
        </w:tc>
        <w:tc>
          <w:tcPr>
            <w:tcW w:w="1409" w:type="dxa"/>
            <w:tcBorders>
              <w:tl2br w:val="nil"/>
              <w:tr2bl w:val="nil"/>
            </w:tcBorders>
            <w:noWrap w:val="0"/>
            <w:vAlign w:val="center"/>
          </w:tcPr>
          <w:p w14:paraId="1A111D74">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UN160SKIII</w:t>
            </w:r>
          </w:p>
        </w:tc>
        <w:tc>
          <w:tcPr>
            <w:tcW w:w="777" w:type="dxa"/>
            <w:tcBorders>
              <w:tl2br w:val="nil"/>
              <w:tr2bl w:val="nil"/>
            </w:tcBorders>
            <w:noWrap w:val="0"/>
            <w:vAlign w:val="center"/>
          </w:tcPr>
          <w:p w14:paraId="3761C558">
            <w:pPr>
              <w:widowControl/>
              <w:spacing w:line="276"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75</w:t>
            </w:r>
          </w:p>
        </w:tc>
        <w:tc>
          <w:tcPr>
            <w:tcW w:w="1296" w:type="dxa"/>
            <w:vMerge w:val="continue"/>
            <w:tcBorders>
              <w:tl2br w:val="nil"/>
              <w:tr2bl w:val="nil"/>
            </w:tcBorders>
            <w:noWrap w:val="0"/>
            <w:vAlign w:val="center"/>
          </w:tcPr>
          <w:p w14:paraId="67F07E6A">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3D588D33">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-20</w:t>
            </w:r>
          </w:p>
        </w:tc>
        <w:tc>
          <w:tcPr>
            <w:tcW w:w="555" w:type="dxa"/>
            <w:tcBorders>
              <w:tl2br w:val="nil"/>
              <w:tr2bl w:val="nil"/>
            </w:tcBorders>
            <w:noWrap w:val="0"/>
            <w:vAlign w:val="center"/>
          </w:tcPr>
          <w:p w14:paraId="6256BF2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31132CF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09EB8B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45</w:t>
            </w:r>
          </w:p>
        </w:tc>
        <w:tc>
          <w:tcPr>
            <w:tcW w:w="447" w:type="dxa"/>
            <w:tcBorders>
              <w:tl2br w:val="nil"/>
              <w:tr2bl w:val="nil"/>
            </w:tcBorders>
            <w:noWrap w:val="0"/>
            <w:vAlign w:val="center"/>
          </w:tcPr>
          <w:p w14:paraId="541B2B9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5</w:t>
            </w:r>
          </w:p>
        </w:tc>
        <w:tc>
          <w:tcPr>
            <w:tcW w:w="448" w:type="dxa"/>
            <w:tcBorders>
              <w:tl2br w:val="nil"/>
              <w:tr2bl w:val="nil"/>
            </w:tcBorders>
            <w:noWrap w:val="0"/>
            <w:vAlign w:val="center"/>
          </w:tcPr>
          <w:p w14:paraId="683B7230">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5</w:t>
            </w:r>
          </w:p>
        </w:tc>
        <w:tc>
          <w:tcPr>
            <w:tcW w:w="473" w:type="dxa"/>
            <w:tcBorders>
              <w:tl2br w:val="nil"/>
              <w:tr2bl w:val="nil"/>
            </w:tcBorders>
            <w:noWrap w:val="0"/>
            <w:vAlign w:val="center"/>
          </w:tcPr>
          <w:p w14:paraId="44287FA8">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1733576C">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056DBF33">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0084A4B4">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480BA0B7">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41C0DF9C">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354CB4AC">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2936710A">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2137EEEA">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0347EDF9">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0E578E1B">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46D9DD03">
            <w:pPr>
              <w:spacing w:line="276" w:lineRule="auto"/>
              <w:jc w:val="center"/>
              <w:rPr>
                <w:rFonts w:hint="default" w:ascii="Times New Roman" w:hAnsi="Times New Roman" w:cs="Times New Roman"/>
                <w:color w:val="auto"/>
                <w:sz w:val="18"/>
                <w:szCs w:val="18"/>
              </w:rPr>
            </w:pPr>
          </w:p>
        </w:tc>
      </w:tr>
      <w:tr w14:paraId="71CB4A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458" w:type="dxa"/>
            <w:vMerge w:val="continue"/>
            <w:tcBorders>
              <w:tl2br w:val="nil"/>
              <w:tr2bl w:val="nil"/>
            </w:tcBorders>
            <w:noWrap w:val="0"/>
            <w:vAlign w:val="center"/>
          </w:tcPr>
          <w:p w14:paraId="4D92446A">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0C8C4CEF">
            <w:pPr>
              <w:spacing w:line="320" w:lineRule="exact"/>
              <w:jc w:val="center"/>
              <w:rPr>
                <w:rFonts w:hint="default" w:ascii="Times New Roman" w:hAnsi="Times New Roman" w:cs="Times New Roman"/>
                <w:color w:val="auto"/>
                <w:sz w:val="18"/>
                <w:szCs w:val="18"/>
              </w:rPr>
            </w:pPr>
          </w:p>
        </w:tc>
        <w:tc>
          <w:tcPr>
            <w:tcW w:w="1409" w:type="dxa"/>
            <w:tcBorders>
              <w:tl2br w:val="nil"/>
              <w:tr2bl w:val="nil"/>
            </w:tcBorders>
            <w:noWrap w:val="0"/>
            <w:vAlign w:val="center"/>
          </w:tcPr>
          <w:p w14:paraId="6E4B8520">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UN160SKIII</w:t>
            </w:r>
          </w:p>
        </w:tc>
        <w:tc>
          <w:tcPr>
            <w:tcW w:w="777" w:type="dxa"/>
            <w:tcBorders>
              <w:tl2br w:val="nil"/>
              <w:tr2bl w:val="nil"/>
            </w:tcBorders>
            <w:noWrap w:val="0"/>
            <w:vAlign w:val="center"/>
          </w:tcPr>
          <w:p w14:paraId="29CAE3DB">
            <w:pPr>
              <w:widowControl/>
              <w:spacing w:line="276" w:lineRule="auto"/>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val="en-US" w:eastAsia="zh-CN"/>
              </w:rPr>
              <w:t>75</w:t>
            </w:r>
          </w:p>
        </w:tc>
        <w:tc>
          <w:tcPr>
            <w:tcW w:w="1296" w:type="dxa"/>
            <w:vMerge w:val="continue"/>
            <w:tcBorders>
              <w:tl2br w:val="nil"/>
              <w:tr2bl w:val="nil"/>
            </w:tcBorders>
            <w:noWrap w:val="0"/>
            <w:vAlign w:val="center"/>
          </w:tcPr>
          <w:p w14:paraId="1972E1BF">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116EB1D2">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-23</w:t>
            </w:r>
          </w:p>
        </w:tc>
        <w:tc>
          <w:tcPr>
            <w:tcW w:w="555" w:type="dxa"/>
            <w:tcBorders>
              <w:tl2br w:val="nil"/>
              <w:tr2bl w:val="nil"/>
            </w:tcBorders>
            <w:noWrap w:val="0"/>
            <w:vAlign w:val="center"/>
          </w:tcPr>
          <w:p w14:paraId="714C8E9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456596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684C813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i w:val="0"/>
                <w:iCs w:val="0"/>
                <w:color w:val="auto"/>
                <w:kern w:val="0"/>
                <w:sz w:val="18"/>
                <w:szCs w:val="18"/>
                <w:u w:val="none"/>
                <w:lang w:val="en-US" w:eastAsia="zh-CN" w:bidi="ar"/>
              </w:rPr>
              <w:t>48</w:t>
            </w:r>
          </w:p>
        </w:tc>
        <w:tc>
          <w:tcPr>
            <w:tcW w:w="447" w:type="dxa"/>
            <w:tcBorders>
              <w:tl2br w:val="nil"/>
              <w:tr2bl w:val="nil"/>
            </w:tcBorders>
            <w:noWrap w:val="0"/>
            <w:vAlign w:val="center"/>
          </w:tcPr>
          <w:p w14:paraId="05368EB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5</w:t>
            </w:r>
          </w:p>
        </w:tc>
        <w:tc>
          <w:tcPr>
            <w:tcW w:w="448" w:type="dxa"/>
            <w:tcBorders>
              <w:tl2br w:val="nil"/>
              <w:tr2bl w:val="nil"/>
            </w:tcBorders>
            <w:noWrap w:val="0"/>
            <w:vAlign w:val="center"/>
          </w:tcPr>
          <w:p w14:paraId="76E961B4">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w:t>
            </w:r>
          </w:p>
        </w:tc>
        <w:tc>
          <w:tcPr>
            <w:tcW w:w="473" w:type="dxa"/>
            <w:tcBorders>
              <w:tl2br w:val="nil"/>
              <w:tr2bl w:val="nil"/>
            </w:tcBorders>
            <w:noWrap w:val="0"/>
            <w:vAlign w:val="center"/>
          </w:tcPr>
          <w:p w14:paraId="35991B14">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2392347A">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1B22814A">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014197D6">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6B1C6891">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25CC9EF4">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6006CD25">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253C0B6B">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0341B308">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7BB24D80">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07593CDF">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15F2F91F">
            <w:pPr>
              <w:spacing w:line="276" w:lineRule="auto"/>
              <w:jc w:val="center"/>
              <w:rPr>
                <w:rFonts w:hint="default" w:ascii="Times New Roman" w:hAnsi="Times New Roman" w:cs="Times New Roman"/>
                <w:color w:val="auto"/>
                <w:sz w:val="18"/>
                <w:szCs w:val="18"/>
              </w:rPr>
            </w:pPr>
          </w:p>
        </w:tc>
      </w:tr>
      <w:tr w14:paraId="7A79BB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15" w:hRule="atLeast"/>
          <w:jc w:val="center"/>
        </w:trPr>
        <w:tc>
          <w:tcPr>
            <w:tcW w:w="458" w:type="dxa"/>
            <w:vMerge w:val="continue"/>
            <w:tcBorders>
              <w:tl2br w:val="nil"/>
              <w:tr2bl w:val="nil"/>
            </w:tcBorders>
            <w:noWrap w:val="0"/>
            <w:vAlign w:val="center"/>
          </w:tcPr>
          <w:p w14:paraId="0EDD7029">
            <w:pPr>
              <w:spacing w:line="276" w:lineRule="auto"/>
              <w:jc w:val="center"/>
              <w:rPr>
                <w:rFonts w:hint="default" w:ascii="Times New Roman" w:hAnsi="Times New Roman" w:cs="Times New Roman"/>
                <w:color w:val="auto"/>
                <w:sz w:val="18"/>
                <w:szCs w:val="18"/>
              </w:rPr>
            </w:pPr>
          </w:p>
        </w:tc>
        <w:tc>
          <w:tcPr>
            <w:tcW w:w="966" w:type="dxa"/>
            <w:tcBorders>
              <w:tl2br w:val="nil"/>
              <w:tr2bl w:val="nil"/>
            </w:tcBorders>
            <w:noWrap w:val="0"/>
            <w:vAlign w:val="center"/>
          </w:tcPr>
          <w:p w14:paraId="4EC72234">
            <w:pPr>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eastAsia="zh-CN"/>
              </w:rPr>
              <w:t>空压机</w:t>
            </w:r>
          </w:p>
        </w:tc>
        <w:tc>
          <w:tcPr>
            <w:tcW w:w="1409" w:type="dxa"/>
            <w:tcBorders>
              <w:tl2br w:val="nil"/>
              <w:tr2bl w:val="nil"/>
            </w:tcBorders>
            <w:noWrap w:val="0"/>
            <w:vAlign w:val="center"/>
          </w:tcPr>
          <w:p w14:paraId="5E48C98D">
            <w:pPr>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13kW</w:t>
            </w:r>
            <w:r>
              <w:rPr>
                <w:rFonts w:hint="eastAsia"/>
                <w:color w:val="auto"/>
                <w:sz w:val="18"/>
                <w:szCs w:val="18"/>
              </w:rPr>
              <w:t>/2m</w:t>
            </w:r>
            <w:r>
              <w:rPr>
                <w:rFonts w:hint="eastAsia"/>
                <w:color w:val="auto"/>
                <w:sz w:val="18"/>
                <w:szCs w:val="18"/>
                <w:vertAlign w:val="superscript"/>
              </w:rPr>
              <w:t>3</w:t>
            </w:r>
          </w:p>
        </w:tc>
        <w:tc>
          <w:tcPr>
            <w:tcW w:w="777" w:type="dxa"/>
            <w:tcBorders>
              <w:tl2br w:val="nil"/>
              <w:tr2bl w:val="nil"/>
            </w:tcBorders>
            <w:noWrap w:val="0"/>
            <w:vAlign w:val="center"/>
          </w:tcPr>
          <w:p w14:paraId="0EF2B71D">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90</w:t>
            </w:r>
          </w:p>
        </w:tc>
        <w:tc>
          <w:tcPr>
            <w:tcW w:w="1296" w:type="dxa"/>
            <w:vMerge w:val="restart"/>
            <w:tcBorders>
              <w:tl2br w:val="nil"/>
              <w:tr2bl w:val="nil"/>
            </w:tcBorders>
            <w:noWrap w:val="0"/>
            <w:vAlign w:val="center"/>
          </w:tcPr>
          <w:p w14:paraId="1720F252">
            <w:pPr>
              <w:widowControl/>
              <w:spacing w:line="276" w:lineRule="auto"/>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建筑隔声</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基础减振</w:t>
            </w:r>
            <w:r>
              <w:rPr>
                <w:rFonts w:hint="default" w:ascii="Times New Roman" w:hAnsi="Times New Roman" w:cs="Times New Roman"/>
                <w:color w:val="auto"/>
                <w:sz w:val="18"/>
                <w:szCs w:val="18"/>
                <w:lang w:eastAsia="zh-CN"/>
              </w:rPr>
              <w:t>、设密闭隔音房间</w:t>
            </w:r>
          </w:p>
        </w:tc>
        <w:tc>
          <w:tcPr>
            <w:tcW w:w="490" w:type="dxa"/>
            <w:tcBorders>
              <w:tl2br w:val="nil"/>
              <w:tr2bl w:val="nil"/>
            </w:tcBorders>
            <w:noWrap w:val="0"/>
            <w:vAlign w:val="center"/>
          </w:tcPr>
          <w:p w14:paraId="68812154">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-20</w:t>
            </w:r>
          </w:p>
        </w:tc>
        <w:tc>
          <w:tcPr>
            <w:tcW w:w="555" w:type="dxa"/>
            <w:tcBorders>
              <w:tl2br w:val="nil"/>
              <w:tr2bl w:val="nil"/>
            </w:tcBorders>
            <w:noWrap w:val="0"/>
            <w:vAlign w:val="center"/>
          </w:tcPr>
          <w:p w14:paraId="25F1F99B">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10</w:t>
            </w:r>
          </w:p>
        </w:tc>
        <w:tc>
          <w:tcPr>
            <w:tcW w:w="400" w:type="dxa"/>
            <w:tcBorders>
              <w:tl2br w:val="nil"/>
              <w:tr2bl w:val="nil"/>
            </w:tcBorders>
            <w:noWrap w:val="0"/>
            <w:vAlign w:val="center"/>
          </w:tcPr>
          <w:p w14:paraId="1101763C">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noWrap w:val="0"/>
            <w:vAlign w:val="center"/>
          </w:tcPr>
          <w:p w14:paraId="470D3423">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45</w:t>
            </w:r>
          </w:p>
        </w:tc>
        <w:tc>
          <w:tcPr>
            <w:tcW w:w="447" w:type="dxa"/>
            <w:tcBorders>
              <w:tl2br w:val="nil"/>
              <w:tr2bl w:val="nil"/>
            </w:tcBorders>
            <w:noWrap w:val="0"/>
            <w:vAlign w:val="center"/>
          </w:tcPr>
          <w:p w14:paraId="1FC3D5A3">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25</w:t>
            </w:r>
          </w:p>
        </w:tc>
        <w:tc>
          <w:tcPr>
            <w:tcW w:w="448" w:type="dxa"/>
            <w:tcBorders>
              <w:tl2br w:val="nil"/>
              <w:tr2bl w:val="nil"/>
            </w:tcBorders>
            <w:noWrap w:val="0"/>
            <w:vAlign w:val="center"/>
          </w:tcPr>
          <w:p w14:paraId="1D2C7337">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5</w:t>
            </w:r>
          </w:p>
        </w:tc>
        <w:tc>
          <w:tcPr>
            <w:tcW w:w="473" w:type="dxa"/>
            <w:tcBorders>
              <w:tl2br w:val="nil"/>
              <w:tr2bl w:val="nil"/>
            </w:tcBorders>
            <w:noWrap w:val="0"/>
            <w:vAlign w:val="center"/>
          </w:tcPr>
          <w:p w14:paraId="097226AA">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37C95284">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7AA671CA">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0AB0EEC7">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1003F550">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2F6A4371">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222617BC">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067082AC">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31860E98">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33259B98">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41B6C96D">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071F3183">
            <w:pPr>
              <w:spacing w:line="276" w:lineRule="auto"/>
              <w:jc w:val="center"/>
              <w:rPr>
                <w:rFonts w:hint="default" w:ascii="Times New Roman" w:hAnsi="Times New Roman" w:cs="Times New Roman"/>
                <w:color w:val="auto"/>
                <w:sz w:val="18"/>
                <w:szCs w:val="18"/>
              </w:rPr>
            </w:pPr>
          </w:p>
        </w:tc>
      </w:tr>
      <w:tr w14:paraId="3F800E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458" w:type="dxa"/>
            <w:vMerge w:val="continue"/>
            <w:tcBorders>
              <w:tl2br w:val="nil"/>
              <w:tr2bl w:val="nil"/>
            </w:tcBorders>
            <w:noWrap w:val="0"/>
            <w:vAlign w:val="center"/>
          </w:tcPr>
          <w:p w14:paraId="05F41FF7">
            <w:pPr>
              <w:spacing w:line="276" w:lineRule="auto"/>
              <w:jc w:val="center"/>
              <w:rPr>
                <w:rFonts w:hint="default" w:ascii="Times New Roman" w:hAnsi="Times New Roman" w:cs="Times New Roman"/>
                <w:color w:val="auto"/>
                <w:sz w:val="18"/>
                <w:szCs w:val="18"/>
              </w:rPr>
            </w:pPr>
          </w:p>
        </w:tc>
        <w:tc>
          <w:tcPr>
            <w:tcW w:w="966" w:type="dxa"/>
            <w:vMerge w:val="restart"/>
            <w:tcBorders>
              <w:tl2br w:val="nil"/>
              <w:tr2bl w:val="nil"/>
            </w:tcBorders>
            <w:noWrap w:val="0"/>
            <w:vAlign w:val="center"/>
          </w:tcPr>
          <w:p w14:paraId="287FAFE6">
            <w:pPr>
              <w:spacing w:line="320" w:lineRule="exact"/>
              <w:jc w:val="center"/>
              <w:rPr>
                <w:rFonts w:hint="default" w:ascii="Times New Roman" w:hAnsi="Times New Roman" w:eastAsia="宋体" w:cs="Times New Roman"/>
                <w:color w:val="auto"/>
                <w:kern w:val="0"/>
                <w:sz w:val="18"/>
                <w:szCs w:val="18"/>
                <w:lang w:val="en-US" w:eastAsia="zh-CN" w:bidi="ar"/>
              </w:rPr>
            </w:pPr>
            <w:r>
              <w:rPr>
                <w:rFonts w:hint="default" w:ascii="Times New Roman" w:hAnsi="Times New Roman" w:eastAsia="宋体" w:cs="Times New Roman"/>
                <w:color w:val="auto"/>
                <w:kern w:val="0"/>
                <w:sz w:val="18"/>
                <w:szCs w:val="18"/>
                <w:lang w:val="en-US" w:eastAsia="zh-CN" w:bidi="ar"/>
              </w:rPr>
              <w:t>破碎机</w:t>
            </w:r>
          </w:p>
        </w:tc>
        <w:tc>
          <w:tcPr>
            <w:tcW w:w="1409" w:type="dxa"/>
            <w:tcBorders>
              <w:tl2br w:val="nil"/>
              <w:tr2bl w:val="nil"/>
            </w:tcBorders>
            <w:noWrap w:val="0"/>
            <w:vAlign w:val="center"/>
          </w:tcPr>
          <w:p w14:paraId="69FE43C8">
            <w:pPr>
              <w:pStyle w:val="124"/>
              <w:ind w:firstLine="0" w:firstLineChars="0"/>
              <w:rPr>
                <w:rFonts w:hint="default" w:ascii="Times New Roman" w:hAnsi="Times New Roman" w:eastAsia="宋体" w:cs="Times New Roman"/>
                <w:color w:val="auto"/>
                <w:kern w:val="0"/>
                <w:sz w:val="18"/>
                <w:szCs w:val="18"/>
                <w:lang w:val="en-US" w:eastAsia="zh-CN" w:bidi="ar"/>
              </w:rPr>
            </w:pPr>
            <w:r>
              <w:rPr>
                <w:rFonts w:hint="eastAsia" w:ascii="Times New Roman" w:hAnsi="Times New Roman" w:eastAsia="宋体" w:cs="Times New Roman"/>
                <w:color w:val="auto"/>
                <w:sz w:val="18"/>
                <w:szCs w:val="18"/>
                <w:lang w:val="en-US" w:eastAsia="zh-CN"/>
              </w:rPr>
              <w:t>PG400</w:t>
            </w:r>
          </w:p>
        </w:tc>
        <w:tc>
          <w:tcPr>
            <w:tcW w:w="777" w:type="dxa"/>
            <w:tcBorders>
              <w:tl2br w:val="nil"/>
              <w:tr2bl w:val="nil"/>
            </w:tcBorders>
            <w:noWrap w:val="0"/>
            <w:vAlign w:val="center"/>
          </w:tcPr>
          <w:p w14:paraId="17382856">
            <w:pPr>
              <w:widowControl/>
              <w:spacing w:line="276"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85</w:t>
            </w:r>
          </w:p>
        </w:tc>
        <w:tc>
          <w:tcPr>
            <w:tcW w:w="1296" w:type="dxa"/>
            <w:vMerge w:val="continue"/>
            <w:tcBorders>
              <w:tl2br w:val="nil"/>
              <w:tr2bl w:val="nil"/>
            </w:tcBorders>
            <w:noWrap w:val="0"/>
            <w:vAlign w:val="center"/>
          </w:tcPr>
          <w:p w14:paraId="068A78FD">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45586A29">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-13</w:t>
            </w:r>
          </w:p>
        </w:tc>
        <w:tc>
          <w:tcPr>
            <w:tcW w:w="555" w:type="dxa"/>
            <w:tcBorders>
              <w:tl2br w:val="nil"/>
              <w:tr2bl w:val="nil"/>
            </w:tcBorders>
            <w:noWrap w:val="0"/>
            <w:vAlign w:val="center"/>
          </w:tcPr>
          <w:p w14:paraId="216B59FB">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435A29AC">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shd w:val="clear" w:color="auto" w:fill="auto"/>
            <w:noWrap w:val="0"/>
            <w:vAlign w:val="center"/>
          </w:tcPr>
          <w:p w14:paraId="45AB4B21">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38</w:t>
            </w:r>
          </w:p>
        </w:tc>
        <w:tc>
          <w:tcPr>
            <w:tcW w:w="447" w:type="dxa"/>
            <w:tcBorders>
              <w:tl2br w:val="nil"/>
              <w:tr2bl w:val="nil"/>
            </w:tcBorders>
            <w:noWrap w:val="0"/>
            <w:vAlign w:val="center"/>
          </w:tcPr>
          <w:p w14:paraId="4773AFF6">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25</w:t>
            </w:r>
          </w:p>
        </w:tc>
        <w:tc>
          <w:tcPr>
            <w:tcW w:w="448" w:type="dxa"/>
            <w:tcBorders>
              <w:tl2br w:val="nil"/>
              <w:tr2bl w:val="nil"/>
            </w:tcBorders>
            <w:noWrap w:val="0"/>
            <w:vAlign w:val="center"/>
          </w:tcPr>
          <w:p w14:paraId="1B1D630B">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12</w:t>
            </w:r>
          </w:p>
        </w:tc>
        <w:tc>
          <w:tcPr>
            <w:tcW w:w="473" w:type="dxa"/>
            <w:tcBorders>
              <w:tl2br w:val="nil"/>
              <w:tr2bl w:val="nil"/>
            </w:tcBorders>
            <w:noWrap w:val="0"/>
            <w:vAlign w:val="center"/>
          </w:tcPr>
          <w:p w14:paraId="4B6D47E7">
            <w:pPr>
              <w:keepNext w:val="0"/>
              <w:keepLines w:val="0"/>
              <w:widowControl/>
              <w:suppressLineNumbers w:val="0"/>
              <w:jc w:val="center"/>
              <w:textAlignment w:val="center"/>
              <w:rPr>
                <w:rFonts w:hint="default" w:ascii="Times New Roman" w:hAnsi="Times New Roman" w:cs="Times New Roman"/>
                <w:color w:val="auto"/>
                <w:sz w:val="18"/>
                <w:szCs w:val="18"/>
                <w:lang w:val="en-US"/>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1B0C17EF">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7729FBE6">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739BA790">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1E5CAA25">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277AB963">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5AE64AB1">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22BBF87D">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71CEA7A8">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24622EC5">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6972A9E5">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150BA48C">
            <w:pPr>
              <w:spacing w:line="276" w:lineRule="auto"/>
              <w:jc w:val="center"/>
              <w:rPr>
                <w:rFonts w:hint="default" w:ascii="Times New Roman" w:hAnsi="Times New Roman" w:cs="Times New Roman"/>
                <w:color w:val="auto"/>
                <w:sz w:val="18"/>
                <w:szCs w:val="18"/>
              </w:rPr>
            </w:pPr>
          </w:p>
        </w:tc>
      </w:tr>
      <w:tr w14:paraId="305433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8" w:hRule="atLeast"/>
          <w:jc w:val="center"/>
        </w:trPr>
        <w:tc>
          <w:tcPr>
            <w:tcW w:w="458" w:type="dxa"/>
            <w:vMerge w:val="continue"/>
            <w:tcBorders>
              <w:tl2br w:val="nil"/>
              <w:tr2bl w:val="nil"/>
            </w:tcBorders>
            <w:noWrap w:val="0"/>
            <w:vAlign w:val="center"/>
          </w:tcPr>
          <w:p w14:paraId="7E7B6A4B">
            <w:pPr>
              <w:spacing w:line="276" w:lineRule="auto"/>
              <w:jc w:val="center"/>
              <w:rPr>
                <w:rFonts w:hint="default" w:ascii="Times New Roman" w:hAnsi="Times New Roman" w:cs="Times New Roman"/>
                <w:color w:val="auto"/>
                <w:sz w:val="18"/>
                <w:szCs w:val="18"/>
              </w:rPr>
            </w:pPr>
          </w:p>
        </w:tc>
        <w:tc>
          <w:tcPr>
            <w:tcW w:w="966" w:type="dxa"/>
            <w:vMerge w:val="continue"/>
            <w:tcBorders>
              <w:tl2br w:val="nil"/>
              <w:tr2bl w:val="nil"/>
            </w:tcBorders>
            <w:noWrap w:val="0"/>
            <w:vAlign w:val="center"/>
          </w:tcPr>
          <w:p w14:paraId="3C07934A">
            <w:pPr>
              <w:spacing w:line="320" w:lineRule="exact"/>
              <w:jc w:val="both"/>
              <w:rPr>
                <w:rFonts w:hint="default" w:ascii="Times New Roman" w:hAnsi="Times New Roman" w:eastAsia="宋体" w:cs="Times New Roman"/>
                <w:color w:val="auto"/>
                <w:kern w:val="0"/>
                <w:sz w:val="18"/>
                <w:szCs w:val="18"/>
                <w:lang w:val="en-US" w:eastAsia="zh-CN" w:bidi="ar"/>
              </w:rPr>
            </w:pPr>
          </w:p>
        </w:tc>
        <w:tc>
          <w:tcPr>
            <w:tcW w:w="1409" w:type="dxa"/>
            <w:tcBorders>
              <w:tl2br w:val="nil"/>
              <w:tr2bl w:val="nil"/>
            </w:tcBorders>
            <w:noWrap w:val="0"/>
            <w:vAlign w:val="center"/>
          </w:tcPr>
          <w:p w14:paraId="485C39CD">
            <w:pPr>
              <w:pStyle w:val="124"/>
              <w:ind w:firstLine="0" w:firstLineChars="0"/>
              <w:rPr>
                <w:rFonts w:hint="eastAsia"/>
                <w:color w:val="auto"/>
                <w:sz w:val="18"/>
                <w:szCs w:val="18"/>
              </w:rPr>
            </w:pPr>
            <w:r>
              <w:rPr>
                <w:rFonts w:hint="eastAsia" w:ascii="Times New Roman" w:hAnsi="Times New Roman" w:eastAsia="宋体" w:cs="Times New Roman"/>
                <w:color w:val="auto"/>
                <w:sz w:val="18"/>
                <w:szCs w:val="18"/>
                <w:lang w:val="en-US" w:eastAsia="zh-CN"/>
              </w:rPr>
              <w:t>PG10</w:t>
            </w:r>
          </w:p>
        </w:tc>
        <w:tc>
          <w:tcPr>
            <w:tcW w:w="777" w:type="dxa"/>
            <w:tcBorders>
              <w:tl2br w:val="nil"/>
              <w:tr2bl w:val="nil"/>
            </w:tcBorders>
            <w:noWrap w:val="0"/>
            <w:vAlign w:val="center"/>
          </w:tcPr>
          <w:p w14:paraId="1C55EFDC">
            <w:pPr>
              <w:widowControl/>
              <w:spacing w:line="276" w:lineRule="auto"/>
              <w:jc w:val="center"/>
              <w:rPr>
                <w:rFonts w:hint="default" w:ascii="Times New Roman" w:hAnsi="Times New Roman"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85</w:t>
            </w:r>
          </w:p>
        </w:tc>
        <w:tc>
          <w:tcPr>
            <w:tcW w:w="1296" w:type="dxa"/>
            <w:vMerge w:val="continue"/>
            <w:tcBorders>
              <w:tl2br w:val="nil"/>
              <w:tr2bl w:val="nil"/>
            </w:tcBorders>
            <w:noWrap w:val="0"/>
            <w:vAlign w:val="center"/>
          </w:tcPr>
          <w:p w14:paraId="3C21C431">
            <w:pPr>
              <w:widowControl/>
              <w:spacing w:line="276" w:lineRule="auto"/>
              <w:jc w:val="center"/>
              <w:rPr>
                <w:rFonts w:hint="default" w:ascii="Times New Roman" w:hAnsi="Times New Roman" w:cs="Times New Roman"/>
                <w:color w:val="auto"/>
                <w:sz w:val="18"/>
                <w:szCs w:val="18"/>
              </w:rPr>
            </w:pPr>
          </w:p>
        </w:tc>
        <w:tc>
          <w:tcPr>
            <w:tcW w:w="490" w:type="dxa"/>
            <w:tcBorders>
              <w:tl2br w:val="nil"/>
              <w:tr2bl w:val="nil"/>
            </w:tcBorders>
            <w:noWrap w:val="0"/>
            <w:vAlign w:val="center"/>
          </w:tcPr>
          <w:p w14:paraId="5AFCAD13">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-10</w:t>
            </w:r>
          </w:p>
        </w:tc>
        <w:tc>
          <w:tcPr>
            <w:tcW w:w="555" w:type="dxa"/>
            <w:tcBorders>
              <w:tl2br w:val="nil"/>
              <w:tr2bl w:val="nil"/>
            </w:tcBorders>
            <w:noWrap w:val="0"/>
            <w:vAlign w:val="center"/>
          </w:tcPr>
          <w:p w14:paraId="1E147A19">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10</w:t>
            </w:r>
          </w:p>
        </w:tc>
        <w:tc>
          <w:tcPr>
            <w:tcW w:w="400" w:type="dxa"/>
            <w:tcBorders>
              <w:tl2br w:val="nil"/>
              <w:tr2bl w:val="nil"/>
            </w:tcBorders>
            <w:noWrap w:val="0"/>
            <w:vAlign w:val="center"/>
          </w:tcPr>
          <w:p w14:paraId="4423E90E">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1</w:t>
            </w:r>
          </w:p>
        </w:tc>
        <w:tc>
          <w:tcPr>
            <w:tcW w:w="461" w:type="dxa"/>
            <w:tcBorders>
              <w:tl2br w:val="nil"/>
              <w:tr2bl w:val="nil"/>
            </w:tcBorders>
            <w:shd w:val="clear" w:color="auto" w:fill="auto"/>
            <w:noWrap w:val="0"/>
            <w:vAlign w:val="center"/>
          </w:tcPr>
          <w:p w14:paraId="3ECD004B">
            <w:pPr>
              <w:keepNext w:val="0"/>
              <w:keepLines w:val="0"/>
              <w:widowControl/>
              <w:suppressLineNumbers w:val="0"/>
              <w:jc w:val="center"/>
              <w:textAlignment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35</w:t>
            </w:r>
          </w:p>
        </w:tc>
        <w:tc>
          <w:tcPr>
            <w:tcW w:w="447" w:type="dxa"/>
            <w:tcBorders>
              <w:tl2br w:val="nil"/>
              <w:tr2bl w:val="nil"/>
            </w:tcBorders>
            <w:noWrap w:val="0"/>
            <w:vAlign w:val="center"/>
          </w:tcPr>
          <w:p w14:paraId="7AF13C0C">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25</w:t>
            </w:r>
          </w:p>
        </w:tc>
        <w:tc>
          <w:tcPr>
            <w:tcW w:w="448" w:type="dxa"/>
            <w:tcBorders>
              <w:tl2br w:val="nil"/>
              <w:tr2bl w:val="nil"/>
            </w:tcBorders>
            <w:noWrap w:val="0"/>
            <w:vAlign w:val="center"/>
          </w:tcPr>
          <w:p w14:paraId="677AC682">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15</w:t>
            </w:r>
          </w:p>
        </w:tc>
        <w:tc>
          <w:tcPr>
            <w:tcW w:w="473" w:type="dxa"/>
            <w:tcBorders>
              <w:tl2br w:val="nil"/>
              <w:tr2bl w:val="nil"/>
            </w:tcBorders>
            <w:noWrap w:val="0"/>
            <w:vAlign w:val="center"/>
          </w:tcPr>
          <w:p w14:paraId="67E17808">
            <w:pPr>
              <w:keepNext w:val="0"/>
              <w:keepLines w:val="0"/>
              <w:widowControl/>
              <w:suppressLineNumbers w:val="0"/>
              <w:jc w:val="center"/>
              <w:textAlignment w:val="center"/>
              <w:rPr>
                <w:rFonts w:hint="eastAsia" w:ascii="Times New Roman" w:hAnsi="Times New Roman" w:cs="Times New Roman"/>
                <w:i w:val="0"/>
                <w:iCs w:val="0"/>
                <w:color w:val="auto"/>
                <w:kern w:val="0"/>
                <w:sz w:val="18"/>
                <w:szCs w:val="18"/>
                <w:u w:val="none"/>
                <w:lang w:val="en-US" w:eastAsia="zh-CN" w:bidi="ar"/>
              </w:rPr>
            </w:pPr>
            <w:r>
              <w:rPr>
                <w:rFonts w:hint="eastAsia" w:ascii="Times New Roman" w:hAnsi="Times New Roman" w:cs="Times New Roman"/>
                <w:color w:val="auto"/>
                <w:sz w:val="18"/>
                <w:szCs w:val="18"/>
                <w:lang w:val="en-US" w:eastAsia="zh-CN"/>
              </w:rPr>
              <w:t>/</w:t>
            </w:r>
          </w:p>
        </w:tc>
        <w:tc>
          <w:tcPr>
            <w:tcW w:w="448" w:type="dxa"/>
            <w:vMerge w:val="continue"/>
            <w:tcBorders>
              <w:tl2br w:val="nil"/>
              <w:tr2bl w:val="nil"/>
            </w:tcBorders>
            <w:noWrap w:val="0"/>
            <w:vAlign w:val="center"/>
          </w:tcPr>
          <w:p w14:paraId="1D31CFF8">
            <w:pPr>
              <w:spacing w:line="276" w:lineRule="auto"/>
              <w:jc w:val="center"/>
              <w:rPr>
                <w:rFonts w:hint="default" w:ascii="Times New Roman" w:hAnsi="Times New Roman" w:cs="Times New Roman"/>
                <w:color w:val="auto"/>
                <w:sz w:val="18"/>
                <w:szCs w:val="18"/>
              </w:rPr>
            </w:pPr>
          </w:p>
        </w:tc>
        <w:tc>
          <w:tcPr>
            <w:tcW w:w="447" w:type="dxa"/>
            <w:vMerge w:val="continue"/>
            <w:tcBorders>
              <w:tl2br w:val="nil"/>
              <w:tr2bl w:val="nil"/>
            </w:tcBorders>
            <w:noWrap w:val="0"/>
            <w:vAlign w:val="center"/>
          </w:tcPr>
          <w:p w14:paraId="5A402A74">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7ED040AA">
            <w:pPr>
              <w:spacing w:line="276" w:lineRule="auto"/>
              <w:jc w:val="center"/>
              <w:rPr>
                <w:rFonts w:hint="default" w:ascii="Times New Roman" w:hAnsi="Times New Roman" w:cs="Times New Roman"/>
                <w:color w:val="auto"/>
                <w:sz w:val="18"/>
                <w:szCs w:val="18"/>
              </w:rPr>
            </w:pPr>
          </w:p>
        </w:tc>
        <w:tc>
          <w:tcPr>
            <w:tcW w:w="448" w:type="dxa"/>
            <w:vMerge w:val="continue"/>
            <w:tcBorders>
              <w:tl2br w:val="nil"/>
              <w:tr2bl w:val="nil"/>
            </w:tcBorders>
            <w:noWrap w:val="0"/>
            <w:vAlign w:val="center"/>
          </w:tcPr>
          <w:p w14:paraId="024943AA">
            <w:pPr>
              <w:spacing w:line="276" w:lineRule="auto"/>
              <w:jc w:val="center"/>
              <w:rPr>
                <w:rFonts w:hint="default" w:ascii="Times New Roman" w:hAnsi="Times New Roman" w:cs="Times New Roman"/>
                <w:color w:val="auto"/>
                <w:sz w:val="18"/>
                <w:szCs w:val="18"/>
              </w:rPr>
            </w:pPr>
          </w:p>
        </w:tc>
        <w:tc>
          <w:tcPr>
            <w:tcW w:w="521" w:type="dxa"/>
            <w:vMerge w:val="continue"/>
            <w:tcBorders>
              <w:tl2br w:val="nil"/>
              <w:tr2bl w:val="nil"/>
            </w:tcBorders>
            <w:noWrap w:val="0"/>
            <w:vAlign w:val="center"/>
          </w:tcPr>
          <w:p w14:paraId="36FE9818">
            <w:pPr>
              <w:spacing w:line="276" w:lineRule="auto"/>
              <w:jc w:val="center"/>
              <w:rPr>
                <w:rFonts w:hint="default" w:ascii="Times New Roman" w:hAnsi="Times New Roman" w:cs="Times New Roman"/>
                <w:color w:val="auto"/>
                <w:sz w:val="18"/>
                <w:szCs w:val="18"/>
              </w:rPr>
            </w:pPr>
          </w:p>
        </w:tc>
        <w:tc>
          <w:tcPr>
            <w:tcW w:w="847" w:type="dxa"/>
            <w:vMerge w:val="continue"/>
            <w:tcBorders>
              <w:tl2br w:val="nil"/>
              <w:tr2bl w:val="nil"/>
            </w:tcBorders>
            <w:noWrap w:val="0"/>
            <w:vAlign w:val="center"/>
          </w:tcPr>
          <w:p w14:paraId="5B51B250">
            <w:pPr>
              <w:spacing w:line="276" w:lineRule="auto"/>
              <w:jc w:val="center"/>
              <w:rPr>
                <w:rFonts w:hint="default" w:ascii="Times New Roman" w:hAnsi="Times New Roman" w:cs="Times New Roman"/>
                <w:color w:val="auto"/>
                <w:sz w:val="18"/>
                <w:szCs w:val="18"/>
              </w:rPr>
            </w:pPr>
          </w:p>
        </w:tc>
        <w:tc>
          <w:tcPr>
            <w:tcW w:w="408" w:type="dxa"/>
            <w:vMerge w:val="continue"/>
            <w:tcBorders>
              <w:tl2br w:val="nil"/>
              <w:tr2bl w:val="nil"/>
            </w:tcBorders>
            <w:noWrap w:val="0"/>
            <w:vAlign w:val="center"/>
          </w:tcPr>
          <w:p w14:paraId="79F111B4">
            <w:pPr>
              <w:spacing w:line="276" w:lineRule="auto"/>
              <w:jc w:val="center"/>
              <w:rPr>
                <w:rFonts w:hint="default" w:ascii="Times New Roman" w:hAnsi="Times New Roman" w:cs="Times New Roman"/>
                <w:color w:val="auto"/>
                <w:sz w:val="18"/>
                <w:szCs w:val="18"/>
              </w:rPr>
            </w:pPr>
          </w:p>
        </w:tc>
        <w:tc>
          <w:tcPr>
            <w:tcW w:w="460" w:type="dxa"/>
            <w:vMerge w:val="continue"/>
            <w:tcBorders>
              <w:tl2br w:val="nil"/>
              <w:tr2bl w:val="nil"/>
            </w:tcBorders>
            <w:noWrap w:val="0"/>
            <w:vAlign w:val="center"/>
          </w:tcPr>
          <w:p w14:paraId="403CE2A1">
            <w:pPr>
              <w:spacing w:line="276" w:lineRule="auto"/>
              <w:jc w:val="center"/>
              <w:rPr>
                <w:rFonts w:hint="default" w:ascii="Times New Roman" w:hAnsi="Times New Roman" w:cs="Times New Roman"/>
                <w:color w:val="auto"/>
                <w:sz w:val="18"/>
                <w:szCs w:val="18"/>
              </w:rPr>
            </w:pPr>
          </w:p>
        </w:tc>
        <w:tc>
          <w:tcPr>
            <w:tcW w:w="421" w:type="dxa"/>
            <w:vMerge w:val="continue"/>
            <w:tcBorders>
              <w:tl2br w:val="nil"/>
              <w:tr2bl w:val="nil"/>
            </w:tcBorders>
            <w:noWrap w:val="0"/>
            <w:vAlign w:val="center"/>
          </w:tcPr>
          <w:p w14:paraId="39B8DCC2">
            <w:pPr>
              <w:spacing w:line="276" w:lineRule="auto"/>
              <w:jc w:val="center"/>
              <w:rPr>
                <w:rFonts w:hint="default" w:ascii="Times New Roman" w:hAnsi="Times New Roman" w:cs="Times New Roman"/>
                <w:color w:val="auto"/>
                <w:sz w:val="18"/>
                <w:szCs w:val="18"/>
              </w:rPr>
            </w:pPr>
          </w:p>
        </w:tc>
        <w:tc>
          <w:tcPr>
            <w:tcW w:w="403" w:type="dxa"/>
            <w:vMerge w:val="continue"/>
            <w:tcBorders>
              <w:tl2br w:val="nil"/>
              <w:tr2bl w:val="nil"/>
            </w:tcBorders>
            <w:noWrap w:val="0"/>
            <w:vAlign w:val="center"/>
          </w:tcPr>
          <w:p w14:paraId="3CF08775">
            <w:pPr>
              <w:spacing w:line="276" w:lineRule="auto"/>
              <w:jc w:val="center"/>
              <w:rPr>
                <w:rFonts w:hint="default" w:ascii="Times New Roman" w:hAnsi="Times New Roman" w:cs="Times New Roman"/>
                <w:color w:val="auto"/>
                <w:sz w:val="18"/>
                <w:szCs w:val="18"/>
              </w:rPr>
            </w:pPr>
          </w:p>
        </w:tc>
        <w:tc>
          <w:tcPr>
            <w:tcW w:w="648" w:type="dxa"/>
            <w:vMerge w:val="continue"/>
            <w:tcBorders>
              <w:tl2br w:val="nil"/>
              <w:tr2bl w:val="nil"/>
            </w:tcBorders>
            <w:noWrap w:val="0"/>
            <w:vAlign w:val="center"/>
          </w:tcPr>
          <w:p w14:paraId="2FD9C33B">
            <w:pPr>
              <w:spacing w:line="276" w:lineRule="auto"/>
              <w:jc w:val="center"/>
              <w:rPr>
                <w:rFonts w:hint="default" w:ascii="Times New Roman" w:hAnsi="Times New Roman" w:cs="Times New Roman"/>
                <w:color w:val="auto"/>
                <w:sz w:val="18"/>
                <w:szCs w:val="18"/>
              </w:rPr>
            </w:pPr>
          </w:p>
        </w:tc>
      </w:tr>
      <w:tr w14:paraId="17AF22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652" w:type="dxa"/>
            <w:gridSpan w:val="23"/>
            <w:tcBorders>
              <w:tl2br w:val="nil"/>
              <w:tr2bl w:val="nil"/>
            </w:tcBorders>
            <w:noWrap w:val="0"/>
            <w:vAlign w:val="center"/>
          </w:tcPr>
          <w:p w14:paraId="46D8B246">
            <w:pPr>
              <w:spacing w:line="276" w:lineRule="auto"/>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注：由于本项目</w:t>
            </w:r>
            <w:r>
              <w:rPr>
                <w:rFonts w:hint="eastAsia" w:ascii="Times New Roman" w:hAnsi="Times New Roman" w:cs="Times New Roman"/>
                <w:color w:val="auto"/>
                <w:sz w:val="18"/>
                <w:szCs w:val="18"/>
                <w:lang w:val="en-US" w:eastAsia="zh-CN"/>
              </w:rPr>
              <w:t>北</w:t>
            </w:r>
            <w:r>
              <w:rPr>
                <w:rFonts w:hint="default" w:ascii="Times New Roman" w:hAnsi="Times New Roman" w:cs="Times New Roman"/>
                <w:color w:val="auto"/>
                <w:sz w:val="18"/>
                <w:szCs w:val="18"/>
                <w:lang w:val="en-US" w:eastAsia="zh-CN"/>
              </w:rPr>
              <w:t>侧紧邻其他项目厂房，因此本次评价的噪声预测仅针对项目东、南、西侧进行。</w:t>
            </w:r>
          </w:p>
        </w:tc>
      </w:tr>
    </w:tbl>
    <w:p w14:paraId="31FC0CE3">
      <w:pPr>
        <w:pStyle w:val="26"/>
        <w:outlineLvl w:val="0"/>
        <w:rPr>
          <w:rFonts w:hint="default" w:ascii="Times New Roman" w:hAnsi="Times New Roman" w:cs="Times New Roman"/>
          <w:snapToGrid w:val="0"/>
          <w:color w:val="auto"/>
          <w:sz w:val="30"/>
          <w:szCs w:val="30"/>
        </w:rPr>
        <w:sectPr>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14:paraId="113B1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 w:hRule="atLeast"/>
          <w:jc w:val="center"/>
        </w:trPr>
        <w:tc>
          <w:tcPr>
            <w:tcW w:w="746" w:type="dxa"/>
            <w:noWrap w:val="0"/>
            <w:tcMar>
              <w:left w:w="28" w:type="dxa"/>
              <w:right w:w="28" w:type="dxa"/>
            </w:tcMar>
            <w:vAlign w:val="center"/>
          </w:tcPr>
          <w:p w14:paraId="47173828">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运营</w:t>
            </w:r>
          </w:p>
          <w:p w14:paraId="2A01B202">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期环</w:t>
            </w:r>
          </w:p>
          <w:p w14:paraId="03ACF4D6">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境影</w:t>
            </w:r>
          </w:p>
          <w:p w14:paraId="37964095">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响和</w:t>
            </w:r>
          </w:p>
          <w:p w14:paraId="26357216">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保护</w:t>
            </w:r>
          </w:p>
          <w:p w14:paraId="3FAA9FB2">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措施</w:t>
            </w:r>
          </w:p>
        </w:tc>
        <w:tc>
          <w:tcPr>
            <w:tcW w:w="8162" w:type="dxa"/>
            <w:noWrap w:val="0"/>
            <w:vAlign w:val="center"/>
          </w:tcPr>
          <w:p w14:paraId="1A9A19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kern w:val="0"/>
                <w:sz w:val="21"/>
                <w:szCs w:val="21"/>
                <w:lang w:eastAsia="zh-CN"/>
              </w:rPr>
            </w:pPr>
            <w:r>
              <w:rPr>
                <w:rFonts w:hint="default" w:ascii="Times New Roman" w:hAnsi="Times New Roman" w:cs="Times New Roman"/>
                <w:b/>
                <w:color w:val="auto"/>
                <w:kern w:val="0"/>
                <w:sz w:val="21"/>
                <w:szCs w:val="21"/>
              </w:rPr>
              <w:t>表4</w:t>
            </w:r>
            <w:r>
              <w:rPr>
                <w:rFonts w:hint="default" w:ascii="Times New Roman" w:hAnsi="Times New Roman" w:cs="Times New Roman"/>
                <w:b/>
                <w:color w:val="auto"/>
                <w:kern w:val="0"/>
                <w:sz w:val="21"/>
                <w:szCs w:val="21"/>
                <w:lang w:val="en-US" w:eastAsia="zh-CN"/>
              </w:rPr>
              <w:t>-1</w:t>
            </w:r>
            <w:r>
              <w:rPr>
                <w:rFonts w:hint="eastAsia" w:ascii="Times New Roman" w:hAnsi="Times New Roman" w:cs="Times New Roman"/>
                <w:b/>
                <w:color w:val="auto"/>
                <w:kern w:val="0"/>
                <w:sz w:val="21"/>
                <w:szCs w:val="21"/>
                <w:lang w:val="en-US" w:eastAsia="zh-CN"/>
              </w:rPr>
              <w:t>2</w:t>
            </w:r>
            <w:r>
              <w:rPr>
                <w:rFonts w:hint="default" w:ascii="Times New Roman" w:hAnsi="Times New Roman" w:cs="Times New Roman"/>
                <w:b/>
                <w:color w:val="auto"/>
                <w:kern w:val="0"/>
                <w:sz w:val="21"/>
                <w:szCs w:val="21"/>
              </w:rPr>
              <w:t xml:space="preserve">  厂界噪声影响预测结果  单位：dB</w:t>
            </w:r>
            <w:r>
              <w:rPr>
                <w:rFonts w:hint="default" w:ascii="Times New Roman" w:hAnsi="Times New Roman" w:cs="Times New Roman"/>
                <w:b/>
                <w:color w:val="auto"/>
                <w:kern w:val="0"/>
                <w:sz w:val="21"/>
                <w:szCs w:val="21"/>
                <w:lang w:eastAsia="zh-CN"/>
              </w:rPr>
              <w:t>（</w:t>
            </w:r>
            <w:r>
              <w:rPr>
                <w:rFonts w:hint="default" w:ascii="Times New Roman" w:hAnsi="Times New Roman" w:cs="Times New Roman"/>
                <w:b/>
                <w:color w:val="auto"/>
                <w:kern w:val="0"/>
                <w:sz w:val="21"/>
                <w:szCs w:val="21"/>
                <w:lang w:val="en-US" w:eastAsia="zh-CN"/>
              </w:rPr>
              <w:t>A</w:t>
            </w:r>
            <w:r>
              <w:rPr>
                <w:rFonts w:hint="default" w:ascii="Times New Roman" w:hAnsi="Times New Roman" w:cs="Times New Roman"/>
                <w:b/>
                <w:color w:val="auto"/>
                <w:kern w:val="0"/>
                <w:sz w:val="21"/>
                <w:szCs w:val="21"/>
                <w:lang w:eastAsia="zh-CN"/>
              </w:rPr>
              <w:t>）</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3145"/>
              <w:gridCol w:w="1566"/>
              <w:gridCol w:w="1909"/>
            </w:tblGrid>
            <w:tr w14:paraId="54C01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8" w:type="pct"/>
                  <w:tcBorders>
                    <w:tl2br w:val="nil"/>
                    <w:tr2bl w:val="nil"/>
                  </w:tcBorders>
                  <w:noWrap w:val="0"/>
                  <w:vAlign w:val="center"/>
                </w:tcPr>
                <w:p w14:paraId="1435A73E">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预测点位</w:t>
                  </w:r>
                </w:p>
              </w:tc>
              <w:tc>
                <w:tcPr>
                  <w:tcW w:w="1986" w:type="pct"/>
                  <w:tcBorders>
                    <w:tl2br w:val="nil"/>
                    <w:tr2bl w:val="nil"/>
                  </w:tcBorders>
                  <w:noWrap w:val="0"/>
                  <w:vAlign w:val="center"/>
                </w:tcPr>
                <w:p w14:paraId="4722E63A">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预测值</w:t>
                  </w:r>
                </w:p>
              </w:tc>
              <w:tc>
                <w:tcPr>
                  <w:tcW w:w="989" w:type="pct"/>
                  <w:vMerge w:val="restart"/>
                  <w:tcBorders>
                    <w:tl2br w:val="nil"/>
                    <w:tr2bl w:val="nil"/>
                  </w:tcBorders>
                  <w:noWrap w:val="0"/>
                  <w:vAlign w:val="center"/>
                </w:tcPr>
                <w:p w14:paraId="765F5524">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评价标准</w:t>
                  </w:r>
                </w:p>
              </w:tc>
              <w:tc>
                <w:tcPr>
                  <w:tcW w:w="1205" w:type="pct"/>
                  <w:tcBorders>
                    <w:tl2br w:val="nil"/>
                    <w:tr2bl w:val="nil"/>
                  </w:tcBorders>
                  <w:noWrap w:val="0"/>
                  <w:vAlign w:val="center"/>
                </w:tcPr>
                <w:p w14:paraId="4AEE370D">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达标情况</w:t>
                  </w:r>
                </w:p>
              </w:tc>
            </w:tr>
            <w:tr w14:paraId="5A2B6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8" w:type="pct"/>
                  <w:tcBorders>
                    <w:tl2br w:val="nil"/>
                    <w:tr2bl w:val="nil"/>
                  </w:tcBorders>
                  <w:noWrap w:val="0"/>
                  <w:vAlign w:val="center"/>
                </w:tcPr>
                <w:p w14:paraId="6948336E">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东厂界</w:t>
                  </w:r>
                </w:p>
              </w:tc>
              <w:tc>
                <w:tcPr>
                  <w:tcW w:w="1986" w:type="pct"/>
                  <w:tcBorders>
                    <w:tl2br w:val="nil"/>
                    <w:tr2bl w:val="nil"/>
                  </w:tcBorders>
                  <w:noWrap w:val="0"/>
                  <w:vAlign w:val="center"/>
                </w:tcPr>
                <w:p w14:paraId="1CF5535B">
                  <w:pPr>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50</w:t>
                  </w:r>
                </w:p>
              </w:tc>
              <w:tc>
                <w:tcPr>
                  <w:tcW w:w="989" w:type="pct"/>
                  <w:vMerge w:val="restart"/>
                  <w:tcBorders>
                    <w:tl2br w:val="nil"/>
                    <w:tr2bl w:val="nil"/>
                  </w:tcBorders>
                  <w:noWrap w:val="0"/>
                  <w:vAlign w:val="center"/>
                </w:tcPr>
                <w:p w14:paraId="17269D38">
                  <w:pPr>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昼间≤65</w:t>
                  </w:r>
                  <w:r>
                    <w:rPr>
                      <w:rFonts w:hint="eastAsia" w:ascii="Times New Roman" w:hAnsi="Times New Roman" w:cs="Times New Roman"/>
                      <w:color w:val="auto"/>
                      <w:sz w:val="18"/>
                      <w:szCs w:val="18"/>
                      <w:lang w:eastAsia="zh-CN"/>
                    </w:rPr>
                    <w:t>，夜间</w:t>
                  </w:r>
                  <w:r>
                    <w:rPr>
                      <w:rFonts w:hint="default" w:ascii="Times New Roman" w:hAnsi="Times New Roman" w:cs="Times New Roman"/>
                      <w:color w:val="auto"/>
                      <w:sz w:val="18"/>
                      <w:szCs w:val="18"/>
                    </w:rPr>
                    <w:t>≤</w:t>
                  </w:r>
                  <w:r>
                    <w:rPr>
                      <w:rFonts w:hint="eastAsia" w:ascii="Times New Roman" w:hAnsi="Times New Roman" w:cs="Times New Roman"/>
                      <w:color w:val="auto"/>
                      <w:sz w:val="18"/>
                      <w:szCs w:val="18"/>
                      <w:lang w:val="en-US" w:eastAsia="zh-CN"/>
                    </w:rPr>
                    <w:t>55</w:t>
                  </w:r>
                </w:p>
              </w:tc>
              <w:tc>
                <w:tcPr>
                  <w:tcW w:w="1909" w:type="dxa"/>
                  <w:tcBorders>
                    <w:tl2br w:val="nil"/>
                    <w:tr2bl w:val="nil"/>
                  </w:tcBorders>
                  <w:noWrap w:val="0"/>
                  <w:vAlign w:val="center"/>
                </w:tcPr>
                <w:p w14:paraId="18A3C487">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达标</w:t>
                  </w:r>
                </w:p>
              </w:tc>
            </w:tr>
            <w:tr w14:paraId="1C1BD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8" w:type="pct"/>
                  <w:tcBorders>
                    <w:tl2br w:val="nil"/>
                    <w:tr2bl w:val="nil"/>
                  </w:tcBorders>
                  <w:noWrap w:val="0"/>
                  <w:vAlign w:val="center"/>
                </w:tcPr>
                <w:p w14:paraId="4BDD64B2">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南厂界</w:t>
                  </w:r>
                </w:p>
              </w:tc>
              <w:tc>
                <w:tcPr>
                  <w:tcW w:w="1986" w:type="pct"/>
                  <w:tcBorders>
                    <w:tl2br w:val="nil"/>
                    <w:tr2bl w:val="nil"/>
                  </w:tcBorders>
                  <w:noWrap w:val="0"/>
                  <w:vAlign w:val="center"/>
                </w:tcPr>
                <w:p w14:paraId="0F855ECA">
                  <w:pPr>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53</w:t>
                  </w:r>
                </w:p>
              </w:tc>
              <w:tc>
                <w:tcPr>
                  <w:tcW w:w="989" w:type="pct"/>
                  <w:vMerge w:val="continue"/>
                  <w:tcBorders>
                    <w:tl2br w:val="nil"/>
                    <w:tr2bl w:val="nil"/>
                  </w:tcBorders>
                  <w:noWrap w:val="0"/>
                  <w:vAlign w:val="center"/>
                </w:tcPr>
                <w:p w14:paraId="3C33FF19">
                  <w:pPr>
                    <w:widowControl/>
                    <w:jc w:val="center"/>
                    <w:rPr>
                      <w:rFonts w:hint="default" w:ascii="Times New Roman" w:hAnsi="Times New Roman" w:cs="Times New Roman"/>
                      <w:color w:val="auto"/>
                      <w:sz w:val="18"/>
                      <w:szCs w:val="18"/>
                    </w:rPr>
                  </w:pPr>
                </w:p>
              </w:tc>
              <w:tc>
                <w:tcPr>
                  <w:tcW w:w="1909" w:type="dxa"/>
                  <w:tcBorders>
                    <w:tl2br w:val="nil"/>
                    <w:tr2bl w:val="nil"/>
                  </w:tcBorders>
                  <w:noWrap w:val="0"/>
                  <w:vAlign w:val="center"/>
                </w:tcPr>
                <w:p w14:paraId="6DD3E0B8">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达标</w:t>
                  </w:r>
                </w:p>
              </w:tc>
            </w:tr>
            <w:tr w14:paraId="61C89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8" w:type="pct"/>
                  <w:tcBorders>
                    <w:tl2br w:val="nil"/>
                    <w:tr2bl w:val="nil"/>
                  </w:tcBorders>
                  <w:noWrap w:val="0"/>
                  <w:vAlign w:val="center"/>
                </w:tcPr>
                <w:p w14:paraId="077A44E2">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西厂界</w:t>
                  </w:r>
                </w:p>
              </w:tc>
              <w:tc>
                <w:tcPr>
                  <w:tcW w:w="1986" w:type="pct"/>
                  <w:tcBorders>
                    <w:tl2br w:val="nil"/>
                    <w:tr2bl w:val="nil"/>
                  </w:tcBorders>
                  <w:noWrap w:val="0"/>
                  <w:vAlign w:val="center"/>
                </w:tcPr>
                <w:p w14:paraId="06DFC762">
                  <w:pPr>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51</w:t>
                  </w:r>
                </w:p>
              </w:tc>
              <w:tc>
                <w:tcPr>
                  <w:tcW w:w="989" w:type="pct"/>
                  <w:vMerge w:val="continue"/>
                  <w:tcBorders>
                    <w:tl2br w:val="nil"/>
                    <w:tr2bl w:val="nil"/>
                  </w:tcBorders>
                  <w:noWrap w:val="0"/>
                  <w:vAlign w:val="center"/>
                </w:tcPr>
                <w:p w14:paraId="0B1D3325">
                  <w:pPr>
                    <w:widowControl/>
                    <w:jc w:val="center"/>
                    <w:rPr>
                      <w:rFonts w:hint="default" w:ascii="Times New Roman" w:hAnsi="Times New Roman" w:cs="Times New Roman"/>
                      <w:color w:val="auto"/>
                      <w:sz w:val="18"/>
                      <w:szCs w:val="18"/>
                    </w:rPr>
                  </w:pPr>
                </w:p>
              </w:tc>
              <w:tc>
                <w:tcPr>
                  <w:tcW w:w="1909" w:type="dxa"/>
                  <w:tcBorders>
                    <w:tl2br w:val="nil"/>
                    <w:tr2bl w:val="nil"/>
                  </w:tcBorders>
                  <w:noWrap w:val="0"/>
                  <w:vAlign w:val="center"/>
                </w:tcPr>
                <w:p w14:paraId="215AE1B0">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达标</w:t>
                  </w:r>
                </w:p>
              </w:tc>
            </w:tr>
            <w:tr w14:paraId="16ECA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8" w:type="pct"/>
                  <w:tcBorders>
                    <w:tl2br w:val="nil"/>
                    <w:tr2bl w:val="nil"/>
                  </w:tcBorders>
                  <w:noWrap w:val="0"/>
                  <w:vAlign w:val="center"/>
                </w:tcPr>
                <w:p w14:paraId="7DB9F03D">
                  <w:pPr>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北厂界</w:t>
                  </w:r>
                </w:p>
              </w:tc>
              <w:tc>
                <w:tcPr>
                  <w:tcW w:w="1986" w:type="pct"/>
                  <w:tcBorders>
                    <w:tl2br w:val="nil"/>
                    <w:tr2bl w:val="nil"/>
                  </w:tcBorders>
                  <w:noWrap w:val="0"/>
                  <w:vAlign w:val="center"/>
                </w:tcPr>
                <w:p w14:paraId="432A4CAA">
                  <w:pPr>
                    <w:snapToGrid w:val="0"/>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989" w:type="pct"/>
                  <w:vMerge w:val="continue"/>
                  <w:tcBorders>
                    <w:tl2br w:val="nil"/>
                    <w:tr2bl w:val="nil"/>
                  </w:tcBorders>
                  <w:noWrap w:val="0"/>
                  <w:vAlign w:val="center"/>
                </w:tcPr>
                <w:p w14:paraId="7E1C951B">
                  <w:pPr>
                    <w:widowControl/>
                    <w:jc w:val="center"/>
                    <w:rPr>
                      <w:rFonts w:hint="default" w:ascii="Times New Roman" w:hAnsi="Times New Roman" w:cs="Times New Roman"/>
                      <w:color w:val="auto"/>
                      <w:sz w:val="18"/>
                      <w:szCs w:val="18"/>
                    </w:rPr>
                  </w:pPr>
                </w:p>
              </w:tc>
              <w:tc>
                <w:tcPr>
                  <w:tcW w:w="1205" w:type="pct"/>
                  <w:tcBorders>
                    <w:tl2br w:val="nil"/>
                    <w:tr2bl w:val="nil"/>
                  </w:tcBorders>
                  <w:noWrap w:val="0"/>
                  <w:vAlign w:val="center"/>
                </w:tcPr>
                <w:p w14:paraId="3FA095A3">
                  <w:pPr>
                    <w:snapToGrid w:val="0"/>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r>
          </w:tbl>
          <w:p w14:paraId="7C054CD5">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由上表可知，</w:t>
            </w:r>
            <w:r>
              <w:rPr>
                <w:rFonts w:hint="default" w:ascii="Times New Roman" w:hAnsi="Times New Roman" w:eastAsia="宋体" w:cs="Times New Roman"/>
                <w:color w:val="auto"/>
                <w:szCs w:val="21"/>
                <w:lang w:eastAsia="zh-CN"/>
              </w:rPr>
              <w:t>经预测，</w:t>
            </w:r>
            <w:r>
              <w:rPr>
                <w:rFonts w:hint="default" w:ascii="Times New Roman" w:hAnsi="Times New Roman" w:cs="Times New Roman"/>
                <w:color w:val="auto"/>
                <w:szCs w:val="21"/>
              </w:rPr>
              <w:t>本项目生产厂房内设备经采取措施后</w:t>
            </w:r>
            <w:r>
              <w:rPr>
                <w:rFonts w:hint="default" w:ascii="Times New Roman" w:hAnsi="Times New Roman" w:eastAsia="宋体" w:cs="Times New Roman"/>
                <w:color w:val="auto"/>
                <w:szCs w:val="21"/>
              </w:rPr>
              <w:t>，产生的噪声在厂界</w:t>
            </w:r>
            <w:r>
              <w:rPr>
                <w:rFonts w:hint="eastAsia" w:ascii="Times New Roman" w:hAnsi="Times New Roman" w:cs="Times New Roman"/>
                <w:color w:val="auto"/>
                <w:szCs w:val="21"/>
                <w:lang w:eastAsia="zh-CN"/>
              </w:rPr>
              <w:t>昼、夜均</w:t>
            </w:r>
            <w:r>
              <w:rPr>
                <w:rFonts w:hint="default" w:ascii="Times New Roman" w:hAnsi="Times New Roman" w:eastAsia="宋体" w:cs="Times New Roman"/>
                <w:color w:val="auto"/>
                <w:szCs w:val="21"/>
              </w:rPr>
              <w:t>能够达到《工业企业厂界环境噪声排放标准》（GB12348-2008）中3类标准限值要求。</w:t>
            </w:r>
          </w:p>
          <w:p w14:paraId="3AE9474F">
            <w:pPr>
              <w:spacing w:line="360" w:lineRule="auto"/>
              <w:ind w:firstLine="422" w:firstLineChars="200"/>
              <w:rPr>
                <w:rFonts w:hint="default" w:ascii="Times New Roman" w:hAnsi="Times New Roman" w:cs="Times New Roman"/>
                <w:b/>
                <w:color w:val="auto"/>
                <w:szCs w:val="21"/>
              </w:rPr>
            </w:pPr>
            <w:r>
              <w:rPr>
                <w:rFonts w:hint="default" w:ascii="Times New Roman" w:hAnsi="Times New Roman" w:cs="Times New Roman"/>
                <w:b/>
                <w:color w:val="auto"/>
                <w:szCs w:val="21"/>
              </w:rPr>
              <w:t>（3）监测要求</w:t>
            </w:r>
          </w:p>
          <w:p w14:paraId="42992E9E">
            <w:pPr>
              <w:spacing w:line="360" w:lineRule="auto"/>
              <w:ind w:firstLine="420" w:firstLineChars="200"/>
              <w:rPr>
                <w:rFonts w:hint="default" w:ascii="Times New Roman" w:hAnsi="Times New Roman" w:cs="Times New Roman"/>
                <w:color w:val="auto"/>
              </w:rPr>
            </w:pPr>
            <w:r>
              <w:rPr>
                <w:rFonts w:hint="default" w:ascii="Times New Roman" w:hAnsi="Times New Roman" w:cs="Times New Roman"/>
                <w:color w:val="auto"/>
              </w:rPr>
              <w:t>根据《排污单位自行监测技术指南 总则》（HJ819-2017）、</w:t>
            </w:r>
            <w:r>
              <w:rPr>
                <w:rFonts w:hint="default" w:ascii="Times New Roman" w:hAnsi="Times New Roman" w:cs="Times New Roman"/>
                <w:color w:val="auto"/>
                <w:szCs w:val="21"/>
              </w:rPr>
              <w:t>《排污单位自行监测技术指南橡胶和塑料制品》</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HJ 1207—2021</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lang w:eastAsia="zh-CN"/>
              </w:rPr>
              <w:t>、《排污许可证申请与核发技术规范 工业噪声》（HJ 1301- -2023）</w:t>
            </w:r>
            <w:r>
              <w:rPr>
                <w:rFonts w:hint="default" w:ascii="Times New Roman" w:hAnsi="Times New Roman" w:cs="Times New Roman"/>
                <w:color w:val="auto"/>
              </w:rPr>
              <w:t>，本项目噪声自行监测要求情况见下表：</w:t>
            </w:r>
          </w:p>
          <w:p w14:paraId="4FCA2415">
            <w:pPr>
              <w:ind w:firstLine="422" w:firstLineChars="200"/>
              <w:jc w:val="center"/>
              <w:rPr>
                <w:rFonts w:hint="default" w:ascii="Times New Roman" w:hAnsi="Times New Roman" w:cs="Times New Roman"/>
                <w:b/>
                <w:color w:val="auto"/>
                <w:sz w:val="24"/>
              </w:rPr>
            </w:pPr>
            <w:r>
              <w:rPr>
                <w:rFonts w:hint="default" w:ascii="Times New Roman" w:hAnsi="Times New Roman" w:cs="Times New Roman"/>
                <w:b/>
                <w:color w:val="auto"/>
              </w:rPr>
              <w:t>表4-</w:t>
            </w:r>
            <w:r>
              <w:rPr>
                <w:rFonts w:hint="default" w:ascii="Times New Roman" w:hAnsi="Times New Roman" w:cs="Times New Roman"/>
                <w:b/>
                <w:color w:val="auto"/>
                <w:lang w:val="en-US" w:eastAsia="zh-CN"/>
              </w:rPr>
              <w:t>1</w:t>
            </w:r>
            <w:r>
              <w:rPr>
                <w:rFonts w:hint="eastAsia" w:ascii="Times New Roman" w:hAnsi="Times New Roman" w:cs="Times New Roman"/>
                <w:b/>
                <w:color w:val="auto"/>
                <w:lang w:val="en-US" w:eastAsia="zh-CN"/>
              </w:rPr>
              <w:t>3</w:t>
            </w:r>
            <w:r>
              <w:rPr>
                <w:rFonts w:hint="default" w:ascii="Times New Roman" w:hAnsi="Times New Roman" w:cs="Times New Roman"/>
                <w:b/>
                <w:color w:val="auto"/>
              </w:rPr>
              <w:t xml:space="preserve">  本项目噪声自行监测情况一览表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6"/>
              <w:gridCol w:w="1993"/>
              <w:gridCol w:w="1191"/>
              <w:gridCol w:w="3103"/>
            </w:tblGrid>
            <w:tr w14:paraId="70B7A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27" w:type="pct"/>
                  <w:noWrap w:val="0"/>
                  <w:vAlign w:val="center"/>
                </w:tcPr>
                <w:p w14:paraId="0AA88497">
                  <w:pPr>
                    <w:adjustRightInd w:val="0"/>
                    <w:snapToGrid w:val="0"/>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监测点位</w:t>
                  </w:r>
                </w:p>
              </w:tc>
              <w:tc>
                <w:tcPr>
                  <w:tcW w:w="1259" w:type="pct"/>
                  <w:noWrap w:val="0"/>
                  <w:vAlign w:val="center"/>
                </w:tcPr>
                <w:p w14:paraId="6896465F">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监测指标</w:t>
                  </w:r>
                </w:p>
              </w:tc>
              <w:tc>
                <w:tcPr>
                  <w:tcW w:w="752" w:type="pct"/>
                  <w:noWrap w:val="0"/>
                  <w:vAlign w:val="center"/>
                </w:tcPr>
                <w:p w14:paraId="29942FFB">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监测频次</w:t>
                  </w:r>
                </w:p>
              </w:tc>
              <w:tc>
                <w:tcPr>
                  <w:tcW w:w="1960" w:type="pct"/>
                  <w:noWrap w:val="0"/>
                  <w:vAlign w:val="center"/>
                </w:tcPr>
                <w:p w14:paraId="2DA7211C">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执行标准</w:t>
                  </w:r>
                </w:p>
              </w:tc>
            </w:tr>
            <w:tr w14:paraId="32E43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27" w:type="pct"/>
                  <w:noWrap w:val="0"/>
                  <w:vAlign w:val="center"/>
                </w:tcPr>
                <w:p w14:paraId="05222E04">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厂界外1m</w:t>
                  </w:r>
                </w:p>
              </w:tc>
              <w:tc>
                <w:tcPr>
                  <w:tcW w:w="1259" w:type="pct"/>
                  <w:noWrap w:val="0"/>
                  <w:vAlign w:val="center"/>
                </w:tcPr>
                <w:p w14:paraId="7CE2DD02">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等效连续A声级（Leq）</w:t>
                  </w:r>
                </w:p>
              </w:tc>
              <w:tc>
                <w:tcPr>
                  <w:tcW w:w="752" w:type="pct"/>
                  <w:noWrap w:val="0"/>
                  <w:vAlign w:val="center"/>
                </w:tcPr>
                <w:p w14:paraId="7D8A3D39">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每季度一次</w:t>
                  </w:r>
                </w:p>
              </w:tc>
              <w:tc>
                <w:tcPr>
                  <w:tcW w:w="1960" w:type="pct"/>
                  <w:noWrap w:val="0"/>
                  <w:vAlign w:val="center"/>
                </w:tcPr>
                <w:p w14:paraId="3D01427F">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《工业企业厂界环境噪声排放标准》</w:t>
                  </w:r>
                  <w:r>
                    <w:rPr>
                      <w:rFonts w:hint="default" w:ascii="Times New Roman" w:hAnsi="Times New Roman" w:cs="Times New Roman"/>
                      <w:color w:val="auto"/>
                      <w:sz w:val="18"/>
                      <w:szCs w:val="18"/>
                    </w:rPr>
                    <w:t>（GB12348-2008）</w:t>
                  </w:r>
                  <w:r>
                    <w:rPr>
                      <w:rFonts w:hint="default" w:ascii="Times New Roman" w:hAnsi="Times New Roman" w:cs="Times New Roman"/>
                      <w:bCs/>
                      <w:color w:val="auto"/>
                      <w:sz w:val="18"/>
                      <w:szCs w:val="18"/>
                    </w:rPr>
                    <w:t>3类标准要求</w:t>
                  </w:r>
                </w:p>
              </w:tc>
            </w:tr>
          </w:tbl>
          <w:p w14:paraId="533987BE">
            <w:pPr>
              <w:adjustRightInd w:val="0"/>
              <w:snapToGrid w:val="0"/>
              <w:spacing w:line="360" w:lineRule="auto"/>
              <w:rPr>
                <w:rFonts w:hint="default" w:ascii="Times New Roman" w:hAnsi="Times New Roman" w:cs="Times New Roman"/>
                <w:b/>
                <w:bCs/>
                <w:color w:val="auto"/>
                <w:spacing w:val="-10"/>
                <w:szCs w:val="21"/>
              </w:rPr>
            </w:pPr>
            <w:r>
              <w:rPr>
                <w:rFonts w:hint="default" w:ascii="Times New Roman" w:hAnsi="Times New Roman" w:cs="Times New Roman"/>
                <w:b/>
                <w:bCs/>
                <w:color w:val="auto"/>
                <w:spacing w:val="-10"/>
                <w:szCs w:val="21"/>
              </w:rPr>
              <w:t>4.5固体废物环境影响及保护措施</w:t>
            </w:r>
          </w:p>
          <w:p w14:paraId="20881E21">
            <w:pPr>
              <w:adjustRightInd w:val="0"/>
              <w:snapToGrid w:val="0"/>
              <w:spacing w:line="360" w:lineRule="auto"/>
              <w:ind w:firstLine="382" w:firstLineChars="200"/>
              <w:rPr>
                <w:rFonts w:hint="default" w:ascii="Times New Roman" w:hAnsi="Times New Roman" w:cs="Times New Roman"/>
                <w:b/>
                <w:bCs/>
                <w:color w:val="auto"/>
                <w:spacing w:val="-10"/>
                <w:szCs w:val="21"/>
              </w:rPr>
            </w:pPr>
            <w:r>
              <w:rPr>
                <w:rFonts w:hint="default" w:ascii="Times New Roman" w:hAnsi="Times New Roman" w:cs="Times New Roman"/>
                <w:b/>
                <w:bCs/>
                <w:color w:val="auto"/>
                <w:spacing w:val="-10"/>
                <w:szCs w:val="21"/>
              </w:rPr>
              <w:t>（1）固体废物产生情况</w:t>
            </w:r>
          </w:p>
          <w:p w14:paraId="07904108">
            <w:pPr>
              <w:adjustRightInd w:val="0"/>
              <w:snapToGrid w:val="0"/>
              <w:spacing w:line="360" w:lineRule="auto"/>
              <w:ind w:firstLine="380" w:firstLineChars="200"/>
              <w:rPr>
                <w:rFonts w:hint="default" w:ascii="Times New Roman" w:hAnsi="Times New Roman" w:cs="Times New Roman"/>
                <w:bCs/>
                <w:color w:val="auto"/>
                <w:spacing w:val="-10"/>
                <w:szCs w:val="21"/>
              </w:rPr>
            </w:pPr>
            <w:r>
              <w:rPr>
                <w:rFonts w:hint="default" w:ascii="Times New Roman" w:hAnsi="Times New Roman" w:cs="Times New Roman"/>
                <w:bCs/>
                <w:color w:val="auto"/>
                <w:spacing w:val="-10"/>
                <w:szCs w:val="21"/>
              </w:rPr>
              <w:t>本项目营运期产生的固体废物主要包括危险废物、一般工业固废。</w:t>
            </w:r>
          </w:p>
          <w:p w14:paraId="4649C97D">
            <w:pPr>
              <w:adjustRightInd w:val="0"/>
              <w:snapToGrid w:val="0"/>
              <w:spacing w:line="360" w:lineRule="auto"/>
              <w:ind w:firstLine="422" w:firstLineChars="200"/>
              <w:rPr>
                <w:rFonts w:hint="default" w:ascii="Times New Roman" w:hAnsi="Times New Roman" w:cs="Times New Roman"/>
                <w:b/>
                <w:color w:val="auto"/>
                <w:szCs w:val="21"/>
              </w:rPr>
            </w:pPr>
            <w:r>
              <w:rPr>
                <w:rFonts w:hint="default" w:ascii="Times New Roman" w:hAnsi="Times New Roman" w:cs="Times New Roman"/>
                <w:b/>
                <w:color w:val="auto"/>
                <w:szCs w:val="21"/>
              </w:rPr>
              <w:t>①一般工业固废</w:t>
            </w:r>
          </w:p>
          <w:p w14:paraId="063C92EA">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一般工业固废主要包括</w:t>
            </w:r>
            <w:r>
              <w:rPr>
                <w:rFonts w:hint="default" w:ascii="Times New Roman" w:hAnsi="Times New Roman" w:cs="Times New Roman"/>
                <w:color w:val="auto"/>
                <w:szCs w:val="21"/>
                <w:lang w:eastAsia="zh-CN"/>
              </w:rPr>
              <w:t>废包装材料</w:t>
            </w:r>
            <w:r>
              <w:rPr>
                <w:rFonts w:hint="eastAsia" w:ascii="Times New Roman" w:hAnsi="Times New Roman" w:cs="Times New Roman"/>
                <w:color w:val="auto"/>
                <w:szCs w:val="21"/>
                <w:lang w:val="en-US" w:eastAsia="zh-CN"/>
              </w:rPr>
              <w:t>S1</w:t>
            </w:r>
            <w:r>
              <w:rPr>
                <w:rFonts w:hint="default" w:ascii="Times New Roman" w:hAnsi="Times New Roman" w:cs="Times New Roman"/>
                <w:color w:val="auto"/>
                <w:szCs w:val="21"/>
                <w:lang w:eastAsia="zh-CN"/>
              </w:rPr>
              <w:t>、废边角料</w:t>
            </w:r>
            <w:r>
              <w:rPr>
                <w:rFonts w:hint="eastAsia" w:ascii="Times New Roman" w:hAnsi="Times New Roman" w:cs="Times New Roman"/>
                <w:color w:val="auto"/>
                <w:szCs w:val="21"/>
                <w:lang w:val="en-US" w:eastAsia="zh-CN"/>
              </w:rPr>
              <w:t>S2</w:t>
            </w:r>
            <w:r>
              <w:rPr>
                <w:rFonts w:hint="default" w:ascii="Times New Roman" w:hAnsi="Times New Roman" w:cs="Times New Roman"/>
                <w:color w:val="auto"/>
                <w:szCs w:val="21"/>
                <w:lang w:eastAsia="zh-CN"/>
              </w:rPr>
              <w:t>、不合格品</w:t>
            </w:r>
            <w:r>
              <w:rPr>
                <w:rFonts w:hint="eastAsia" w:ascii="Times New Roman" w:hAnsi="Times New Roman" w:cs="Times New Roman"/>
                <w:color w:val="auto"/>
                <w:szCs w:val="21"/>
                <w:lang w:val="en-US" w:eastAsia="zh-CN"/>
              </w:rPr>
              <w:t>S3</w:t>
            </w:r>
            <w:r>
              <w:rPr>
                <w:rFonts w:hint="default" w:ascii="Times New Roman" w:hAnsi="Times New Roman" w:cs="Times New Roman"/>
                <w:color w:val="auto"/>
                <w:szCs w:val="21"/>
              </w:rPr>
              <w:t>。</w:t>
            </w:r>
          </w:p>
          <w:p w14:paraId="74D2D8AA">
            <w:pPr>
              <w:adjustRightInd w:val="0"/>
              <w:snapToGrid w:val="0"/>
              <w:spacing w:line="360" w:lineRule="auto"/>
              <w:ind w:firstLine="422" w:firstLineChars="200"/>
              <w:rPr>
                <w:rFonts w:hint="default" w:ascii="Times New Roman" w:hAnsi="Times New Roman" w:cs="Times New Roman"/>
                <w:b/>
                <w:color w:val="auto"/>
                <w:szCs w:val="21"/>
              </w:rPr>
            </w:pPr>
            <w:r>
              <w:rPr>
                <w:rFonts w:hint="default" w:ascii="Times New Roman" w:hAnsi="Times New Roman" w:cs="Times New Roman"/>
                <w:b/>
                <w:color w:val="auto"/>
                <w:szCs w:val="21"/>
              </w:rPr>
              <w:t>废包装材料S</w:t>
            </w:r>
            <w:r>
              <w:rPr>
                <w:rFonts w:hint="default" w:ascii="Times New Roman" w:hAnsi="Times New Roman" w:cs="Times New Roman"/>
                <w:b/>
                <w:color w:val="auto"/>
                <w:szCs w:val="21"/>
                <w:lang w:val="en-US" w:eastAsia="zh-CN"/>
              </w:rPr>
              <w:t>1</w:t>
            </w:r>
            <w:r>
              <w:rPr>
                <w:rFonts w:hint="default" w:ascii="Times New Roman" w:hAnsi="Times New Roman" w:cs="Times New Roman"/>
                <w:b/>
                <w:color w:val="auto"/>
                <w:szCs w:val="21"/>
              </w:rPr>
              <w:t>：</w:t>
            </w:r>
            <w:r>
              <w:rPr>
                <w:rFonts w:hint="default" w:ascii="Times New Roman" w:hAnsi="Times New Roman" w:cs="Times New Roman"/>
                <w:color w:val="auto"/>
                <w:szCs w:val="21"/>
              </w:rPr>
              <w:t>主要为编织袋、塑料袋等，产生量约</w:t>
            </w:r>
            <w:r>
              <w:rPr>
                <w:rFonts w:hint="default" w:ascii="Times New Roman" w:hAnsi="Times New Roman" w:cs="Times New Roman"/>
                <w:color w:val="auto"/>
                <w:szCs w:val="21"/>
                <w:lang w:val="en-US" w:eastAsia="zh-CN"/>
              </w:rPr>
              <w:t>10</w:t>
            </w:r>
            <w:r>
              <w:rPr>
                <w:rFonts w:hint="default" w:ascii="Times New Roman" w:hAnsi="Times New Roman" w:cs="Times New Roman"/>
                <w:color w:val="auto"/>
                <w:szCs w:val="21"/>
              </w:rPr>
              <w:t>t/a，</w:t>
            </w:r>
            <w:r>
              <w:rPr>
                <w:rFonts w:hint="default" w:ascii="Times New Roman" w:hAnsi="Times New Roman" w:cs="Times New Roman"/>
                <w:snapToGrid w:val="0"/>
                <w:color w:val="auto"/>
                <w:kern w:val="0"/>
                <w:szCs w:val="21"/>
              </w:rPr>
              <w:t>一般固体废物代码为</w:t>
            </w:r>
            <w:r>
              <w:rPr>
                <w:rFonts w:hint="default" w:ascii="Times New Roman" w:hAnsi="Times New Roman" w:cs="Times New Roman"/>
                <w:snapToGrid w:val="0"/>
                <w:color w:val="auto"/>
                <w:kern w:val="0"/>
                <w:szCs w:val="21"/>
                <w:lang w:val="en-US" w:eastAsia="zh-CN"/>
              </w:rPr>
              <w:t>900-003-S17</w:t>
            </w:r>
            <w:r>
              <w:rPr>
                <w:rFonts w:hint="default" w:ascii="Times New Roman" w:hAnsi="Times New Roman" w:cs="Times New Roman"/>
                <w:snapToGrid w:val="0"/>
                <w:color w:val="auto"/>
                <w:kern w:val="0"/>
                <w:szCs w:val="21"/>
              </w:rPr>
              <w:t>，</w:t>
            </w:r>
            <w:r>
              <w:rPr>
                <w:rFonts w:hint="default" w:ascii="Times New Roman" w:hAnsi="Times New Roman" w:cs="Times New Roman"/>
                <w:color w:val="auto"/>
                <w:szCs w:val="21"/>
              </w:rPr>
              <w:t>集中收集后交由废品回收单位处理。</w:t>
            </w:r>
          </w:p>
          <w:p w14:paraId="31B03340">
            <w:pPr>
              <w:adjustRightInd w:val="0"/>
              <w:snapToGrid w:val="0"/>
              <w:spacing w:line="360" w:lineRule="auto"/>
              <w:ind w:firstLine="422" w:firstLineChars="200"/>
              <w:rPr>
                <w:rFonts w:hint="default" w:ascii="Times New Roman" w:hAnsi="Times New Roman" w:cs="Times New Roman"/>
                <w:b/>
                <w:color w:val="auto"/>
                <w:szCs w:val="21"/>
              </w:rPr>
            </w:pPr>
            <w:r>
              <w:rPr>
                <w:rFonts w:hint="default" w:ascii="Times New Roman" w:hAnsi="Times New Roman" w:cs="Times New Roman"/>
                <w:b/>
                <w:bCs/>
                <w:color w:val="auto"/>
                <w:szCs w:val="21"/>
                <w:lang w:val="en-US" w:eastAsia="zh-CN"/>
              </w:rPr>
              <w:t>边角料S2：</w:t>
            </w:r>
            <w:r>
              <w:rPr>
                <w:rFonts w:hint="default" w:ascii="Times New Roman" w:hAnsi="Times New Roman" w:cs="Times New Roman"/>
                <w:color w:val="auto"/>
                <w:szCs w:val="21"/>
              </w:rPr>
              <w:t>本项目</w:t>
            </w:r>
            <w:r>
              <w:rPr>
                <w:rFonts w:hint="default" w:ascii="Times New Roman" w:hAnsi="Times New Roman" w:cs="Times New Roman"/>
                <w:color w:val="auto"/>
                <w:szCs w:val="21"/>
                <w:lang w:val="en-US" w:eastAsia="zh-CN"/>
              </w:rPr>
              <w:t>塑料制品修边</w:t>
            </w:r>
            <w:r>
              <w:rPr>
                <w:rFonts w:hint="default" w:ascii="Times New Roman" w:hAnsi="Times New Roman" w:cs="Times New Roman"/>
                <w:color w:val="auto"/>
                <w:szCs w:val="21"/>
              </w:rPr>
              <w:t>过程中以及更换模具时模具</w:t>
            </w:r>
            <w:r>
              <w:rPr>
                <w:rFonts w:hint="eastAsia" w:ascii="Times New Roman" w:hAnsi="Times New Roman" w:cs="Times New Roman"/>
                <w:color w:val="auto"/>
                <w:szCs w:val="21"/>
                <w:lang w:eastAsia="zh-CN"/>
              </w:rPr>
              <w:t>内侧</w:t>
            </w:r>
            <w:r>
              <w:rPr>
                <w:rFonts w:hint="default" w:ascii="Times New Roman" w:hAnsi="Times New Roman" w:cs="Times New Roman"/>
                <w:color w:val="auto"/>
                <w:szCs w:val="21"/>
                <w:lang w:val="en-US" w:eastAsia="zh-CN"/>
              </w:rPr>
              <w:t>会产生废边角</w:t>
            </w:r>
            <w:r>
              <w:rPr>
                <w:rFonts w:hint="default" w:ascii="Times New Roman" w:hAnsi="Times New Roman" w:cs="Times New Roman"/>
                <w:color w:val="auto"/>
                <w:szCs w:val="21"/>
              </w:rPr>
              <w:t>料，</w:t>
            </w:r>
            <w:r>
              <w:rPr>
                <w:rFonts w:hint="default" w:ascii="Times New Roman" w:hAnsi="Times New Roman" w:cs="Times New Roman"/>
                <w:color w:val="auto"/>
                <w:szCs w:val="21"/>
                <w:lang w:val="en-US" w:eastAsia="zh-CN"/>
              </w:rPr>
              <w:t>根据业主现有生产经验，</w:t>
            </w:r>
            <w:r>
              <w:rPr>
                <w:rFonts w:hint="default" w:ascii="Times New Roman" w:hAnsi="Times New Roman" w:cs="Times New Roman"/>
                <w:color w:val="auto"/>
                <w:szCs w:val="21"/>
              </w:rPr>
              <w:t>废边角料</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废塑料材料</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产生量约</w:t>
            </w:r>
            <w:r>
              <w:rPr>
                <w:rFonts w:hint="eastAsia" w:ascii="Times New Roman" w:hAnsi="Times New Roman" w:cs="Times New Roman"/>
                <w:color w:val="auto"/>
                <w:szCs w:val="21"/>
                <w:lang w:val="en-US" w:eastAsia="zh-CN"/>
              </w:rPr>
              <w:t>20</w:t>
            </w:r>
            <w:r>
              <w:rPr>
                <w:rFonts w:hint="default" w:ascii="Times New Roman" w:hAnsi="Times New Roman" w:cs="Times New Roman"/>
                <w:color w:val="auto"/>
                <w:szCs w:val="21"/>
                <w:lang w:val="en-US" w:eastAsia="zh-CN"/>
              </w:rPr>
              <w:t>t/a，</w:t>
            </w:r>
            <w:r>
              <w:rPr>
                <w:rFonts w:hint="default" w:ascii="Times New Roman" w:hAnsi="Times New Roman" w:cs="Times New Roman"/>
                <w:snapToGrid w:val="0"/>
                <w:color w:val="auto"/>
                <w:kern w:val="0"/>
                <w:szCs w:val="21"/>
              </w:rPr>
              <w:t>一般固体废物代码为</w:t>
            </w:r>
            <w:r>
              <w:rPr>
                <w:rFonts w:hint="default" w:ascii="Times New Roman" w:hAnsi="Times New Roman" w:cs="Times New Roman"/>
                <w:snapToGrid w:val="0"/>
                <w:color w:val="auto"/>
                <w:kern w:val="0"/>
                <w:szCs w:val="21"/>
                <w:lang w:val="en-US" w:eastAsia="zh-CN"/>
              </w:rPr>
              <w:t>900-003-S17</w:t>
            </w:r>
            <w:r>
              <w:rPr>
                <w:rFonts w:hint="default" w:ascii="Times New Roman" w:hAnsi="Times New Roman" w:cs="Times New Roman"/>
                <w:snapToGrid w:val="0"/>
                <w:color w:val="auto"/>
                <w:kern w:val="0"/>
                <w:szCs w:val="21"/>
                <w:lang w:eastAsia="zh-CN"/>
              </w:rPr>
              <w:t>，</w:t>
            </w:r>
            <w:r>
              <w:rPr>
                <w:rFonts w:hint="default" w:ascii="Times New Roman" w:hAnsi="Times New Roman" w:cs="Times New Roman"/>
                <w:color w:val="auto"/>
                <w:szCs w:val="21"/>
                <w:lang w:val="en-US" w:eastAsia="zh-CN"/>
              </w:rPr>
              <w:t>经破碎机破碎以后回用于生产线。</w:t>
            </w:r>
          </w:p>
          <w:p w14:paraId="6E289566">
            <w:pPr>
              <w:adjustRightInd w:val="0"/>
              <w:snapToGrid w:val="0"/>
              <w:spacing w:line="360" w:lineRule="auto"/>
              <w:ind w:firstLine="422" w:firstLineChars="200"/>
              <w:rPr>
                <w:rFonts w:hint="default" w:ascii="Times New Roman" w:hAnsi="Times New Roman" w:cs="Times New Roman"/>
                <w:b w:val="0"/>
                <w:bCs w:val="0"/>
                <w:color w:val="auto"/>
                <w:szCs w:val="21"/>
                <w:lang w:val="en-US" w:eastAsia="zh-CN"/>
              </w:rPr>
            </w:pPr>
            <w:r>
              <w:rPr>
                <w:rFonts w:hint="default" w:ascii="Times New Roman" w:hAnsi="Times New Roman" w:cs="Times New Roman"/>
                <w:b/>
                <w:color w:val="auto"/>
                <w:szCs w:val="21"/>
              </w:rPr>
              <w:t>不合格产品S</w:t>
            </w:r>
            <w:r>
              <w:rPr>
                <w:rFonts w:hint="eastAsia" w:ascii="Times New Roman" w:hAnsi="Times New Roman" w:cs="Times New Roman"/>
                <w:b/>
                <w:color w:val="auto"/>
                <w:szCs w:val="21"/>
                <w:lang w:val="en-US" w:eastAsia="zh-CN"/>
              </w:rPr>
              <w:t>3</w:t>
            </w:r>
            <w:r>
              <w:rPr>
                <w:rFonts w:hint="default" w:ascii="Times New Roman" w:hAnsi="Times New Roman" w:cs="Times New Roman"/>
                <w:b/>
                <w:color w:val="auto"/>
                <w:szCs w:val="21"/>
              </w:rPr>
              <w:t>：</w:t>
            </w:r>
            <w:r>
              <w:rPr>
                <w:rFonts w:hint="default" w:ascii="Times New Roman" w:hAnsi="Times New Roman" w:cs="Times New Roman"/>
                <w:b w:val="0"/>
                <w:bCs w:val="0"/>
                <w:color w:val="auto"/>
                <w:szCs w:val="21"/>
              </w:rPr>
              <w:t>本项目</w:t>
            </w:r>
            <w:r>
              <w:rPr>
                <w:rFonts w:hint="default" w:ascii="Times New Roman" w:hAnsi="Times New Roman" w:cs="Times New Roman"/>
                <w:b w:val="0"/>
                <w:bCs w:val="0"/>
                <w:color w:val="auto"/>
                <w:szCs w:val="21"/>
                <w:lang w:val="en-US" w:eastAsia="zh-CN"/>
              </w:rPr>
              <w:t>塑料制品检验</w:t>
            </w:r>
            <w:r>
              <w:rPr>
                <w:rFonts w:hint="default" w:ascii="Times New Roman" w:hAnsi="Times New Roman" w:cs="Times New Roman"/>
                <w:b w:val="0"/>
                <w:bCs w:val="0"/>
                <w:color w:val="auto"/>
                <w:szCs w:val="21"/>
              </w:rPr>
              <w:t>过程中</w:t>
            </w:r>
            <w:r>
              <w:rPr>
                <w:rFonts w:hint="default" w:ascii="Times New Roman" w:hAnsi="Times New Roman" w:cs="Times New Roman"/>
                <w:b w:val="0"/>
                <w:bCs w:val="0"/>
                <w:color w:val="auto"/>
                <w:szCs w:val="21"/>
                <w:lang w:val="en-US" w:eastAsia="zh-CN"/>
              </w:rPr>
              <w:t>会产生废边角</w:t>
            </w:r>
            <w:r>
              <w:rPr>
                <w:rFonts w:hint="default" w:ascii="Times New Roman" w:hAnsi="Times New Roman" w:cs="Times New Roman"/>
                <w:b w:val="0"/>
                <w:bCs w:val="0"/>
                <w:color w:val="auto"/>
                <w:szCs w:val="21"/>
              </w:rPr>
              <w:t>料，</w:t>
            </w:r>
            <w:r>
              <w:rPr>
                <w:rFonts w:hint="default" w:ascii="Times New Roman" w:hAnsi="Times New Roman" w:cs="Times New Roman"/>
                <w:b w:val="0"/>
                <w:bCs w:val="0"/>
                <w:color w:val="auto"/>
                <w:szCs w:val="21"/>
                <w:lang w:val="en-US" w:eastAsia="zh-CN"/>
              </w:rPr>
              <w:t>根据业主</w:t>
            </w:r>
            <w:r>
              <w:rPr>
                <w:rFonts w:hint="eastAsia" w:ascii="Times New Roman" w:hAnsi="Times New Roman" w:cs="Times New Roman"/>
                <w:b w:val="0"/>
                <w:bCs w:val="0"/>
                <w:color w:val="auto"/>
                <w:szCs w:val="21"/>
                <w:lang w:val="en-US" w:eastAsia="zh-CN"/>
              </w:rPr>
              <w:t>提供资料</w:t>
            </w:r>
            <w:r>
              <w:rPr>
                <w:rFonts w:hint="default" w:ascii="Times New Roman" w:hAnsi="Times New Roman" w:cs="Times New Roman"/>
                <w:b w:val="0"/>
                <w:bCs w:val="0"/>
                <w:color w:val="auto"/>
                <w:szCs w:val="21"/>
                <w:lang w:val="en-US" w:eastAsia="zh-CN"/>
              </w:rPr>
              <w:t>，</w:t>
            </w:r>
            <w:r>
              <w:rPr>
                <w:rFonts w:hint="default" w:ascii="Times New Roman" w:hAnsi="Times New Roman" w:cs="Times New Roman"/>
                <w:b w:val="0"/>
                <w:bCs w:val="0"/>
                <w:color w:val="auto"/>
                <w:szCs w:val="21"/>
              </w:rPr>
              <w:t>不合格产品</w:t>
            </w:r>
            <w:r>
              <w:rPr>
                <w:rFonts w:hint="default" w:ascii="Times New Roman" w:hAnsi="Times New Roman" w:cs="Times New Roman"/>
                <w:b w:val="0"/>
                <w:bCs w:val="0"/>
                <w:color w:val="auto"/>
                <w:szCs w:val="21"/>
                <w:lang w:eastAsia="zh-CN"/>
              </w:rPr>
              <w:t>（</w:t>
            </w:r>
            <w:r>
              <w:rPr>
                <w:rFonts w:hint="default" w:ascii="Times New Roman" w:hAnsi="Times New Roman" w:cs="Times New Roman"/>
                <w:b w:val="0"/>
                <w:bCs w:val="0"/>
                <w:color w:val="auto"/>
                <w:szCs w:val="21"/>
                <w:lang w:val="en-US" w:eastAsia="zh-CN"/>
              </w:rPr>
              <w:t>废塑料材料</w:t>
            </w:r>
            <w:r>
              <w:rPr>
                <w:rFonts w:hint="default" w:ascii="Times New Roman" w:hAnsi="Times New Roman" w:cs="Times New Roman"/>
                <w:b w:val="0"/>
                <w:bCs w:val="0"/>
                <w:color w:val="auto"/>
                <w:szCs w:val="21"/>
                <w:lang w:eastAsia="zh-CN"/>
              </w:rPr>
              <w:t>）</w:t>
            </w:r>
            <w:r>
              <w:rPr>
                <w:rFonts w:hint="default" w:ascii="Times New Roman" w:hAnsi="Times New Roman" w:cs="Times New Roman"/>
                <w:b w:val="0"/>
                <w:bCs w:val="0"/>
                <w:color w:val="auto"/>
                <w:szCs w:val="21"/>
                <w:lang w:val="en-US" w:eastAsia="zh-CN"/>
              </w:rPr>
              <w:t>产生量约</w:t>
            </w:r>
            <w:r>
              <w:rPr>
                <w:rFonts w:hint="eastAsia" w:ascii="Times New Roman" w:hAnsi="Times New Roman" w:cs="Times New Roman"/>
                <w:b w:val="0"/>
                <w:bCs w:val="0"/>
                <w:color w:val="auto"/>
                <w:szCs w:val="21"/>
                <w:lang w:val="en-US" w:eastAsia="zh-CN"/>
              </w:rPr>
              <w:t>5</w:t>
            </w:r>
            <w:r>
              <w:rPr>
                <w:rFonts w:hint="default" w:ascii="Times New Roman" w:hAnsi="Times New Roman" w:cs="Times New Roman"/>
                <w:b w:val="0"/>
                <w:bCs w:val="0"/>
                <w:color w:val="auto"/>
                <w:szCs w:val="21"/>
                <w:lang w:val="en-US" w:eastAsia="zh-CN"/>
              </w:rPr>
              <w:t>t/a，</w:t>
            </w:r>
            <w:r>
              <w:rPr>
                <w:rFonts w:hint="default" w:ascii="Times New Roman" w:hAnsi="Times New Roman" w:cs="Times New Roman"/>
                <w:b w:val="0"/>
                <w:bCs w:val="0"/>
                <w:snapToGrid w:val="0"/>
                <w:color w:val="auto"/>
                <w:kern w:val="0"/>
                <w:szCs w:val="21"/>
              </w:rPr>
              <w:t>一般固体废物代码为</w:t>
            </w:r>
            <w:r>
              <w:rPr>
                <w:rFonts w:hint="default" w:ascii="Times New Roman" w:hAnsi="Times New Roman" w:cs="Times New Roman"/>
                <w:snapToGrid w:val="0"/>
                <w:color w:val="auto"/>
                <w:kern w:val="0"/>
                <w:szCs w:val="21"/>
                <w:lang w:val="en-US" w:eastAsia="zh-CN"/>
              </w:rPr>
              <w:t>900-003-S17</w:t>
            </w:r>
            <w:r>
              <w:rPr>
                <w:rFonts w:hint="default" w:ascii="Times New Roman" w:hAnsi="Times New Roman" w:cs="Times New Roman"/>
                <w:b w:val="0"/>
                <w:bCs w:val="0"/>
                <w:snapToGrid w:val="0"/>
                <w:color w:val="auto"/>
                <w:kern w:val="0"/>
                <w:szCs w:val="21"/>
                <w:lang w:eastAsia="zh-CN"/>
              </w:rPr>
              <w:t>，</w:t>
            </w:r>
            <w:r>
              <w:rPr>
                <w:rFonts w:hint="default" w:ascii="Times New Roman" w:hAnsi="Times New Roman" w:cs="Times New Roman"/>
                <w:b w:val="0"/>
                <w:bCs w:val="0"/>
                <w:color w:val="auto"/>
                <w:szCs w:val="21"/>
                <w:lang w:val="en-US" w:eastAsia="zh-CN"/>
              </w:rPr>
              <w:t>经破碎机破碎以后回用于生产线。</w:t>
            </w:r>
          </w:p>
          <w:p w14:paraId="17DB62F7">
            <w:pPr>
              <w:pStyle w:val="14"/>
              <w:snapToGrid w:val="0"/>
              <w:spacing w:line="360" w:lineRule="auto"/>
              <w:ind w:firstLine="422" w:firstLineChars="200"/>
              <w:rPr>
                <w:rFonts w:hint="default" w:ascii="Times New Roman" w:hAnsi="Times New Roman" w:cs="Times New Roman"/>
                <w:b/>
                <w:color w:val="auto"/>
                <w:szCs w:val="21"/>
              </w:rPr>
            </w:pPr>
            <w:r>
              <w:rPr>
                <w:rFonts w:hint="default" w:ascii="Times New Roman" w:hAnsi="Times New Roman" w:cs="Times New Roman"/>
                <w:b/>
                <w:color w:val="auto"/>
                <w:szCs w:val="21"/>
              </w:rPr>
              <w:t>②危险废物</w:t>
            </w:r>
          </w:p>
          <w:p w14:paraId="6B60EE34">
            <w:pPr>
              <w:pStyle w:val="14"/>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本项目危险废物主要为</w:t>
            </w:r>
            <w:r>
              <w:rPr>
                <w:rFonts w:hint="eastAsia" w:ascii="Times New Roman" w:hAnsi="Times New Roman" w:cs="Times New Roman"/>
                <w:color w:val="auto"/>
                <w:szCs w:val="21"/>
                <w:lang w:eastAsia="zh-CN"/>
              </w:rPr>
              <w:t>废油桶</w:t>
            </w:r>
            <w:r>
              <w:rPr>
                <w:rFonts w:hint="default" w:ascii="Times New Roman" w:hAnsi="Times New Roman" w:cs="Times New Roman"/>
                <w:color w:val="auto"/>
                <w:szCs w:val="21"/>
                <w:lang w:eastAsia="zh-CN"/>
              </w:rPr>
              <w:t>、废矿物油、废含油棉纱和手套、废活性炭、废过滤棉、空压机含油冷凝液</w:t>
            </w:r>
            <w:r>
              <w:rPr>
                <w:rFonts w:hint="default" w:ascii="Times New Roman" w:hAnsi="Times New Roman" w:cs="Times New Roman"/>
                <w:color w:val="auto"/>
                <w:szCs w:val="21"/>
              </w:rPr>
              <w:t>。</w:t>
            </w:r>
          </w:p>
          <w:p w14:paraId="3788F0BF">
            <w:pPr>
              <w:spacing w:line="360" w:lineRule="auto"/>
              <w:ind w:firstLine="422" w:firstLineChars="200"/>
              <w:rPr>
                <w:rFonts w:hint="default" w:ascii="Times New Roman" w:hAnsi="Times New Roman" w:eastAsia="宋体" w:cs="Times New Roman"/>
                <w:color w:val="auto"/>
                <w:szCs w:val="21"/>
              </w:rPr>
            </w:pPr>
            <w:r>
              <w:rPr>
                <w:rFonts w:hint="eastAsia" w:cs="Times New Roman"/>
                <w:b/>
                <w:bCs/>
                <w:color w:val="auto"/>
                <w:szCs w:val="21"/>
                <w:lang w:val="en-US" w:eastAsia="zh-CN"/>
              </w:rPr>
              <w:t>废油桶</w:t>
            </w:r>
            <w:r>
              <w:rPr>
                <w:rFonts w:hint="default" w:ascii="Times New Roman" w:hAnsi="Times New Roman" w:cs="Times New Roman"/>
                <w:b/>
                <w:bCs/>
                <w:color w:val="auto"/>
                <w:szCs w:val="21"/>
                <w:lang w:val="en-US" w:eastAsia="zh-CN"/>
              </w:rPr>
              <w:t>：</w:t>
            </w:r>
            <w:r>
              <w:rPr>
                <w:rFonts w:hint="default" w:ascii="Times New Roman" w:hAnsi="Times New Roman" w:cs="Times New Roman"/>
                <w:color w:val="auto"/>
                <w:szCs w:val="21"/>
              </w:rPr>
              <w:t>本项目生产过程中将产生废润滑油桶、废空压机油桶、废</w:t>
            </w:r>
            <w:r>
              <w:rPr>
                <w:rFonts w:hint="default" w:ascii="Times New Roman" w:hAnsi="Times New Roman" w:cs="Times New Roman"/>
                <w:color w:val="auto"/>
                <w:szCs w:val="21"/>
                <w:lang w:eastAsia="zh-CN"/>
              </w:rPr>
              <w:t>液压</w:t>
            </w:r>
            <w:r>
              <w:rPr>
                <w:rFonts w:hint="default" w:ascii="Times New Roman" w:hAnsi="Times New Roman" w:cs="Times New Roman"/>
                <w:color w:val="auto"/>
                <w:szCs w:val="21"/>
              </w:rPr>
              <w:t>油桶</w:t>
            </w:r>
            <w:r>
              <w:rPr>
                <w:rFonts w:hint="default" w:ascii="Times New Roman" w:hAnsi="Times New Roman" w:cs="Times New Roman"/>
                <w:color w:val="auto"/>
                <w:szCs w:val="21"/>
                <w:lang w:eastAsia="zh-CN"/>
              </w:rPr>
              <w:t>等</w:t>
            </w:r>
            <w:r>
              <w:rPr>
                <w:rFonts w:hint="default" w:ascii="Times New Roman" w:hAnsi="Times New Roman" w:cs="Times New Roman"/>
                <w:color w:val="auto"/>
                <w:szCs w:val="21"/>
              </w:rPr>
              <w:t>，根据</w:t>
            </w:r>
            <w:r>
              <w:rPr>
                <w:rFonts w:hint="default" w:ascii="Times New Roman" w:hAnsi="Times New Roman" w:cs="Times New Roman"/>
                <w:color w:val="auto"/>
                <w:szCs w:val="21"/>
                <w:lang w:val="en-US" w:eastAsia="zh-CN"/>
              </w:rPr>
              <w:t>原辅材料一览表可</w:t>
            </w:r>
            <w:r>
              <w:rPr>
                <w:rFonts w:hint="default" w:ascii="Times New Roman" w:hAnsi="Times New Roman" w:cs="Times New Roman"/>
                <w:color w:val="auto"/>
                <w:szCs w:val="21"/>
              </w:rPr>
              <w:t>知，本项目润滑油</w:t>
            </w:r>
            <w:r>
              <w:rPr>
                <w:rFonts w:hint="default" w:ascii="Times New Roman" w:hAnsi="Times New Roman" w:eastAsia="宋体" w:cs="Times New Roman"/>
                <w:color w:val="auto"/>
                <w:szCs w:val="21"/>
              </w:rPr>
              <w:t>、液压油合计约</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rPr>
              <w:t>桶，考虑单个空桶平均重量约1</w:t>
            </w:r>
            <w:r>
              <w:rPr>
                <w:rFonts w:hint="eastAsia" w:ascii="Times New Roman" w:hAnsi="Times New Roman" w:cs="Times New Roman"/>
                <w:color w:val="auto"/>
                <w:szCs w:val="21"/>
                <w:lang w:val="en-US" w:eastAsia="zh-CN"/>
              </w:rPr>
              <w:t>0</w:t>
            </w:r>
            <w:r>
              <w:rPr>
                <w:rFonts w:hint="default" w:ascii="Times New Roman" w:hAnsi="Times New Roman" w:eastAsia="宋体" w:cs="Times New Roman"/>
                <w:color w:val="auto"/>
                <w:szCs w:val="21"/>
              </w:rPr>
              <w:t>kg，</w:t>
            </w:r>
            <w:r>
              <w:rPr>
                <w:rFonts w:hint="eastAsia" w:ascii="Times New Roman" w:hAnsi="Times New Roman" w:cs="Times New Roman"/>
                <w:color w:val="auto"/>
                <w:szCs w:val="21"/>
                <w:lang w:eastAsia="zh-CN"/>
              </w:rPr>
              <w:t>空压机油</w:t>
            </w:r>
            <w:r>
              <w:rPr>
                <w:rFonts w:hint="default" w:ascii="Times New Roman" w:hAnsi="Times New Roman" w:eastAsia="宋体" w:cs="Times New Roman"/>
                <w:color w:val="auto"/>
                <w:szCs w:val="21"/>
              </w:rPr>
              <w:t>约</w:t>
            </w:r>
            <w:r>
              <w:rPr>
                <w:rFonts w:hint="eastAsia"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桶，考虑单个空桶平均重量约1kg则</w:t>
            </w:r>
            <w:r>
              <w:rPr>
                <w:rFonts w:hint="eastAsia" w:cs="Times New Roman"/>
                <w:color w:val="auto"/>
                <w:szCs w:val="21"/>
                <w:lang w:eastAsia="zh-CN"/>
              </w:rPr>
              <w:t>废油桶</w:t>
            </w:r>
            <w:r>
              <w:rPr>
                <w:rFonts w:hint="default" w:ascii="Times New Roman" w:hAnsi="Times New Roman" w:eastAsia="宋体" w:cs="Times New Roman"/>
                <w:color w:val="auto"/>
                <w:szCs w:val="21"/>
              </w:rPr>
              <w:t>产生量约</w:t>
            </w:r>
            <w:r>
              <w:rPr>
                <w:rFonts w:hint="default" w:ascii="Times New Roman" w:hAnsi="Times New Roman" w:cs="Times New Roman"/>
                <w:color w:val="auto"/>
                <w:szCs w:val="21"/>
                <w:lang w:val="en-US" w:eastAsia="zh-CN"/>
              </w:rPr>
              <w:t>0.</w:t>
            </w:r>
            <w:r>
              <w:rPr>
                <w:rFonts w:hint="eastAsia" w:ascii="Times New Roman" w:hAnsi="Times New Roman" w:cs="Times New Roman"/>
                <w:color w:val="auto"/>
                <w:szCs w:val="21"/>
                <w:lang w:val="en-US" w:eastAsia="zh-CN"/>
              </w:rPr>
              <w:t>0</w:t>
            </w:r>
            <w:r>
              <w:rPr>
                <w:rFonts w:hint="default" w:ascii="Times New Roman" w:hAnsi="Times New Roman" w:cs="Times New Roman"/>
                <w:color w:val="auto"/>
                <w:szCs w:val="21"/>
                <w:lang w:val="en-US" w:eastAsia="zh-CN"/>
              </w:rPr>
              <w:t>42</w:t>
            </w:r>
            <w:r>
              <w:rPr>
                <w:rFonts w:hint="default" w:ascii="Times New Roman" w:hAnsi="Times New Roman" w:eastAsia="宋体" w:cs="Times New Roman"/>
                <w:color w:val="auto"/>
                <w:szCs w:val="21"/>
              </w:rPr>
              <w:t>t/a，属于危险废物，代码：HW49</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rPr>
              <w:t>900-041-49，交由有危废处理资质单位处理。</w:t>
            </w:r>
          </w:p>
          <w:p w14:paraId="0F494960">
            <w:pPr>
              <w:pStyle w:val="7"/>
              <w:spacing w:line="360" w:lineRule="auto"/>
              <w:ind w:firstLine="422"/>
              <w:rPr>
                <w:rFonts w:hint="default" w:ascii="Times New Roman" w:hAnsi="Times New Roman" w:eastAsia="宋体" w:cs="Times New Roman"/>
                <w:color w:val="auto"/>
                <w:szCs w:val="21"/>
              </w:rPr>
            </w:pPr>
            <w:r>
              <w:rPr>
                <w:rFonts w:hint="default" w:ascii="Times New Roman" w:hAnsi="Times New Roman" w:eastAsia="宋体" w:cs="Times New Roman"/>
                <w:b/>
                <w:bCs/>
                <w:snapToGrid w:val="0"/>
                <w:color w:val="auto"/>
                <w:kern w:val="0"/>
                <w:szCs w:val="21"/>
              </w:rPr>
              <w:t>废矿物油</w:t>
            </w:r>
            <w:r>
              <w:rPr>
                <w:rFonts w:hint="default" w:ascii="Times New Roman" w:hAnsi="Times New Roman" w:eastAsia="宋体" w:cs="Times New Roman"/>
                <w:snapToGrid w:val="0"/>
                <w:color w:val="auto"/>
                <w:kern w:val="0"/>
                <w:szCs w:val="21"/>
              </w:rPr>
              <w:t>：根据建设单位介绍，设备维修保养过程中将更换液压油、润滑油</w:t>
            </w:r>
            <w:r>
              <w:rPr>
                <w:rFonts w:hint="default" w:ascii="Times New Roman" w:hAnsi="Times New Roman" w:eastAsia="宋体" w:cs="Times New Roman"/>
                <w:snapToGrid w:val="0"/>
                <w:color w:val="auto"/>
                <w:kern w:val="0"/>
                <w:szCs w:val="21"/>
                <w:lang w:eastAsia="zh-CN"/>
              </w:rPr>
              <w:t>、</w:t>
            </w:r>
            <w:r>
              <w:rPr>
                <w:rFonts w:hint="default" w:ascii="Times New Roman" w:hAnsi="Times New Roman" w:eastAsia="宋体" w:cs="Times New Roman"/>
                <w:snapToGrid w:val="0"/>
                <w:color w:val="auto"/>
                <w:kern w:val="0"/>
                <w:szCs w:val="21"/>
                <w:lang w:val="en-US" w:eastAsia="zh-CN"/>
              </w:rPr>
              <w:t>空压机油</w:t>
            </w:r>
            <w:r>
              <w:rPr>
                <w:rFonts w:hint="default" w:ascii="Times New Roman" w:hAnsi="Times New Roman" w:eastAsia="宋体" w:cs="Times New Roman"/>
                <w:snapToGrid w:val="0"/>
                <w:color w:val="auto"/>
                <w:kern w:val="0"/>
                <w:szCs w:val="21"/>
              </w:rPr>
              <w:t>等，更换下来的废矿物油属于《国家危险废物名录》（HW08 900-249-08），</w:t>
            </w:r>
            <w:r>
              <w:rPr>
                <w:rFonts w:hint="default" w:ascii="Times New Roman" w:hAnsi="Times New Roman" w:eastAsia="宋体" w:cs="Times New Roman"/>
                <w:color w:val="auto"/>
                <w:szCs w:val="21"/>
              </w:rPr>
              <w:t>根据</w:t>
            </w:r>
            <w:r>
              <w:rPr>
                <w:rFonts w:hint="default" w:ascii="Times New Roman" w:hAnsi="Times New Roman" w:eastAsia="宋体" w:cs="Times New Roman"/>
                <w:color w:val="auto"/>
                <w:szCs w:val="21"/>
                <w:lang w:val="en-US" w:eastAsia="zh-CN"/>
              </w:rPr>
              <w:t>原辅材料一览表可</w:t>
            </w:r>
            <w:r>
              <w:rPr>
                <w:rFonts w:hint="default" w:ascii="Times New Roman" w:hAnsi="Times New Roman" w:eastAsia="宋体" w:cs="Times New Roman"/>
                <w:color w:val="auto"/>
                <w:szCs w:val="21"/>
              </w:rPr>
              <w:t>知</w:t>
            </w:r>
            <w:r>
              <w:rPr>
                <w:rFonts w:hint="default" w:ascii="Times New Roman" w:hAnsi="Times New Roman" w:eastAsia="宋体" w:cs="Times New Roman"/>
                <w:color w:val="auto"/>
                <w:szCs w:val="21"/>
                <w:lang w:eastAsia="zh-CN"/>
              </w:rPr>
              <w:t>，废矿物油</w:t>
            </w:r>
            <w:r>
              <w:rPr>
                <w:rFonts w:hint="default" w:ascii="Times New Roman" w:hAnsi="Times New Roman" w:eastAsia="宋体" w:cs="Times New Roman"/>
                <w:snapToGrid w:val="0"/>
                <w:color w:val="auto"/>
                <w:kern w:val="0"/>
                <w:szCs w:val="21"/>
              </w:rPr>
              <w:t>产生量约为</w:t>
            </w:r>
            <w:r>
              <w:rPr>
                <w:rFonts w:hint="eastAsia" w:ascii="Times New Roman" w:hAnsi="Times New Roman" w:cs="Times New Roman"/>
                <w:snapToGrid w:val="0"/>
                <w:color w:val="auto"/>
                <w:kern w:val="0"/>
                <w:szCs w:val="21"/>
                <w:lang w:val="en-US" w:eastAsia="zh-CN"/>
              </w:rPr>
              <w:t>0.74</w:t>
            </w:r>
            <w:r>
              <w:rPr>
                <w:rFonts w:hint="default" w:ascii="Times New Roman" w:hAnsi="Times New Roman" w:eastAsia="宋体" w:cs="Times New Roman"/>
                <w:snapToGrid w:val="0"/>
                <w:color w:val="auto"/>
                <w:kern w:val="0"/>
                <w:szCs w:val="21"/>
              </w:rPr>
              <w:t>t/a，废矿物油经专用容器密封，底部设置托盘，收集存放于</w:t>
            </w:r>
            <w:r>
              <w:rPr>
                <w:rFonts w:hint="eastAsia" w:ascii="Times New Roman" w:hAnsi="Times New Roman" w:cs="Times New Roman"/>
                <w:snapToGrid w:val="0"/>
                <w:color w:val="auto"/>
                <w:kern w:val="0"/>
                <w:szCs w:val="21"/>
                <w:lang w:eastAsia="zh-CN"/>
              </w:rPr>
              <w:t>危险废物贮存库</w:t>
            </w:r>
            <w:r>
              <w:rPr>
                <w:rFonts w:hint="default" w:ascii="Times New Roman" w:hAnsi="Times New Roman" w:eastAsia="宋体" w:cs="Times New Roman"/>
                <w:snapToGrid w:val="0"/>
                <w:color w:val="auto"/>
                <w:kern w:val="0"/>
                <w:szCs w:val="21"/>
              </w:rPr>
              <w:t>，定期交由有危废处理资质的单位回收处理。</w:t>
            </w:r>
          </w:p>
          <w:p w14:paraId="0F1F36DD">
            <w:pPr>
              <w:spacing w:line="360" w:lineRule="auto"/>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废含油棉纱和手套：</w:t>
            </w:r>
            <w:r>
              <w:rPr>
                <w:rFonts w:hint="default" w:ascii="Times New Roman" w:hAnsi="Times New Roman" w:eastAsia="宋体" w:cs="Times New Roman"/>
                <w:snapToGrid w:val="0"/>
                <w:color w:val="auto"/>
                <w:kern w:val="0"/>
                <w:szCs w:val="21"/>
              </w:rPr>
              <w:t>项目设备运行过程中会产生少量废含油棉纱和手套，属于危险废物（HW49 900-041-49），产生量约0.01t/a，</w:t>
            </w:r>
            <w:r>
              <w:rPr>
                <w:rFonts w:hint="default" w:ascii="Times New Roman" w:hAnsi="Times New Roman" w:eastAsia="宋体" w:cs="Times New Roman"/>
                <w:color w:val="auto"/>
                <w:szCs w:val="21"/>
              </w:rPr>
              <w:t>桶装收集后暂存于</w:t>
            </w:r>
            <w:r>
              <w:rPr>
                <w:rFonts w:hint="eastAsia" w:ascii="Times New Roman" w:hAnsi="Times New Roman" w:cs="Times New Roman"/>
                <w:color w:val="auto"/>
                <w:szCs w:val="21"/>
                <w:lang w:eastAsia="zh-CN"/>
              </w:rPr>
              <w:t>危险废物贮存库</w:t>
            </w:r>
            <w:r>
              <w:rPr>
                <w:rFonts w:hint="default" w:ascii="Times New Roman" w:hAnsi="Times New Roman" w:eastAsia="宋体" w:cs="Times New Roman"/>
                <w:color w:val="auto"/>
                <w:szCs w:val="21"/>
              </w:rPr>
              <w:t>，定期交有资质单位处置。</w:t>
            </w:r>
          </w:p>
          <w:p w14:paraId="7291056C">
            <w:pPr>
              <w:pStyle w:val="7"/>
              <w:spacing w:line="360" w:lineRule="auto"/>
              <w:ind w:firstLine="422"/>
              <w:rPr>
                <w:rFonts w:hint="default" w:ascii="Times New Roman" w:hAnsi="Times New Roman" w:eastAsia="宋体" w:cs="Times New Roman"/>
                <w:b/>
                <w:bCs/>
                <w:snapToGrid w:val="0"/>
                <w:color w:val="auto"/>
                <w:kern w:val="0"/>
                <w:szCs w:val="21"/>
                <w:lang w:val="en-US" w:eastAsia="zh-CN"/>
              </w:rPr>
            </w:pPr>
            <w:r>
              <w:rPr>
                <w:rFonts w:hint="default" w:ascii="Times New Roman" w:hAnsi="Times New Roman" w:eastAsia="宋体" w:cs="Times New Roman"/>
                <w:b/>
                <w:color w:val="auto"/>
                <w:szCs w:val="21"/>
              </w:rPr>
              <w:t>空压机含油冷凝液：</w:t>
            </w:r>
            <w:r>
              <w:rPr>
                <w:rFonts w:hint="eastAsia" w:ascii="Times New Roman" w:hAnsi="Times New Roman" w:cs="Times New Roman"/>
                <w:bCs/>
                <w:color w:val="auto"/>
                <w:spacing w:val="-10"/>
                <w:szCs w:val="21"/>
                <w:lang w:eastAsia="zh-CN"/>
              </w:rPr>
              <w:t>空压机</w:t>
            </w:r>
            <w:r>
              <w:rPr>
                <w:rFonts w:hint="default" w:ascii="Times New Roman" w:hAnsi="Times New Roman" w:eastAsia="宋体" w:cs="Times New Roman"/>
                <w:bCs/>
                <w:color w:val="auto"/>
                <w:spacing w:val="-10"/>
                <w:szCs w:val="21"/>
              </w:rPr>
              <w:t>在运行过程中将产生少量高浓度</w:t>
            </w:r>
            <w:r>
              <w:rPr>
                <w:rFonts w:hint="default" w:ascii="Times New Roman" w:hAnsi="Times New Roman" w:eastAsia="宋体" w:cs="Times New Roman"/>
                <w:color w:val="auto"/>
                <w:szCs w:val="21"/>
              </w:rPr>
              <w:t>含油冷凝液</w:t>
            </w:r>
            <w:r>
              <w:rPr>
                <w:rFonts w:hint="default" w:ascii="Times New Roman" w:hAnsi="Times New Roman" w:eastAsia="宋体" w:cs="Times New Roman"/>
                <w:bCs/>
                <w:color w:val="auto"/>
                <w:spacing w:val="-10"/>
                <w:szCs w:val="21"/>
              </w:rPr>
              <w:t>，产生量约0.05t/a，属于危险废物，代码：HW09 900-007-09，采用专门的容器进行收集后定期交由有危废处理资质单位处理。</w:t>
            </w:r>
          </w:p>
          <w:p w14:paraId="70C46C65">
            <w:pPr>
              <w:spacing w:line="360" w:lineRule="auto"/>
              <w:ind w:firstLine="422" w:firstLineChars="200"/>
              <w:rPr>
                <w:rFonts w:hint="default" w:ascii="Times New Roman" w:hAnsi="Times New Roman" w:eastAsia="宋体" w:cs="Times New Roman"/>
                <w:b/>
                <w:color w:val="auto"/>
                <w:sz w:val="21"/>
                <w:szCs w:val="21"/>
              </w:rPr>
            </w:pPr>
            <w:r>
              <w:rPr>
                <w:rFonts w:hint="default" w:ascii="Times New Roman" w:hAnsi="Times New Roman" w:eastAsia="宋体" w:cs="Times New Roman"/>
                <w:b/>
                <w:bCs/>
                <w:i w:val="0"/>
                <w:iCs w:val="0"/>
                <w:color w:val="auto"/>
              </w:rPr>
              <w:t>废过滤棉</w:t>
            </w:r>
            <w:r>
              <w:rPr>
                <w:rFonts w:hint="default" w:ascii="Times New Roman" w:hAnsi="Times New Roman" w:eastAsia="宋体" w:cs="Times New Roman"/>
                <w:b/>
                <w:bCs/>
                <w:i w:val="0"/>
                <w:iCs w:val="0"/>
                <w:color w:val="auto"/>
                <w:lang w:eastAsia="zh-CN"/>
              </w:rPr>
              <w:t>：</w:t>
            </w:r>
            <w:r>
              <w:rPr>
                <w:rFonts w:hint="default" w:ascii="Times New Roman" w:hAnsi="Times New Roman" w:eastAsia="宋体" w:cs="Times New Roman"/>
                <w:color w:val="auto"/>
              </w:rPr>
              <w:t>本项目处理</w:t>
            </w:r>
            <w:r>
              <w:rPr>
                <w:rFonts w:hint="default" w:ascii="Times New Roman" w:hAnsi="Times New Roman" w:eastAsia="宋体" w:cs="Times New Roman"/>
                <w:color w:val="auto"/>
                <w:lang w:eastAsia="zh-CN"/>
              </w:rPr>
              <w:t>有机</w:t>
            </w:r>
            <w:r>
              <w:rPr>
                <w:rFonts w:hint="default" w:ascii="Times New Roman" w:hAnsi="Times New Roman" w:eastAsia="宋体" w:cs="Times New Roman"/>
                <w:color w:val="auto"/>
              </w:rPr>
              <w:t>废气时采用</w:t>
            </w:r>
            <w:r>
              <w:rPr>
                <w:rFonts w:hint="default" w:ascii="Times New Roman" w:hAnsi="Times New Roman" w:eastAsia="宋体" w:cs="Times New Roman"/>
                <w:color w:val="auto"/>
                <w:lang w:val="en-US" w:eastAsia="zh-CN"/>
              </w:rPr>
              <w:t>过滤棉+两级活性炭</w:t>
            </w:r>
            <w:r>
              <w:rPr>
                <w:rFonts w:hint="default" w:ascii="Times New Roman" w:hAnsi="Times New Roman" w:eastAsia="宋体" w:cs="Times New Roman"/>
                <w:color w:val="auto"/>
                <w:lang w:eastAsia="zh-CN"/>
              </w:rPr>
              <w:t>吸附装置</w:t>
            </w:r>
            <w:r>
              <w:rPr>
                <w:rFonts w:hint="default" w:ascii="Times New Roman" w:hAnsi="Times New Roman" w:eastAsia="宋体" w:cs="Times New Roman"/>
                <w:color w:val="auto"/>
              </w:rPr>
              <w:t>，过滤棉主要用于废气在进入</w:t>
            </w:r>
            <w:r>
              <w:rPr>
                <w:rFonts w:hint="default" w:ascii="Times New Roman" w:hAnsi="Times New Roman" w:eastAsia="宋体" w:cs="Times New Roman"/>
                <w:color w:val="auto"/>
                <w:lang w:eastAsia="zh-CN"/>
              </w:rPr>
              <w:t>活性炭前</w:t>
            </w:r>
            <w:r>
              <w:rPr>
                <w:rFonts w:hint="default" w:ascii="Times New Roman" w:hAnsi="Times New Roman" w:eastAsia="宋体" w:cs="Times New Roman"/>
                <w:color w:val="auto"/>
              </w:rPr>
              <w:t>去除杂质，以免影响后续处理效果，处理过程将产生废过滤棉，产生量约0.05t</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a，属于危险废物，代码</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HW49 900-041-49，交由有危废处理资质单位处理。</w:t>
            </w:r>
          </w:p>
          <w:p w14:paraId="51612698">
            <w:pPr>
              <w:widowControl w:val="0"/>
              <w:spacing w:before="0" w:beforeAutospacing="0" w:after="0" w:afterAutospacing="0" w:line="360" w:lineRule="auto"/>
              <w:ind w:firstLine="422" w:firstLineChars="200"/>
              <w:jc w:val="left"/>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bCs/>
                <w:color w:val="auto"/>
                <w:sz w:val="21"/>
                <w:szCs w:val="21"/>
              </w:rPr>
              <w:t>废活性炭：</w:t>
            </w:r>
            <w:r>
              <w:rPr>
                <w:rFonts w:hint="default" w:ascii="Times New Roman" w:hAnsi="Times New Roman" w:eastAsia="宋体" w:cs="Times New Roman"/>
                <w:color w:val="auto"/>
                <w:sz w:val="21"/>
                <w:szCs w:val="21"/>
                <w:lang w:val="en-US" w:eastAsia="zh-CN"/>
              </w:rPr>
              <w:t>项目产生的有机废气均经过活性炭</w:t>
            </w:r>
            <w:r>
              <w:rPr>
                <w:rFonts w:hint="default" w:ascii="Times New Roman" w:hAnsi="Times New Roman" w:eastAsia="宋体" w:cs="Times New Roman"/>
                <w:color w:val="auto"/>
                <w:sz w:val="21"/>
                <w:szCs w:val="21"/>
                <w:lang w:eastAsia="zh-CN"/>
              </w:rPr>
              <w:t>吸附装置处理</w:t>
            </w:r>
            <w:r>
              <w:rPr>
                <w:rFonts w:hint="default" w:ascii="Times New Roman" w:hAnsi="Times New Roman" w:eastAsia="宋体" w:cs="Times New Roman"/>
                <w:color w:val="auto"/>
                <w:sz w:val="21"/>
                <w:szCs w:val="21"/>
              </w:rPr>
              <w:t>后排放</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b w:val="0"/>
                <w:bCs w:val="0"/>
                <w:color w:val="auto"/>
                <w:kern w:val="0"/>
                <w:sz w:val="21"/>
                <w:szCs w:val="21"/>
                <w:lang w:val="en-US" w:eastAsia="zh-CN" w:bidi="ar-SA"/>
              </w:rPr>
              <w:t>根据《</w:t>
            </w:r>
            <w:r>
              <w:rPr>
                <w:rFonts w:hint="default" w:ascii="Times New Roman" w:hAnsi="Times New Roman" w:cs="Times New Roman"/>
                <w:b w:val="0"/>
                <w:bCs w:val="0"/>
                <w:color w:val="auto"/>
                <w:kern w:val="0"/>
                <w:sz w:val="21"/>
                <w:szCs w:val="21"/>
                <w:lang w:val="en-US" w:eastAsia="zh-CN" w:bidi="ar-SA"/>
              </w:rPr>
              <w:t>2024年重庆市夏秋季“治气”攻坚工作方案</w:t>
            </w:r>
            <w:r>
              <w:rPr>
                <w:rFonts w:hint="default" w:ascii="Times New Roman" w:hAnsi="Times New Roman" w:eastAsia="宋体" w:cs="Times New Roman"/>
                <w:b w:val="0"/>
                <w:bCs w:val="0"/>
                <w:color w:val="auto"/>
                <w:kern w:val="0"/>
                <w:sz w:val="21"/>
                <w:szCs w:val="21"/>
                <w:lang w:val="en-US" w:eastAsia="zh-CN" w:bidi="ar-SA"/>
              </w:rPr>
              <w:t>》：</w:t>
            </w:r>
            <w:r>
              <w:rPr>
                <w:rFonts w:hint="default" w:ascii="Times New Roman" w:hAnsi="Times New Roman" w:eastAsia="宋体" w:cs="Times New Roman"/>
                <w:b w:val="0"/>
                <w:bCs w:val="0"/>
                <w:color w:val="auto"/>
                <w:kern w:val="2"/>
                <w:sz w:val="21"/>
                <w:szCs w:val="21"/>
                <w:lang w:val="en-US" w:eastAsia="zh-CN" w:bidi="ar-SA"/>
              </w:rPr>
              <w:t>采用活性炭处理VOCs废气，年活性炭使用量不应低于VOCs产生量的5倍，本次评价活性炭吸附量按自身重量的20%计</w:t>
            </w:r>
            <w:r>
              <w:rPr>
                <w:rFonts w:hint="default" w:ascii="Times New Roman" w:hAnsi="Times New Roman" w:cs="Times New Roman"/>
                <w:b w:val="0"/>
                <w:bCs/>
                <w:color w:val="auto"/>
                <w:szCs w:val="21"/>
                <w:lang w:val="en-US" w:eastAsia="zh-CN"/>
              </w:rPr>
              <w:t>，活性炭装置内部吸附材料使用碘值不低于650毫克/克的蜂窝状活性炭，</w:t>
            </w:r>
            <w:r>
              <w:rPr>
                <w:rFonts w:hint="default" w:ascii="Times New Roman" w:hAnsi="Times New Roman" w:eastAsia="宋体" w:cs="Times New Roman"/>
                <w:b w:val="0"/>
                <w:bCs w:val="0"/>
                <w:color w:val="auto"/>
                <w:kern w:val="0"/>
                <w:sz w:val="21"/>
                <w:szCs w:val="21"/>
                <w:lang w:val="en-US" w:eastAsia="zh-CN" w:bidi="ar-SA"/>
              </w:rPr>
              <w:t>根据分析，本项目需要吸附的有机废气的量为</w:t>
            </w:r>
            <w:r>
              <w:rPr>
                <w:rFonts w:hint="eastAsia" w:ascii="Times New Roman" w:hAnsi="Times New Roman" w:cs="Times New Roman"/>
                <w:b w:val="0"/>
                <w:bCs w:val="0"/>
                <w:color w:val="auto"/>
                <w:kern w:val="0"/>
                <w:sz w:val="21"/>
                <w:szCs w:val="21"/>
                <w:lang w:val="en-US" w:eastAsia="zh-CN" w:bidi="ar-SA"/>
              </w:rPr>
              <w:t>0.722</w:t>
            </w:r>
            <w:r>
              <w:rPr>
                <w:rFonts w:hint="default" w:ascii="Times New Roman" w:hAnsi="Times New Roman" w:eastAsia="宋体" w:cs="Times New Roman"/>
                <w:b w:val="0"/>
                <w:bCs w:val="0"/>
                <w:color w:val="auto"/>
                <w:kern w:val="0"/>
                <w:sz w:val="21"/>
                <w:szCs w:val="21"/>
                <w:lang w:val="en-US" w:eastAsia="zh-CN" w:bidi="ar-SA"/>
              </w:rPr>
              <w:t>t/a，则本项目理论需要使用的活性炭的量为</w:t>
            </w:r>
            <w:r>
              <w:rPr>
                <w:rFonts w:hint="eastAsia" w:ascii="Times New Roman" w:hAnsi="Times New Roman" w:cs="Times New Roman"/>
                <w:b w:val="0"/>
                <w:bCs w:val="0"/>
                <w:color w:val="auto"/>
                <w:kern w:val="0"/>
                <w:sz w:val="21"/>
                <w:szCs w:val="21"/>
                <w:lang w:val="en-US" w:eastAsia="zh-CN" w:bidi="ar-SA"/>
              </w:rPr>
              <w:t>3.612</w:t>
            </w:r>
            <w:r>
              <w:rPr>
                <w:rFonts w:hint="default" w:ascii="Times New Roman" w:hAnsi="Times New Roman" w:eastAsia="宋体" w:cs="Times New Roman"/>
                <w:b w:val="0"/>
                <w:bCs w:val="0"/>
                <w:color w:val="auto"/>
                <w:kern w:val="0"/>
                <w:sz w:val="21"/>
                <w:szCs w:val="21"/>
                <w:lang w:val="en-US" w:eastAsia="zh-CN" w:bidi="ar-SA"/>
              </w:rPr>
              <w:t>t/a，则产生的废活性炭量为</w:t>
            </w:r>
            <w:r>
              <w:rPr>
                <w:rFonts w:hint="eastAsia" w:ascii="Times New Roman" w:hAnsi="Times New Roman" w:cs="Times New Roman"/>
                <w:b w:val="0"/>
                <w:bCs w:val="0"/>
                <w:color w:val="auto"/>
                <w:kern w:val="0"/>
                <w:sz w:val="21"/>
                <w:szCs w:val="21"/>
                <w:lang w:val="en-US" w:eastAsia="zh-CN" w:bidi="ar-SA"/>
              </w:rPr>
              <w:t>4.334</w:t>
            </w:r>
            <w:r>
              <w:rPr>
                <w:rFonts w:hint="default" w:ascii="Times New Roman" w:hAnsi="Times New Roman" w:eastAsia="宋体" w:cs="Times New Roman"/>
                <w:b w:val="0"/>
                <w:bCs w:val="0"/>
                <w:color w:val="auto"/>
                <w:kern w:val="0"/>
                <w:sz w:val="21"/>
                <w:szCs w:val="21"/>
                <w:lang w:val="en-US" w:eastAsia="zh-CN" w:bidi="ar-SA"/>
              </w:rPr>
              <w:t>/a（含吸附的有机物），属于危险废物，代码为：HW49 900-039-49，集中收集后交由危废处理单位处理。</w:t>
            </w:r>
          </w:p>
          <w:p w14:paraId="59962AD8">
            <w:pPr>
              <w:spacing w:line="360" w:lineRule="auto"/>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③生活垃圾</w:t>
            </w:r>
          </w:p>
          <w:p w14:paraId="3CE66A9C">
            <w:pPr>
              <w:spacing w:line="360" w:lineRule="auto"/>
              <w:ind w:firstLine="420" w:firstLineChars="200"/>
              <w:rPr>
                <w:rFonts w:hint="default" w:ascii="Times New Roman" w:hAnsi="Times New Roman" w:cs="Times New Roman"/>
                <w:b/>
                <w:color w:val="auto"/>
                <w:szCs w:val="21"/>
              </w:rPr>
            </w:pPr>
            <w:r>
              <w:rPr>
                <w:rFonts w:hint="default" w:ascii="Times New Roman" w:hAnsi="Times New Roman" w:eastAsia="宋体" w:cs="Times New Roman"/>
                <w:color w:val="auto"/>
                <w:szCs w:val="21"/>
              </w:rPr>
              <w:t>生活垃圾主要为员工生活产生的垃圾，本项目劳动定员</w:t>
            </w:r>
            <w:r>
              <w:rPr>
                <w:rFonts w:hint="eastAsia" w:ascii="Times New Roman" w:hAnsi="Times New Roman" w:cs="Times New Roman"/>
                <w:color w:val="auto"/>
                <w:szCs w:val="21"/>
                <w:lang w:val="en-US" w:eastAsia="zh-CN"/>
              </w:rPr>
              <w:t>10</w:t>
            </w:r>
            <w:r>
              <w:rPr>
                <w:rFonts w:hint="default" w:ascii="Times New Roman" w:hAnsi="Times New Roman" w:eastAsia="宋体" w:cs="Times New Roman"/>
                <w:color w:val="auto"/>
                <w:szCs w:val="21"/>
              </w:rPr>
              <w:t>人，按0.5kg/人·d计，产生量</w:t>
            </w:r>
            <w:r>
              <w:rPr>
                <w:rFonts w:hint="eastAsia" w:ascii="Times New Roman" w:hAnsi="Times New Roman" w:cs="Times New Roman"/>
                <w:color w:val="auto"/>
                <w:szCs w:val="21"/>
                <w:lang w:val="en-US" w:eastAsia="zh-CN"/>
              </w:rPr>
              <w:t>1.5</w:t>
            </w:r>
            <w:r>
              <w:rPr>
                <w:rFonts w:hint="default" w:ascii="Times New Roman" w:hAnsi="Times New Roman" w:eastAsia="宋体" w:cs="Times New Roman"/>
                <w:color w:val="auto"/>
                <w:szCs w:val="21"/>
              </w:rPr>
              <w:t>t/a，集中收集后交由当地环卫部门统一收集处理。</w:t>
            </w:r>
          </w:p>
          <w:p w14:paraId="18B051FB">
            <w:pPr>
              <w:pStyle w:val="14"/>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本项目固体废物产生及处理情况，见下表。</w:t>
            </w:r>
          </w:p>
          <w:p w14:paraId="0132A821">
            <w:pPr>
              <w:spacing w:line="360" w:lineRule="auto"/>
              <w:ind w:firstLine="420" w:firstLineChars="200"/>
              <w:rPr>
                <w:rFonts w:hint="default" w:ascii="Times New Roman" w:hAnsi="Times New Roman" w:cs="Times New Roman"/>
                <w:snapToGrid w:val="0"/>
                <w:color w:val="auto"/>
                <w:szCs w:val="21"/>
              </w:rPr>
            </w:pPr>
          </w:p>
          <w:p w14:paraId="399226C8">
            <w:pPr>
              <w:spacing w:line="360" w:lineRule="auto"/>
              <w:ind w:firstLine="420" w:firstLineChars="200"/>
              <w:rPr>
                <w:rFonts w:hint="default" w:ascii="Times New Roman" w:hAnsi="Times New Roman" w:cs="Times New Roman"/>
                <w:snapToGrid w:val="0"/>
                <w:color w:val="auto"/>
                <w:szCs w:val="21"/>
              </w:rPr>
            </w:pPr>
          </w:p>
          <w:p w14:paraId="68A4A1CF">
            <w:pPr>
              <w:spacing w:line="360" w:lineRule="auto"/>
              <w:rPr>
                <w:rFonts w:hint="default" w:ascii="Times New Roman" w:hAnsi="Times New Roman" w:cs="Times New Roman"/>
                <w:color w:val="auto"/>
                <w:szCs w:val="21"/>
              </w:rPr>
            </w:pPr>
          </w:p>
        </w:tc>
      </w:tr>
    </w:tbl>
    <w:p w14:paraId="145C07B8">
      <w:pPr>
        <w:pStyle w:val="26"/>
        <w:outlineLvl w:val="0"/>
        <w:rPr>
          <w:rFonts w:hint="default" w:ascii="Times New Roman" w:hAnsi="Times New Roman" w:cs="Times New Roman"/>
          <w:snapToGrid w:val="0"/>
          <w:color w:val="auto"/>
          <w:sz w:val="30"/>
          <w:szCs w:val="30"/>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1F663305">
      <w:pPr>
        <w:spacing w:line="360" w:lineRule="auto"/>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表4-1</w:t>
      </w:r>
      <w:r>
        <w:rPr>
          <w:rFonts w:hint="eastAsia" w:ascii="Times New Roman" w:hAnsi="Times New Roman" w:cs="Times New Roman"/>
          <w:b/>
          <w:color w:val="auto"/>
          <w:szCs w:val="21"/>
          <w:lang w:val="en-US" w:eastAsia="zh-CN"/>
        </w:rPr>
        <w:t>4</w:t>
      </w:r>
      <w:r>
        <w:rPr>
          <w:rFonts w:hint="default" w:ascii="Times New Roman" w:hAnsi="Times New Roman" w:cs="Times New Roman"/>
          <w:b/>
          <w:color w:val="auto"/>
          <w:szCs w:val="21"/>
        </w:rPr>
        <w:t xml:space="preserve">  固废产生及处理情况一览表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361"/>
        <w:gridCol w:w="1758"/>
        <w:gridCol w:w="2059"/>
        <w:gridCol w:w="1043"/>
        <w:gridCol w:w="1128"/>
        <w:gridCol w:w="795"/>
        <w:gridCol w:w="983"/>
        <w:gridCol w:w="841"/>
        <w:gridCol w:w="2679"/>
      </w:tblGrid>
      <w:tr w14:paraId="75A41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 w:hRule="atLeast"/>
          <w:jc w:val="center"/>
        </w:trPr>
        <w:tc>
          <w:tcPr>
            <w:tcW w:w="865" w:type="pct"/>
            <w:vMerge w:val="restart"/>
            <w:noWrap w:val="0"/>
            <w:vAlign w:val="center"/>
          </w:tcPr>
          <w:p w14:paraId="559EC1B3">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工序</w:t>
            </w:r>
          </w:p>
        </w:tc>
        <w:tc>
          <w:tcPr>
            <w:tcW w:w="644" w:type="pct"/>
            <w:vMerge w:val="restart"/>
            <w:noWrap w:val="0"/>
            <w:vAlign w:val="center"/>
          </w:tcPr>
          <w:p w14:paraId="012627B8">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产生源</w:t>
            </w:r>
          </w:p>
        </w:tc>
        <w:tc>
          <w:tcPr>
            <w:tcW w:w="754" w:type="pct"/>
            <w:vMerge w:val="restart"/>
            <w:noWrap w:val="0"/>
            <w:vAlign w:val="center"/>
          </w:tcPr>
          <w:p w14:paraId="4A38E27D">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固体废物名称</w:t>
            </w:r>
          </w:p>
        </w:tc>
        <w:tc>
          <w:tcPr>
            <w:tcW w:w="382" w:type="pct"/>
            <w:vMerge w:val="restart"/>
            <w:noWrap w:val="0"/>
            <w:vAlign w:val="center"/>
          </w:tcPr>
          <w:p w14:paraId="07DA783B">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固废属性</w:t>
            </w:r>
          </w:p>
        </w:tc>
        <w:tc>
          <w:tcPr>
            <w:tcW w:w="704" w:type="pct"/>
            <w:gridSpan w:val="2"/>
            <w:noWrap w:val="0"/>
            <w:vAlign w:val="center"/>
          </w:tcPr>
          <w:p w14:paraId="58BE77EE">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产生量</w:t>
            </w:r>
          </w:p>
        </w:tc>
        <w:tc>
          <w:tcPr>
            <w:tcW w:w="668" w:type="pct"/>
            <w:gridSpan w:val="2"/>
            <w:noWrap w:val="0"/>
            <w:vAlign w:val="center"/>
          </w:tcPr>
          <w:p w14:paraId="12286904">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处置措施</w:t>
            </w:r>
          </w:p>
        </w:tc>
        <w:tc>
          <w:tcPr>
            <w:tcW w:w="981" w:type="pct"/>
            <w:vMerge w:val="restart"/>
            <w:noWrap w:val="0"/>
            <w:vAlign w:val="center"/>
          </w:tcPr>
          <w:p w14:paraId="6B8C6D3F">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最终去向</w:t>
            </w:r>
          </w:p>
        </w:tc>
      </w:tr>
      <w:tr w14:paraId="53DB2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 w:hRule="atLeast"/>
          <w:jc w:val="center"/>
        </w:trPr>
        <w:tc>
          <w:tcPr>
            <w:tcW w:w="865" w:type="pct"/>
            <w:vMerge w:val="continue"/>
            <w:noWrap w:val="0"/>
            <w:vAlign w:val="center"/>
          </w:tcPr>
          <w:p w14:paraId="013AEA5B">
            <w:pPr>
              <w:pStyle w:val="26"/>
              <w:jc w:val="center"/>
              <w:outlineLvl w:val="0"/>
              <w:rPr>
                <w:rFonts w:hint="default" w:ascii="Times New Roman" w:hAnsi="Times New Roman" w:cs="Times New Roman"/>
                <w:snapToGrid w:val="0"/>
                <w:color w:val="auto"/>
                <w:sz w:val="18"/>
                <w:szCs w:val="18"/>
              </w:rPr>
            </w:pPr>
          </w:p>
        </w:tc>
        <w:tc>
          <w:tcPr>
            <w:tcW w:w="644" w:type="pct"/>
            <w:vMerge w:val="continue"/>
            <w:noWrap w:val="0"/>
            <w:vAlign w:val="center"/>
          </w:tcPr>
          <w:p w14:paraId="5D3561EB">
            <w:pPr>
              <w:pStyle w:val="26"/>
              <w:jc w:val="center"/>
              <w:outlineLvl w:val="0"/>
              <w:rPr>
                <w:rFonts w:hint="default" w:ascii="Times New Roman" w:hAnsi="Times New Roman" w:cs="Times New Roman"/>
                <w:snapToGrid w:val="0"/>
                <w:color w:val="auto"/>
                <w:sz w:val="18"/>
                <w:szCs w:val="18"/>
              </w:rPr>
            </w:pPr>
          </w:p>
        </w:tc>
        <w:tc>
          <w:tcPr>
            <w:tcW w:w="754" w:type="pct"/>
            <w:vMerge w:val="continue"/>
            <w:noWrap w:val="0"/>
            <w:vAlign w:val="center"/>
          </w:tcPr>
          <w:p w14:paraId="247715E5">
            <w:pPr>
              <w:pStyle w:val="26"/>
              <w:jc w:val="center"/>
              <w:outlineLvl w:val="0"/>
              <w:rPr>
                <w:rFonts w:hint="default" w:ascii="Times New Roman" w:hAnsi="Times New Roman" w:cs="Times New Roman"/>
                <w:snapToGrid w:val="0"/>
                <w:color w:val="auto"/>
                <w:sz w:val="18"/>
                <w:szCs w:val="18"/>
              </w:rPr>
            </w:pPr>
          </w:p>
        </w:tc>
        <w:tc>
          <w:tcPr>
            <w:tcW w:w="382" w:type="pct"/>
            <w:vMerge w:val="continue"/>
            <w:noWrap w:val="0"/>
            <w:vAlign w:val="center"/>
          </w:tcPr>
          <w:p w14:paraId="6F2EAEFF">
            <w:pPr>
              <w:pStyle w:val="26"/>
              <w:jc w:val="center"/>
              <w:outlineLvl w:val="0"/>
              <w:rPr>
                <w:rFonts w:hint="default" w:ascii="Times New Roman" w:hAnsi="Times New Roman" w:cs="Times New Roman"/>
                <w:snapToGrid w:val="0"/>
                <w:color w:val="auto"/>
                <w:sz w:val="18"/>
                <w:szCs w:val="18"/>
              </w:rPr>
            </w:pPr>
          </w:p>
        </w:tc>
        <w:tc>
          <w:tcPr>
            <w:tcW w:w="413" w:type="pct"/>
            <w:noWrap w:val="0"/>
            <w:vAlign w:val="center"/>
          </w:tcPr>
          <w:p w14:paraId="254CDF93">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核算方法</w:t>
            </w:r>
          </w:p>
        </w:tc>
        <w:tc>
          <w:tcPr>
            <w:tcW w:w="291" w:type="pct"/>
            <w:noWrap w:val="0"/>
            <w:vAlign w:val="center"/>
          </w:tcPr>
          <w:p w14:paraId="549D21DE">
            <w:pPr>
              <w:pStyle w:val="26"/>
              <w:adjustRightInd w:val="0"/>
              <w:snapToGrid w:val="0"/>
              <w:spacing w:before="0" w:beforeAutospacing="0" w:after="0" w:afterAutospacing="0"/>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产生量（t/a）</w:t>
            </w:r>
          </w:p>
        </w:tc>
        <w:tc>
          <w:tcPr>
            <w:tcW w:w="360" w:type="pct"/>
            <w:noWrap w:val="0"/>
            <w:vAlign w:val="center"/>
          </w:tcPr>
          <w:p w14:paraId="007F03F8">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工艺</w:t>
            </w:r>
          </w:p>
        </w:tc>
        <w:tc>
          <w:tcPr>
            <w:tcW w:w="308" w:type="pct"/>
            <w:noWrap w:val="0"/>
            <w:vAlign w:val="center"/>
          </w:tcPr>
          <w:p w14:paraId="54F3D9B7">
            <w:pPr>
              <w:pStyle w:val="26"/>
              <w:adjustRightInd w:val="0"/>
              <w:snapToGrid w:val="0"/>
              <w:spacing w:before="0" w:beforeAutospacing="0" w:after="0" w:afterAutospacing="0"/>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处置量（t/a）</w:t>
            </w:r>
          </w:p>
        </w:tc>
        <w:tc>
          <w:tcPr>
            <w:tcW w:w="981" w:type="pct"/>
            <w:vMerge w:val="continue"/>
            <w:noWrap w:val="0"/>
            <w:vAlign w:val="center"/>
          </w:tcPr>
          <w:p w14:paraId="60801C23">
            <w:pPr>
              <w:pStyle w:val="26"/>
              <w:jc w:val="center"/>
              <w:outlineLvl w:val="0"/>
              <w:rPr>
                <w:rFonts w:hint="default" w:ascii="Times New Roman" w:hAnsi="Times New Roman" w:cs="Times New Roman"/>
                <w:snapToGrid w:val="0"/>
                <w:color w:val="auto"/>
                <w:sz w:val="18"/>
                <w:szCs w:val="18"/>
              </w:rPr>
            </w:pPr>
          </w:p>
        </w:tc>
      </w:tr>
      <w:tr w14:paraId="31F04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865" w:type="pct"/>
            <w:noWrap w:val="0"/>
            <w:vAlign w:val="center"/>
          </w:tcPr>
          <w:p w14:paraId="20B00735">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包装</w:t>
            </w:r>
          </w:p>
        </w:tc>
        <w:tc>
          <w:tcPr>
            <w:tcW w:w="644" w:type="pct"/>
            <w:noWrap w:val="0"/>
            <w:vAlign w:val="center"/>
          </w:tcPr>
          <w:p w14:paraId="6B664590">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编织袋、塑料袋</w:t>
            </w:r>
          </w:p>
        </w:tc>
        <w:tc>
          <w:tcPr>
            <w:tcW w:w="754" w:type="pct"/>
            <w:noWrap w:val="0"/>
            <w:vAlign w:val="center"/>
          </w:tcPr>
          <w:p w14:paraId="03F56DB6">
            <w:pPr>
              <w:pStyle w:val="7"/>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废包装材料</w:t>
            </w:r>
          </w:p>
        </w:tc>
        <w:tc>
          <w:tcPr>
            <w:tcW w:w="382" w:type="pct"/>
            <w:vMerge w:val="restart"/>
            <w:noWrap w:val="0"/>
            <w:vAlign w:val="center"/>
          </w:tcPr>
          <w:p w14:paraId="355630D0">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一般工业固废</w:t>
            </w:r>
          </w:p>
        </w:tc>
        <w:tc>
          <w:tcPr>
            <w:tcW w:w="413" w:type="pct"/>
            <w:vMerge w:val="restart"/>
            <w:noWrap w:val="0"/>
            <w:vAlign w:val="center"/>
          </w:tcPr>
          <w:p w14:paraId="431E1AA7">
            <w:pPr>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经验系数法</w:t>
            </w:r>
          </w:p>
        </w:tc>
        <w:tc>
          <w:tcPr>
            <w:tcW w:w="291" w:type="pct"/>
            <w:noWrap w:val="0"/>
            <w:vAlign w:val="center"/>
          </w:tcPr>
          <w:p w14:paraId="2C1DF03C">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10</w:t>
            </w:r>
          </w:p>
        </w:tc>
        <w:tc>
          <w:tcPr>
            <w:tcW w:w="360" w:type="pct"/>
            <w:noWrap w:val="0"/>
            <w:vAlign w:val="center"/>
          </w:tcPr>
          <w:p w14:paraId="295EB3EE">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委外处置</w:t>
            </w:r>
          </w:p>
        </w:tc>
        <w:tc>
          <w:tcPr>
            <w:tcW w:w="308" w:type="pct"/>
            <w:shd w:val="clear" w:color="auto" w:fill="auto"/>
            <w:noWrap w:val="0"/>
            <w:vAlign w:val="center"/>
          </w:tcPr>
          <w:p w14:paraId="742C3917">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10</w:t>
            </w:r>
          </w:p>
        </w:tc>
        <w:tc>
          <w:tcPr>
            <w:tcW w:w="981" w:type="pct"/>
            <w:noWrap w:val="0"/>
            <w:vAlign w:val="center"/>
          </w:tcPr>
          <w:p w14:paraId="005CAF1A">
            <w:pPr>
              <w:pStyle w:val="26"/>
              <w:jc w:val="center"/>
              <w:outlineLvl w:val="0"/>
              <w:rPr>
                <w:rFonts w:hint="default" w:ascii="Times New Roman" w:hAnsi="Times New Roman" w:eastAsia="宋体" w:cs="Times New Roman"/>
                <w:snapToGrid w:val="0"/>
                <w:color w:val="auto"/>
                <w:sz w:val="18"/>
                <w:szCs w:val="18"/>
              </w:rPr>
            </w:pPr>
            <w:r>
              <w:rPr>
                <w:rFonts w:hint="default" w:ascii="Times New Roman" w:hAnsi="Times New Roman" w:eastAsia="宋体" w:cs="Times New Roman"/>
                <w:snapToGrid w:val="0"/>
                <w:color w:val="auto"/>
                <w:sz w:val="18"/>
                <w:szCs w:val="18"/>
              </w:rPr>
              <w:t>交由废品回收单位处理</w:t>
            </w:r>
          </w:p>
        </w:tc>
      </w:tr>
      <w:tr w14:paraId="045FD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865" w:type="pct"/>
            <w:noWrap w:val="0"/>
            <w:vAlign w:val="center"/>
          </w:tcPr>
          <w:p w14:paraId="4CD7D9E2">
            <w:pPr>
              <w:adjustRightInd w:val="0"/>
              <w:snapToGrid w:val="0"/>
              <w:jc w:val="center"/>
              <w:rPr>
                <w:rFonts w:hint="default" w:ascii="Times New Roman" w:hAnsi="Times New Roman" w:eastAsia="宋体"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修边</w:t>
            </w:r>
            <w:r>
              <w:rPr>
                <w:rFonts w:hint="default" w:ascii="Times New Roman" w:hAnsi="Times New Roman" w:cs="Times New Roman"/>
                <w:snapToGrid w:val="0"/>
                <w:color w:val="auto"/>
                <w:sz w:val="18"/>
                <w:szCs w:val="18"/>
              </w:rPr>
              <w:t>以及更换模具时模具</w:t>
            </w:r>
            <w:r>
              <w:rPr>
                <w:rFonts w:hint="default" w:ascii="Times New Roman" w:hAnsi="Times New Roman" w:cs="Times New Roman"/>
                <w:snapToGrid w:val="0"/>
                <w:color w:val="auto"/>
                <w:sz w:val="18"/>
                <w:szCs w:val="18"/>
                <w:lang w:val="en-US" w:eastAsia="zh-CN"/>
              </w:rPr>
              <w:t>内的废料</w:t>
            </w:r>
          </w:p>
        </w:tc>
        <w:tc>
          <w:tcPr>
            <w:tcW w:w="644" w:type="pct"/>
            <w:noWrap w:val="0"/>
            <w:vAlign w:val="center"/>
          </w:tcPr>
          <w:p w14:paraId="049C16B9">
            <w:pPr>
              <w:pStyle w:val="26"/>
              <w:adjustRightInd w:val="0"/>
              <w:snapToGrid w:val="0"/>
              <w:spacing w:before="0" w:beforeAutospacing="0" w:after="0" w:afterAutospacing="0"/>
              <w:jc w:val="center"/>
              <w:outlineLvl w:val="0"/>
              <w:rPr>
                <w:rFonts w:hint="default" w:ascii="Times New Roman" w:hAnsi="Times New Roman" w:cs="Times New Roman"/>
                <w:bCs/>
                <w:color w:val="auto"/>
                <w:spacing w:val="-10"/>
                <w:sz w:val="18"/>
                <w:szCs w:val="18"/>
              </w:rPr>
            </w:pPr>
            <w:r>
              <w:rPr>
                <w:rFonts w:hint="default" w:ascii="Times New Roman" w:hAnsi="Times New Roman" w:cs="Times New Roman"/>
                <w:bCs/>
                <w:color w:val="auto"/>
                <w:spacing w:val="-10"/>
                <w:sz w:val="18"/>
                <w:szCs w:val="18"/>
              </w:rPr>
              <w:t>边角料</w:t>
            </w:r>
          </w:p>
        </w:tc>
        <w:tc>
          <w:tcPr>
            <w:tcW w:w="754" w:type="pct"/>
            <w:noWrap w:val="0"/>
            <w:vAlign w:val="center"/>
          </w:tcPr>
          <w:p w14:paraId="4DA93796">
            <w:pPr>
              <w:pStyle w:val="7"/>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废边角料</w:t>
            </w:r>
          </w:p>
        </w:tc>
        <w:tc>
          <w:tcPr>
            <w:tcW w:w="382" w:type="pct"/>
            <w:vMerge w:val="continue"/>
            <w:noWrap w:val="0"/>
            <w:vAlign w:val="center"/>
          </w:tcPr>
          <w:p w14:paraId="31128DED">
            <w:pPr>
              <w:pStyle w:val="26"/>
              <w:jc w:val="center"/>
              <w:outlineLvl w:val="0"/>
              <w:rPr>
                <w:rFonts w:hint="default" w:ascii="Times New Roman" w:hAnsi="Times New Roman" w:cs="Times New Roman"/>
                <w:snapToGrid w:val="0"/>
                <w:color w:val="auto"/>
                <w:sz w:val="18"/>
                <w:szCs w:val="18"/>
              </w:rPr>
            </w:pPr>
          </w:p>
        </w:tc>
        <w:tc>
          <w:tcPr>
            <w:tcW w:w="413" w:type="pct"/>
            <w:vMerge w:val="continue"/>
            <w:noWrap w:val="0"/>
            <w:vAlign w:val="center"/>
          </w:tcPr>
          <w:p w14:paraId="384B5037">
            <w:pPr>
              <w:pStyle w:val="26"/>
              <w:jc w:val="center"/>
              <w:outlineLvl w:val="0"/>
              <w:rPr>
                <w:rFonts w:hint="default" w:ascii="Times New Roman" w:hAnsi="Times New Roman" w:cs="Times New Roman"/>
                <w:snapToGrid w:val="0"/>
                <w:color w:val="auto"/>
                <w:sz w:val="18"/>
                <w:szCs w:val="18"/>
              </w:rPr>
            </w:pPr>
          </w:p>
        </w:tc>
        <w:tc>
          <w:tcPr>
            <w:tcW w:w="291" w:type="pct"/>
            <w:noWrap w:val="0"/>
            <w:vAlign w:val="center"/>
          </w:tcPr>
          <w:p w14:paraId="2C751771">
            <w:pPr>
              <w:spacing w:line="240" w:lineRule="exact"/>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20</w:t>
            </w:r>
          </w:p>
        </w:tc>
        <w:tc>
          <w:tcPr>
            <w:tcW w:w="360" w:type="pct"/>
            <w:noWrap w:val="0"/>
            <w:vAlign w:val="center"/>
          </w:tcPr>
          <w:p w14:paraId="49D466C8">
            <w:pPr>
              <w:pStyle w:val="26"/>
              <w:jc w:val="center"/>
              <w:outlineLvl w:val="0"/>
              <w:rPr>
                <w:rFonts w:hint="default" w:ascii="Times New Roman" w:hAnsi="Times New Roman" w:eastAsia="宋体" w:cs="Times New Roman"/>
                <w:bCs/>
                <w:color w:val="auto"/>
                <w:spacing w:val="-10"/>
                <w:sz w:val="18"/>
                <w:szCs w:val="18"/>
                <w:lang w:val="en-US" w:eastAsia="zh-CN"/>
              </w:rPr>
            </w:pPr>
            <w:r>
              <w:rPr>
                <w:rFonts w:hint="default" w:ascii="Times New Roman" w:hAnsi="Times New Roman" w:cs="Times New Roman"/>
                <w:bCs/>
                <w:color w:val="auto"/>
                <w:spacing w:val="-10"/>
                <w:sz w:val="18"/>
                <w:szCs w:val="18"/>
                <w:lang w:val="en-US" w:eastAsia="zh-CN"/>
              </w:rPr>
              <w:t>破碎后回用</w:t>
            </w:r>
          </w:p>
        </w:tc>
        <w:tc>
          <w:tcPr>
            <w:tcW w:w="308" w:type="pct"/>
            <w:shd w:val="clear" w:color="auto" w:fill="auto"/>
            <w:noWrap w:val="0"/>
            <w:vAlign w:val="center"/>
          </w:tcPr>
          <w:p w14:paraId="74058BE9">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20</w:t>
            </w:r>
          </w:p>
        </w:tc>
        <w:tc>
          <w:tcPr>
            <w:tcW w:w="981" w:type="pct"/>
            <w:noWrap w:val="0"/>
            <w:vAlign w:val="center"/>
          </w:tcPr>
          <w:p w14:paraId="40FC7415">
            <w:pPr>
              <w:pStyle w:val="26"/>
              <w:jc w:val="center"/>
              <w:outlineLvl w:val="0"/>
              <w:rPr>
                <w:rFonts w:hint="default" w:ascii="Times New Roman" w:hAnsi="Times New Roman" w:eastAsia="宋体" w:cs="Times New Roman"/>
                <w:snapToGrid w:val="0"/>
                <w:color w:val="auto"/>
                <w:sz w:val="18"/>
                <w:szCs w:val="18"/>
              </w:rPr>
            </w:pPr>
            <w:r>
              <w:rPr>
                <w:rFonts w:hint="default" w:ascii="Times New Roman" w:hAnsi="Times New Roman" w:eastAsia="宋体" w:cs="Times New Roman"/>
                <w:snapToGrid w:val="0"/>
                <w:color w:val="auto"/>
                <w:sz w:val="18"/>
                <w:szCs w:val="18"/>
                <w:lang w:val="en-US" w:eastAsia="zh-CN"/>
              </w:rPr>
              <w:t>经破碎机破碎以后回用于生产线</w:t>
            </w:r>
          </w:p>
        </w:tc>
      </w:tr>
      <w:tr w14:paraId="3C525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865" w:type="pct"/>
            <w:noWrap w:val="0"/>
            <w:vAlign w:val="center"/>
          </w:tcPr>
          <w:p w14:paraId="7569E670">
            <w:pPr>
              <w:adjustRightInd w:val="0"/>
              <w:snapToGrid w:val="0"/>
              <w:jc w:val="center"/>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检验</w:t>
            </w:r>
          </w:p>
        </w:tc>
        <w:tc>
          <w:tcPr>
            <w:tcW w:w="644" w:type="pct"/>
            <w:noWrap w:val="0"/>
            <w:vAlign w:val="center"/>
          </w:tcPr>
          <w:p w14:paraId="05D103CF">
            <w:pPr>
              <w:pStyle w:val="26"/>
              <w:adjustRightInd w:val="0"/>
              <w:snapToGrid w:val="0"/>
              <w:spacing w:before="0" w:beforeAutospacing="0" w:after="0" w:afterAutospacing="0"/>
              <w:jc w:val="center"/>
              <w:outlineLvl w:val="0"/>
              <w:rPr>
                <w:rFonts w:hint="default" w:ascii="Times New Roman" w:hAnsi="Times New Roman" w:cs="Times New Roman"/>
                <w:bCs/>
                <w:color w:val="auto"/>
                <w:spacing w:val="-10"/>
                <w:sz w:val="18"/>
                <w:szCs w:val="18"/>
              </w:rPr>
            </w:pPr>
            <w:r>
              <w:rPr>
                <w:rFonts w:hint="default" w:ascii="Times New Roman" w:hAnsi="Times New Roman" w:cs="Times New Roman"/>
                <w:bCs/>
                <w:color w:val="auto"/>
                <w:spacing w:val="-10"/>
                <w:sz w:val="18"/>
                <w:szCs w:val="18"/>
              </w:rPr>
              <w:t>检验</w:t>
            </w:r>
          </w:p>
        </w:tc>
        <w:tc>
          <w:tcPr>
            <w:tcW w:w="754" w:type="pct"/>
            <w:noWrap w:val="0"/>
            <w:vAlign w:val="center"/>
          </w:tcPr>
          <w:p w14:paraId="7EAE4697">
            <w:pPr>
              <w:pStyle w:val="7"/>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不合格品</w:t>
            </w:r>
          </w:p>
        </w:tc>
        <w:tc>
          <w:tcPr>
            <w:tcW w:w="382" w:type="pct"/>
            <w:vMerge w:val="continue"/>
            <w:noWrap w:val="0"/>
            <w:vAlign w:val="center"/>
          </w:tcPr>
          <w:p w14:paraId="0945FA25">
            <w:pPr>
              <w:pStyle w:val="26"/>
              <w:jc w:val="center"/>
              <w:outlineLvl w:val="0"/>
              <w:rPr>
                <w:rFonts w:hint="default" w:ascii="Times New Roman" w:hAnsi="Times New Roman" w:eastAsia="宋体" w:cs="Times New Roman"/>
                <w:snapToGrid w:val="0"/>
                <w:color w:val="auto"/>
                <w:kern w:val="0"/>
                <w:sz w:val="18"/>
                <w:szCs w:val="18"/>
                <w:lang w:val="en-US" w:eastAsia="zh-CN" w:bidi="ar-SA"/>
              </w:rPr>
            </w:pPr>
          </w:p>
        </w:tc>
        <w:tc>
          <w:tcPr>
            <w:tcW w:w="413" w:type="pct"/>
            <w:vMerge w:val="continue"/>
            <w:noWrap w:val="0"/>
            <w:vAlign w:val="center"/>
          </w:tcPr>
          <w:p w14:paraId="0E5C83BF">
            <w:pPr>
              <w:pStyle w:val="26"/>
              <w:jc w:val="center"/>
              <w:outlineLvl w:val="0"/>
              <w:rPr>
                <w:rFonts w:hint="default" w:ascii="Times New Roman" w:hAnsi="Times New Roman" w:eastAsia="宋体" w:cs="Times New Roman"/>
                <w:snapToGrid w:val="0"/>
                <w:color w:val="auto"/>
                <w:kern w:val="0"/>
                <w:sz w:val="18"/>
                <w:szCs w:val="18"/>
                <w:lang w:val="en-US" w:eastAsia="zh-CN" w:bidi="ar-SA"/>
              </w:rPr>
            </w:pPr>
          </w:p>
        </w:tc>
        <w:tc>
          <w:tcPr>
            <w:tcW w:w="291" w:type="pct"/>
            <w:noWrap w:val="0"/>
            <w:vAlign w:val="center"/>
          </w:tcPr>
          <w:p w14:paraId="1C099010">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5</w:t>
            </w:r>
          </w:p>
        </w:tc>
        <w:tc>
          <w:tcPr>
            <w:tcW w:w="360" w:type="pct"/>
            <w:noWrap w:val="0"/>
            <w:vAlign w:val="center"/>
          </w:tcPr>
          <w:p w14:paraId="009AD07E">
            <w:pPr>
              <w:pStyle w:val="26"/>
              <w:jc w:val="center"/>
              <w:outlineLvl w:val="0"/>
              <w:rPr>
                <w:rFonts w:hint="default" w:ascii="Times New Roman" w:hAnsi="Times New Roman" w:eastAsia="宋体" w:cs="Times New Roman"/>
                <w:bCs/>
                <w:color w:val="auto"/>
                <w:spacing w:val="-10"/>
                <w:kern w:val="0"/>
                <w:sz w:val="18"/>
                <w:szCs w:val="18"/>
                <w:lang w:val="en-US" w:eastAsia="zh-CN" w:bidi="ar-SA"/>
              </w:rPr>
            </w:pPr>
            <w:r>
              <w:rPr>
                <w:rFonts w:hint="default" w:ascii="Times New Roman" w:hAnsi="Times New Roman" w:cs="Times New Roman"/>
                <w:bCs/>
                <w:color w:val="auto"/>
                <w:spacing w:val="-10"/>
                <w:sz w:val="18"/>
                <w:szCs w:val="18"/>
                <w:lang w:val="en-US" w:eastAsia="zh-CN"/>
              </w:rPr>
              <w:t>破碎后回用</w:t>
            </w:r>
          </w:p>
        </w:tc>
        <w:tc>
          <w:tcPr>
            <w:tcW w:w="308" w:type="pct"/>
            <w:shd w:val="clear" w:color="auto" w:fill="auto"/>
            <w:noWrap w:val="0"/>
            <w:vAlign w:val="center"/>
          </w:tcPr>
          <w:p w14:paraId="1B1E382C">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5</w:t>
            </w:r>
          </w:p>
        </w:tc>
        <w:tc>
          <w:tcPr>
            <w:tcW w:w="981" w:type="pct"/>
            <w:noWrap w:val="0"/>
            <w:vAlign w:val="center"/>
          </w:tcPr>
          <w:p w14:paraId="136FE6B6">
            <w:pPr>
              <w:pStyle w:val="26"/>
              <w:jc w:val="center"/>
              <w:outlineLvl w:val="0"/>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snapToGrid w:val="0"/>
                <w:color w:val="auto"/>
                <w:sz w:val="18"/>
                <w:szCs w:val="18"/>
                <w:lang w:val="en-US" w:eastAsia="zh-CN"/>
              </w:rPr>
              <w:t>经破碎机破碎以后回用于生产线</w:t>
            </w:r>
          </w:p>
        </w:tc>
      </w:tr>
      <w:tr w14:paraId="2CB81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3058" w:type="pct"/>
            <w:gridSpan w:val="5"/>
            <w:noWrap w:val="0"/>
            <w:vAlign w:val="center"/>
          </w:tcPr>
          <w:p w14:paraId="2A2737D1">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b/>
                <w:snapToGrid w:val="0"/>
                <w:color w:val="auto"/>
                <w:sz w:val="18"/>
                <w:szCs w:val="18"/>
              </w:rPr>
              <w:t>小计</w:t>
            </w:r>
          </w:p>
        </w:tc>
        <w:tc>
          <w:tcPr>
            <w:tcW w:w="291" w:type="pct"/>
            <w:noWrap w:val="0"/>
            <w:vAlign w:val="center"/>
          </w:tcPr>
          <w:p w14:paraId="278C661B">
            <w:pPr>
              <w:pStyle w:val="26"/>
              <w:jc w:val="center"/>
              <w:outlineLvl w:val="0"/>
              <w:rPr>
                <w:rFonts w:hint="default" w:ascii="Times New Roman" w:hAnsi="Times New Roman" w:eastAsia="宋体" w:cs="Times New Roman"/>
                <w:b/>
                <w:snapToGrid w:val="0"/>
                <w:color w:val="auto"/>
                <w:sz w:val="18"/>
                <w:szCs w:val="18"/>
                <w:lang w:val="en-US" w:eastAsia="zh-CN"/>
              </w:rPr>
            </w:pPr>
            <w:r>
              <w:rPr>
                <w:rFonts w:hint="eastAsia" w:ascii="Times New Roman" w:hAnsi="Times New Roman" w:cs="Times New Roman"/>
                <w:b/>
                <w:snapToGrid w:val="0"/>
                <w:color w:val="auto"/>
                <w:sz w:val="18"/>
                <w:szCs w:val="18"/>
                <w:lang w:val="en-US" w:eastAsia="zh-CN"/>
              </w:rPr>
              <w:t>35</w:t>
            </w:r>
          </w:p>
        </w:tc>
        <w:tc>
          <w:tcPr>
            <w:tcW w:w="360" w:type="pct"/>
            <w:noWrap w:val="0"/>
            <w:vAlign w:val="center"/>
          </w:tcPr>
          <w:p w14:paraId="73853FA2">
            <w:pPr>
              <w:pStyle w:val="26"/>
              <w:jc w:val="center"/>
              <w:outlineLvl w:val="0"/>
              <w:rPr>
                <w:rFonts w:hint="default" w:ascii="Times New Roman" w:hAnsi="Times New Roman" w:cs="Times New Roman"/>
                <w:b/>
                <w:snapToGrid w:val="0"/>
                <w:color w:val="auto"/>
                <w:sz w:val="18"/>
                <w:szCs w:val="18"/>
              </w:rPr>
            </w:pPr>
            <w:r>
              <w:rPr>
                <w:rFonts w:hint="default" w:ascii="Times New Roman" w:hAnsi="Times New Roman" w:cs="Times New Roman"/>
                <w:b/>
                <w:snapToGrid w:val="0"/>
                <w:color w:val="auto"/>
                <w:sz w:val="18"/>
                <w:szCs w:val="18"/>
              </w:rPr>
              <w:t>/</w:t>
            </w:r>
          </w:p>
        </w:tc>
        <w:tc>
          <w:tcPr>
            <w:tcW w:w="308" w:type="pct"/>
            <w:noWrap w:val="0"/>
            <w:vAlign w:val="center"/>
          </w:tcPr>
          <w:p w14:paraId="0400FB2A">
            <w:pPr>
              <w:pStyle w:val="26"/>
              <w:jc w:val="center"/>
              <w:outlineLvl w:val="0"/>
              <w:rPr>
                <w:rFonts w:hint="default" w:ascii="Times New Roman" w:hAnsi="Times New Roman" w:eastAsia="宋体" w:cs="Times New Roman"/>
                <w:b/>
                <w:snapToGrid w:val="0"/>
                <w:color w:val="auto"/>
                <w:sz w:val="18"/>
                <w:szCs w:val="18"/>
                <w:lang w:val="en-US" w:eastAsia="zh-CN"/>
              </w:rPr>
            </w:pPr>
            <w:r>
              <w:rPr>
                <w:rFonts w:hint="eastAsia" w:ascii="Times New Roman" w:hAnsi="Times New Roman" w:cs="Times New Roman"/>
                <w:b/>
                <w:snapToGrid w:val="0"/>
                <w:color w:val="auto"/>
                <w:sz w:val="18"/>
                <w:szCs w:val="18"/>
                <w:lang w:val="en-US" w:eastAsia="zh-CN"/>
              </w:rPr>
              <w:t>35</w:t>
            </w:r>
          </w:p>
        </w:tc>
        <w:tc>
          <w:tcPr>
            <w:tcW w:w="981" w:type="pct"/>
            <w:noWrap w:val="0"/>
            <w:vAlign w:val="center"/>
          </w:tcPr>
          <w:p w14:paraId="16FFF189">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w:t>
            </w:r>
          </w:p>
        </w:tc>
      </w:tr>
      <w:tr w14:paraId="4DE32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865" w:type="pct"/>
            <w:vMerge w:val="restart"/>
            <w:noWrap w:val="0"/>
            <w:vAlign w:val="center"/>
          </w:tcPr>
          <w:p w14:paraId="02E87BD7">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设备维修保养</w:t>
            </w:r>
          </w:p>
        </w:tc>
        <w:tc>
          <w:tcPr>
            <w:tcW w:w="644" w:type="pct"/>
            <w:vMerge w:val="restart"/>
            <w:noWrap w:val="0"/>
            <w:vAlign w:val="center"/>
          </w:tcPr>
          <w:p w14:paraId="3B090AEC">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设备维修保养</w:t>
            </w:r>
          </w:p>
        </w:tc>
        <w:tc>
          <w:tcPr>
            <w:tcW w:w="754" w:type="pct"/>
            <w:noWrap w:val="0"/>
            <w:vAlign w:val="center"/>
          </w:tcPr>
          <w:p w14:paraId="7858A9AA">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废矿物油</w:t>
            </w:r>
          </w:p>
        </w:tc>
        <w:tc>
          <w:tcPr>
            <w:tcW w:w="382" w:type="pct"/>
            <w:vMerge w:val="restart"/>
            <w:noWrap w:val="0"/>
            <w:vAlign w:val="center"/>
          </w:tcPr>
          <w:p w14:paraId="06678EC5">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危险废物</w:t>
            </w:r>
          </w:p>
        </w:tc>
        <w:tc>
          <w:tcPr>
            <w:tcW w:w="413" w:type="pct"/>
            <w:vMerge w:val="restart"/>
            <w:noWrap w:val="0"/>
            <w:vAlign w:val="center"/>
          </w:tcPr>
          <w:p w14:paraId="4AF2E927">
            <w:pPr>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lang w:val="en-US" w:eastAsia="zh-CN"/>
              </w:rPr>
              <w:t>物料衡算法</w:t>
            </w:r>
          </w:p>
        </w:tc>
        <w:tc>
          <w:tcPr>
            <w:tcW w:w="795" w:type="dxa"/>
            <w:noWrap w:val="0"/>
            <w:vAlign w:val="center"/>
          </w:tcPr>
          <w:p w14:paraId="737DD7C1">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0.74</w:t>
            </w:r>
          </w:p>
        </w:tc>
        <w:tc>
          <w:tcPr>
            <w:tcW w:w="360" w:type="pct"/>
            <w:vMerge w:val="restart"/>
            <w:noWrap w:val="0"/>
            <w:vAlign w:val="center"/>
          </w:tcPr>
          <w:p w14:paraId="11427DA7">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委外处置</w:t>
            </w:r>
          </w:p>
        </w:tc>
        <w:tc>
          <w:tcPr>
            <w:tcW w:w="841" w:type="dxa"/>
            <w:noWrap w:val="0"/>
            <w:vAlign w:val="center"/>
          </w:tcPr>
          <w:p w14:paraId="0FDE8253">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0.74</w:t>
            </w:r>
          </w:p>
        </w:tc>
        <w:tc>
          <w:tcPr>
            <w:tcW w:w="981" w:type="pct"/>
            <w:vMerge w:val="restart"/>
            <w:noWrap w:val="0"/>
            <w:vAlign w:val="center"/>
          </w:tcPr>
          <w:p w14:paraId="3E168BDA">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交由有危废处理资质单位处理</w:t>
            </w:r>
          </w:p>
        </w:tc>
      </w:tr>
      <w:tr w14:paraId="5BAB3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865" w:type="pct"/>
            <w:vMerge w:val="continue"/>
            <w:noWrap w:val="0"/>
            <w:vAlign w:val="center"/>
          </w:tcPr>
          <w:p w14:paraId="5B3EB17C">
            <w:pPr>
              <w:pStyle w:val="26"/>
              <w:jc w:val="center"/>
              <w:outlineLvl w:val="0"/>
              <w:rPr>
                <w:rFonts w:hint="default" w:ascii="Times New Roman" w:hAnsi="Times New Roman" w:cs="Times New Roman"/>
                <w:snapToGrid w:val="0"/>
                <w:color w:val="auto"/>
                <w:sz w:val="18"/>
                <w:szCs w:val="18"/>
              </w:rPr>
            </w:pPr>
          </w:p>
        </w:tc>
        <w:tc>
          <w:tcPr>
            <w:tcW w:w="644" w:type="pct"/>
            <w:vMerge w:val="continue"/>
            <w:noWrap w:val="0"/>
            <w:vAlign w:val="center"/>
          </w:tcPr>
          <w:p w14:paraId="2B2B4210">
            <w:pPr>
              <w:jc w:val="center"/>
              <w:rPr>
                <w:rFonts w:hint="default" w:ascii="Times New Roman" w:hAnsi="Times New Roman" w:cs="Times New Roman"/>
                <w:color w:val="auto"/>
                <w:sz w:val="18"/>
                <w:szCs w:val="18"/>
              </w:rPr>
            </w:pPr>
          </w:p>
        </w:tc>
        <w:tc>
          <w:tcPr>
            <w:tcW w:w="754" w:type="pct"/>
            <w:noWrap w:val="0"/>
            <w:vAlign w:val="center"/>
          </w:tcPr>
          <w:p w14:paraId="5D6DBAEB">
            <w:pPr>
              <w:jc w:val="center"/>
              <w:rPr>
                <w:rFonts w:hint="default" w:ascii="Times New Roman" w:hAnsi="Times New Roman" w:eastAsia="宋体" w:cs="Times New Roman"/>
                <w:color w:val="auto"/>
                <w:sz w:val="18"/>
                <w:szCs w:val="18"/>
                <w:lang w:eastAsia="zh-CN"/>
              </w:rPr>
            </w:pPr>
            <w:r>
              <w:rPr>
                <w:rFonts w:hint="eastAsia" w:cs="Times New Roman"/>
                <w:color w:val="auto"/>
                <w:sz w:val="18"/>
                <w:szCs w:val="18"/>
                <w:lang w:eastAsia="zh-CN"/>
              </w:rPr>
              <w:t>废油桶</w:t>
            </w:r>
          </w:p>
        </w:tc>
        <w:tc>
          <w:tcPr>
            <w:tcW w:w="382" w:type="pct"/>
            <w:vMerge w:val="continue"/>
            <w:noWrap w:val="0"/>
            <w:vAlign w:val="center"/>
          </w:tcPr>
          <w:p w14:paraId="24ADCB72">
            <w:pPr>
              <w:pStyle w:val="26"/>
              <w:jc w:val="center"/>
              <w:outlineLvl w:val="0"/>
              <w:rPr>
                <w:rFonts w:hint="default" w:ascii="Times New Roman" w:hAnsi="Times New Roman" w:cs="Times New Roman"/>
                <w:snapToGrid w:val="0"/>
                <w:color w:val="auto"/>
                <w:sz w:val="18"/>
                <w:szCs w:val="18"/>
              </w:rPr>
            </w:pPr>
          </w:p>
        </w:tc>
        <w:tc>
          <w:tcPr>
            <w:tcW w:w="413" w:type="pct"/>
            <w:vMerge w:val="continue"/>
            <w:noWrap w:val="0"/>
            <w:vAlign w:val="center"/>
          </w:tcPr>
          <w:p w14:paraId="6DB6E87B">
            <w:pPr>
              <w:jc w:val="center"/>
              <w:outlineLvl w:val="0"/>
              <w:rPr>
                <w:rFonts w:hint="default" w:ascii="Times New Roman" w:hAnsi="Times New Roman" w:cs="Times New Roman"/>
                <w:snapToGrid w:val="0"/>
                <w:color w:val="auto"/>
                <w:sz w:val="18"/>
                <w:szCs w:val="18"/>
              </w:rPr>
            </w:pPr>
          </w:p>
        </w:tc>
        <w:tc>
          <w:tcPr>
            <w:tcW w:w="795" w:type="dxa"/>
            <w:noWrap w:val="0"/>
            <w:vAlign w:val="center"/>
          </w:tcPr>
          <w:p w14:paraId="17C7AEB5">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0.042</w:t>
            </w:r>
          </w:p>
        </w:tc>
        <w:tc>
          <w:tcPr>
            <w:tcW w:w="360" w:type="pct"/>
            <w:vMerge w:val="continue"/>
            <w:noWrap w:val="0"/>
            <w:vAlign w:val="center"/>
          </w:tcPr>
          <w:p w14:paraId="23715C03">
            <w:pPr>
              <w:pStyle w:val="26"/>
              <w:jc w:val="center"/>
              <w:outlineLvl w:val="0"/>
              <w:rPr>
                <w:rFonts w:hint="default" w:ascii="Times New Roman" w:hAnsi="Times New Roman" w:cs="Times New Roman"/>
                <w:snapToGrid w:val="0"/>
                <w:color w:val="auto"/>
                <w:sz w:val="18"/>
                <w:szCs w:val="18"/>
              </w:rPr>
            </w:pPr>
          </w:p>
        </w:tc>
        <w:tc>
          <w:tcPr>
            <w:tcW w:w="841" w:type="dxa"/>
            <w:noWrap w:val="0"/>
            <w:vAlign w:val="center"/>
          </w:tcPr>
          <w:p w14:paraId="305077D4">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0.042</w:t>
            </w:r>
          </w:p>
        </w:tc>
        <w:tc>
          <w:tcPr>
            <w:tcW w:w="981" w:type="pct"/>
            <w:vMerge w:val="continue"/>
            <w:noWrap w:val="0"/>
            <w:vAlign w:val="center"/>
          </w:tcPr>
          <w:p w14:paraId="2F5856B6">
            <w:pPr>
              <w:pStyle w:val="26"/>
              <w:jc w:val="center"/>
              <w:outlineLvl w:val="0"/>
              <w:rPr>
                <w:rFonts w:hint="default" w:ascii="Times New Roman" w:hAnsi="Times New Roman" w:cs="Times New Roman"/>
                <w:snapToGrid w:val="0"/>
                <w:color w:val="auto"/>
                <w:sz w:val="18"/>
                <w:szCs w:val="18"/>
              </w:rPr>
            </w:pPr>
          </w:p>
        </w:tc>
      </w:tr>
      <w:tr w14:paraId="008E2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865" w:type="pct"/>
            <w:vMerge w:val="continue"/>
            <w:noWrap w:val="0"/>
            <w:vAlign w:val="center"/>
          </w:tcPr>
          <w:p w14:paraId="00DD8E8B">
            <w:pPr>
              <w:pStyle w:val="26"/>
              <w:jc w:val="center"/>
              <w:outlineLvl w:val="0"/>
              <w:rPr>
                <w:rFonts w:hint="default" w:ascii="Times New Roman" w:hAnsi="Times New Roman" w:cs="Times New Roman"/>
                <w:snapToGrid w:val="0"/>
                <w:color w:val="auto"/>
                <w:sz w:val="18"/>
                <w:szCs w:val="18"/>
              </w:rPr>
            </w:pPr>
          </w:p>
        </w:tc>
        <w:tc>
          <w:tcPr>
            <w:tcW w:w="644" w:type="pct"/>
            <w:vMerge w:val="continue"/>
            <w:noWrap w:val="0"/>
            <w:vAlign w:val="center"/>
          </w:tcPr>
          <w:p w14:paraId="14407658">
            <w:pPr>
              <w:jc w:val="center"/>
              <w:rPr>
                <w:rFonts w:hint="default" w:ascii="Times New Roman" w:hAnsi="Times New Roman" w:cs="Times New Roman"/>
                <w:color w:val="auto"/>
                <w:sz w:val="18"/>
                <w:szCs w:val="18"/>
              </w:rPr>
            </w:pPr>
          </w:p>
        </w:tc>
        <w:tc>
          <w:tcPr>
            <w:tcW w:w="754" w:type="pct"/>
            <w:noWrap w:val="0"/>
            <w:vAlign w:val="center"/>
          </w:tcPr>
          <w:p w14:paraId="0B5486F2">
            <w:pPr>
              <w:pStyle w:val="7"/>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snapToGrid w:val="0"/>
                <w:color w:val="auto"/>
                <w:kern w:val="0"/>
                <w:sz w:val="18"/>
                <w:szCs w:val="18"/>
              </w:rPr>
              <w:t>废含油棉纱、手套</w:t>
            </w:r>
          </w:p>
        </w:tc>
        <w:tc>
          <w:tcPr>
            <w:tcW w:w="382" w:type="pct"/>
            <w:vMerge w:val="continue"/>
            <w:noWrap w:val="0"/>
            <w:vAlign w:val="center"/>
          </w:tcPr>
          <w:p w14:paraId="53B4F970">
            <w:pPr>
              <w:pStyle w:val="26"/>
              <w:jc w:val="center"/>
              <w:outlineLvl w:val="0"/>
              <w:rPr>
                <w:rFonts w:hint="default" w:ascii="Times New Roman" w:hAnsi="Times New Roman" w:cs="Times New Roman"/>
                <w:snapToGrid w:val="0"/>
                <w:color w:val="auto"/>
                <w:sz w:val="18"/>
                <w:szCs w:val="18"/>
              </w:rPr>
            </w:pPr>
          </w:p>
        </w:tc>
        <w:tc>
          <w:tcPr>
            <w:tcW w:w="413" w:type="pct"/>
            <w:noWrap w:val="0"/>
            <w:vAlign w:val="center"/>
          </w:tcPr>
          <w:p w14:paraId="170EF265">
            <w:pPr>
              <w:pStyle w:val="26"/>
              <w:jc w:val="center"/>
              <w:outlineLvl w:val="0"/>
              <w:rPr>
                <w:rFonts w:hint="default" w:ascii="Times New Roman" w:hAnsi="Times New Roman" w:eastAsia="宋体"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经验系数法</w:t>
            </w:r>
          </w:p>
        </w:tc>
        <w:tc>
          <w:tcPr>
            <w:tcW w:w="795" w:type="dxa"/>
            <w:noWrap w:val="0"/>
            <w:vAlign w:val="center"/>
          </w:tcPr>
          <w:p w14:paraId="4079486E">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0.01</w:t>
            </w:r>
          </w:p>
        </w:tc>
        <w:tc>
          <w:tcPr>
            <w:tcW w:w="360" w:type="pct"/>
            <w:vMerge w:val="continue"/>
            <w:noWrap w:val="0"/>
            <w:vAlign w:val="center"/>
          </w:tcPr>
          <w:p w14:paraId="25DF91AD">
            <w:pPr>
              <w:pStyle w:val="26"/>
              <w:jc w:val="center"/>
              <w:outlineLvl w:val="0"/>
              <w:rPr>
                <w:rFonts w:hint="default" w:ascii="Times New Roman" w:hAnsi="Times New Roman" w:cs="Times New Roman"/>
                <w:snapToGrid w:val="0"/>
                <w:color w:val="auto"/>
                <w:sz w:val="18"/>
                <w:szCs w:val="18"/>
              </w:rPr>
            </w:pPr>
          </w:p>
        </w:tc>
        <w:tc>
          <w:tcPr>
            <w:tcW w:w="841" w:type="dxa"/>
            <w:noWrap w:val="0"/>
            <w:vAlign w:val="center"/>
          </w:tcPr>
          <w:p w14:paraId="6372AD8F">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default" w:ascii="Times New Roman" w:hAnsi="Times New Roman" w:eastAsia="宋体" w:cs="Times New Roman"/>
                <w:i w:val="0"/>
                <w:iCs w:val="0"/>
                <w:color w:val="auto"/>
                <w:kern w:val="0"/>
                <w:sz w:val="18"/>
                <w:szCs w:val="18"/>
                <w:u w:val="none"/>
                <w:lang w:val="en-US" w:eastAsia="zh-CN" w:bidi="ar"/>
              </w:rPr>
              <w:t>0.01</w:t>
            </w:r>
          </w:p>
        </w:tc>
        <w:tc>
          <w:tcPr>
            <w:tcW w:w="981" w:type="pct"/>
            <w:vMerge w:val="continue"/>
            <w:noWrap w:val="0"/>
            <w:vAlign w:val="center"/>
          </w:tcPr>
          <w:p w14:paraId="0F52CE83">
            <w:pPr>
              <w:pStyle w:val="26"/>
              <w:jc w:val="center"/>
              <w:outlineLvl w:val="0"/>
              <w:rPr>
                <w:rFonts w:hint="default" w:ascii="Times New Roman" w:hAnsi="Times New Roman" w:cs="Times New Roman"/>
                <w:snapToGrid w:val="0"/>
                <w:color w:val="auto"/>
                <w:sz w:val="18"/>
                <w:szCs w:val="18"/>
              </w:rPr>
            </w:pPr>
          </w:p>
        </w:tc>
      </w:tr>
      <w:tr w14:paraId="05D95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865" w:type="pct"/>
            <w:noWrap w:val="0"/>
            <w:vAlign w:val="center"/>
          </w:tcPr>
          <w:p w14:paraId="638D3965">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废气处理</w:t>
            </w:r>
          </w:p>
        </w:tc>
        <w:tc>
          <w:tcPr>
            <w:tcW w:w="644" w:type="pct"/>
            <w:noWrap w:val="0"/>
            <w:vAlign w:val="center"/>
          </w:tcPr>
          <w:p w14:paraId="59D8EB39">
            <w:pPr>
              <w:pStyle w:val="7"/>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废气处理设施</w:t>
            </w:r>
          </w:p>
        </w:tc>
        <w:tc>
          <w:tcPr>
            <w:tcW w:w="754" w:type="pct"/>
            <w:noWrap w:val="0"/>
            <w:vAlign w:val="center"/>
          </w:tcPr>
          <w:p w14:paraId="0F08AA58">
            <w:pPr>
              <w:pStyle w:val="7"/>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废活性炭</w:t>
            </w:r>
          </w:p>
        </w:tc>
        <w:tc>
          <w:tcPr>
            <w:tcW w:w="382" w:type="pct"/>
            <w:vMerge w:val="continue"/>
            <w:noWrap w:val="0"/>
            <w:vAlign w:val="center"/>
          </w:tcPr>
          <w:p w14:paraId="17DDAF77">
            <w:pPr>
              <w:pStyle w:val="26"/>
              <w:jc w:val="center"/>
              <w:outlineLvl w:val="0"/>
              <w:rPr>
                <w:rFonts w:hint="default" w:ascii="Times New Roman" w:hAnsi="Times New Roman" w:cs="Times New Roman"/>
                <w:snapToGrid w:val="0"/>
                <w:color w:val="auto"/>
                <w:sz w:val="18"/>
                <w:szCs w:val="18"/>
              </w:rPr>
            </w:pPr>
          </w:p>
        </w:tc>
        <w:tc>
          <w:tcPr>
            <w:tcW w:w="413" w:type="pct"/>
            <w:noWrap w:val="0"/>
            <w:vAlign w:val="center"/>
          </w:tcPr>
          <w:p w14:paraId="42C69772">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lang w:val="en-US" w:eastAsia="zh-CN"/>
              </w:rPr>
              <w:t>物料衡算法</w:t>
            </w:r>
          </w:p>
        </w:tc>
        <w:tc>
          <w:tcPr>
            <w:tcW w:w="795" w:type="dxa"/>
            <w:noWrap w:val="0"/>
            <w:vAlign w:val="center"/>
          </w:tcPr>
          <w:p w14:paraId="3C7AA300">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i w:val="0"/>
                <w:iCs w:val="0"/>
                <w:color w:val="auto"/>
                <w:kern w:val="0"/>
                <w:sz w:val="18"/>
                <w:szCs w:val="18"/>
                <w:u w:val="none"/>
                <w:lang w:val="en-US" w:eastAsia="zh-CN" w:bidi="ar"/>
              </w:rPr>
              <w:t>4.334</w:t>
            </w:r>
          </w:p>
        </w:tc>
        <w:tc>
          <w:tcPr>
            <w:tcW w:w="360" w:type="pct"/>
            <w:vMerge w:val="continue"/>
            <w:noWrap w:val="0"/>
            <w:vAlign w:val="center"/>
          </w:tcPr>
          <w:p w14:paraId="69C6C5D6">
            <w:pPr>
              <w:pStyle w:val="26"/>
              <w:jc w:val="center"/>
              <w:outlineLvl w:val="0"/>
              <w:rPr>
                <w:rFonts w:hint="default" w:ascii="Times New Roman" w:hAnsi="Times New Roman" w:cs="Times New Roman"/>
                <w:snapToGrid w:val="0"/>
                <w:color w:val="auto"/>
                <w:sz w:val="18"/>
                <w:szCs w:val="18"/>
              </w:rPr>
            </w:pPr>
          </w:p>
        </w:tc>
        <w:tc>
          <w:tcPr>
            <w:tcW w:w="841" w:type="dxa"/>
            <w:noWrap w:val="0"/>
            <w:vAlign w:val="center"/>
          </w:tcPr>
          <w:p w14:paraId="7DCB7201">
            <w:pPr>
              <w:keepNext w:val="0"/>
              <w:keepLines w:val="0"/>
              <w:widowControl/>
              <w:suppressLineNumbers w:val="0"/>
              <w:jc w:val="center"/>
              <w:textAlignment w:val="center"/>
              <w:rPr>
                <w:rFonts w:hint="default" w:ascii="Times New Roman" w:hAnsi="Times New Roman" w:cs="Times New Roman"/>
                <w:color w:val="auto"/>
                <w:sz w:val="18"/>
                <w:szCs w:val="18"/>
              </w:rPr>
            </w:pPr>
            <w:r>
              <w:rPr>
                <w:rFonts w:hint="eastAsia" w:ascii="Times New Roman" w:hAnsi="Times New Roman" w:eastAsia="宋体" w:cs="Times New Roman"/>
                <w:i w:val="0"/>
                <w:iCs w:val="0"/>
                <w:color w:val="auto"/>
                <w:kern w:val="0"/>
                <w:sz w:val="18"/>
                <w:szCs w:val="18"/>
                <w:u w:val="none"/>
                <w:lang w:val="en-US" w:eastAsia="zh-CN" w:bidi="ar"/>
              </w:rPr>
              <w:t>4.334</w:t>
            </w:r>
          </w:p>
        </w:tc>
        <w:tc>
          <w:tcPr>
            <w:tcW w:w="981" w:type="pct"/>
            <w:vMerge w:val="continue"/>
            <w:noWrap w:val="0"/>
            <w:vAlign w:val="center"/>
          </w:tcPr>
          <w:p w14:paraId="2132E79E">
            <w:pPr>
              <w:pStyle w:val="26"/>
              <w:jc w:val="center"/>
              <w:outlineLvl w:val="0"/>
              <w:rPr>
                <w:rFonts w:hint="default" w:ascii="Times New Roman" w:hAnsi="Times New Roman" w:cs="Times New Roman"/>
                <w:snapToGrid w:val="0"/>
                <w:color w:val="auto"/>
                <w:sz w:val="18"/>
                <w:szCs w:val="18"/>
              </w:rPr>
            </w:pPr>
          </w:p>
        </w:tc>
      </w:tr>
      <w:tr w14:paraId="027CD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865" w:type="pct"/>
            <w:noWrap w:val="0"/>
            <w:vAlign w:val="center"/>
          </w:tcPr>
          <w:p w14:paraId="1AF514B8">
            <w:pPr>
              <w:pStyle w:val="26"/>
              <w:jc w:val="center"/>
              <w:outlineLvl w:val="0"/>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cs="Times New Roman"/>
                <w:snapToGrid w:val="0"/>
                <w:color w:val="auto"/>
                <w:sz w:val="18"/>
                <w:szCs w:val="18"/>
              </w:rPr>
              <w:t>废气处理</w:t>
            </w:r>
          </w:p>
        </w:tc>
        <w:tc>
          <w:tcPr>
            <w:tcW w:w="644" w:type="pct"/>
            <w:noWrap w:val="0"/>
            <w:vAlign w:val="center"/>
          </w:tcPr>
          <w:p w14:paraId="311C816C">
            <w:pPr>
              <w:pStyle w:val="7"/>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废气处理设施</w:t>
            </w:r>
          </w:p>
        </w:tc>
        <w:tc>
          <w:tcPr>
            <w:tcW w:w="754" w:type="pct"/>
            <w:noWrap w:val="0"/>
            <w:vAlign w:val="center"/>
          </w:tcPr>
          <w:p w14:paraId="1B8444A5">
            <w:pPr>
              <w:pStyle w:val="7"/>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废过滤棉</w:t>
            </w:r>
          </w:p>
        </w:tc>
        <w:tc>
          <w:tcPr>
            <w:tcW w:w="382" w:type="pct"/>
            <w:vMerge w:val="continue"/>
            <w:noWrap w:val="0"/>
            <w:vAlign w:val="center"/>
          </w:tcPr>
          <w:p w14:paraId="4188E431">
            <w:pPr>
              <w:pStyle w:val="26"/>
              <w:jc w:val="center"/>
              <w:outlineLvl w:val="0"/>
              <w:rPr>
                <w:rFonts w:hint="default" w:ascii="Times New Roman" w:hAnsi="Times New Roman" w:cs="Times New Roman"/>
                <w:snapToGrid w:val="0"/>
                <w:color w:val="auto"/>
                <w:sz w:val="18"/>
                <w:szCs w:val="18"/>
              </w:rPr>
            </w:pPr>
          </w:p>
        </w:tc>
        <w:tc>
          <w:tcPr>
            <w:tcW w:w="413" w:type="pct"/>
            <w:vMerge w:val="restart"/>
            <w:noWrap w:val="0"/>
            <w:vAlign w:val="center"/>
          </w:tcPr>
          <w:p w14:paraId="6C131E6E">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lang w:val="en-US" w:eastAsia="zh-CN"/>
              </w:rPr>
              <w:t>经验系数法</w:t>
            </w:r>
          </w:p>
        </w:tc>
        <w:tc>
          <w:tcPr>
            <w:tcW w:w="795" w:type="dxa"/>
            <w:noWrap w:val="0"/>
            <w:vAlign w:val="center"/>
          </w:tcPr>
          <w:p w14:paraId="0302D1A8">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0.01</w:t>
            </w:r>
          </w:p>
        </w:tc>
        <w:tc>
          <w:tcPr>
            <w:tcW w:w="360" w:type="pct"/>
            <w:vMerge w:val="continue"/>
            <w:noWrap w:val="0"/>
            <w:vAlign w:val="center"/>
          </w:tcPr>
          <w:p w14:paraId="2DF13DEB">
            <w:pPr>
              <w:pStyle w:val="26"/>
              <w:jc w:val="center"/>
              <w:outlineLvl w:val="0"/>
              <w:rPr>
                <w:rFonts w:hint="default" w:ascii="Times New Roman" w:hAnsi="Times New Roman" w:cs="Times New Roman"/>
                <w:snapToGrid w:val="0"/>
                <w:color w:val="auto"/>
                <w:sz w:val="18"/>
                <w:szCs w:val="18"/>
              </w:rPr>
            </w:pPr>
          </w:p>
        </w:tc>
        <w:tc>
          <w:tcPr>
            <w:tcW w:w="841" w:type="dxa"/>
            <w:noWrap w:val="0"/>
            <w:vAlign w:val="center"/>
          </w:tcPr>
          <w:p w14:paraId="5881CBBD">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default" w:ascii="Times New Roman" w:hAnsi="Times New Roman" w:eastAsia="宋体" w:cs="Times New Roman"/>
                <w:i w:val="0"/>
                <w:iCs w:val="0"/>
                <w:color w:val="auto"/>
                <w:kern w:val="0"/>
                <w:sz w:val="18"/>
                <w:szCs w:val="18"/>
                <w:u w:val="none"/>
                <w:lang w:val="en-US" w:eastAsia="zh-CN" w:bidi="ar"/>
              </w:rPr>
              <w:t>0.01</w:t>
            </w:r>
          </w:p>
        </w:tc>
        <w:tc>
          <w:tcPr>
            <w:tcW w:w="981" w:type="pct"/>
            <w:vMerge w:val="continue"/>
            <w:noWrap w:val="0"/>
            <w:vAlign w:val="center"/>
          </w:tcPr>
          <w:p w14:paraId="5C55732A">
            <w:pPr>
              <w:pStyle w:val="26"/>
              <w:jc w:val="center"/>
              <w:outlineLvl w:val="0"/>
              <w:rPr>
                <w:rFonts w:hint="default" w:ascii="Times New Roman" w:hAnsi="Times New Roman" w:cs="Times New Roman"/>
                <w:snapToGrid w:val="0"/>
                <w:color w:val="auto"/>
                <w:sz w:val="18"/>
                <w:szCs w:val="18"/>
              </w:rPr>
            </w:pPr>
          </w:p>
        </w:tc>
      </w:tr>
      <w:tr w14:paraId="2F873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865" w:type="pct"/>
            <w:noWrap w:val="0"/>
            <w:vAlign w:val="center"/>
          </w:tcPr>
          <w:p w14:paraId="360067C0">
            <w:pPr>
              <w:pStyle w:val="26"/>
              <w:jc w:val="center"/>
              <w:outlineLvl w:val="0"/>
              <w:rPr>
                <w:rFonts w:hint="default" w:ascii="Times New Roman" w:hAnsi="Times New Roman" w:eastAsia="宋体" w:cs="Times New Roman"/>
                <w:snapToGrid w:val="0"/>
                <w:color w:val="auto"/>
                <w:sz w:val="18"/>
                <w:szCs w:val="18"/>
                <w:lang w:val="en-US" w:eastAsia="zh-CN"/>
              </w:rPr>
            </w:pPr>
            <w:r>
              <w:rPr>
                <w:rFonts w:hint="default" w:ascii="Times New Roman" w:hAnsi="Times New Roman" w:cs="Times New Roman"/>
                <w:snapToGrid w:val="0"/>
                <w:color w:val="auto"/>
                <w:sz w:val="18"/>
                <w:szCs w:val="18"/>
                <w:lang w:val="en-US" w:eastAsia="zh-CN"/>
              </w:rPr>
              <w:t>空压机</w:t>
            </w:r>
          </w:p>
        </w:tc>
        <w:tc>
          <w:tcPr>
            <w:tcW w:w="644" w:type="pct"/>
            <w:noWrap w:val="0"/>
            <w:vAlign w:val="center"/>
          </w:tcPr>
          <w:p w14:paraId="35B45C17">
            <w:pPr>
              <w:pStyle w:val="7"/>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snapToGrid w:val="0"/>
                <w:color w:val="auto"/>
                <w:sz w:val="18"/>
                <w:szCs w:val="18"/>
                <w:lang w:val="en-US" w:eastAsia="zh-CN"/>
              </w:rPr>
              <w:t>空压机</w:t>
            </w:r>
          </w:p>
        </w:tc>
        <w:tc>
          <w:tcPr>
            <w:tcW w:w="754" w:type="pct"/>
            <w:noWrap w:val="0"/>
            <w:vAlign w:val="center"/>
          </w:tcPr>
          <w:p w14:paraId="28A7EBEF">
            <w:pPr>
              <w:pStyle w:val="7"/>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空压机含油冷凝液</w:t>
            </w:r>
          </w:p>
        </w:tc>
        <w:tc>
          <w:tcPr>
            <w:tcW w:w="382" w:type="pct"/>
            <w:vMerge w:val="continue"/>
            <w:noWrap w:val="0"/>
            <w:vAlign w:val="center"/>
          </w:tcPr>
          <w:p w14:paraId="06D3B767">
            <w:pPr>
              <w:pStyle w:val="26"/>
              <w:jc w:val="center"/>
              <w:outlineLvl w:val="0"/>
              <w:rPr>
                <w:rFonts w:hint="default" w:ascii="Times New Roman" w:hAnsi="Times New Roman" w:cs="Times New Roman"/>
                <w:snapToGrid w:val="0"/>
                <w:color w:val="auto"/>
                <w:sz w:val="18"/>
                <w:szCs w:val="18"/>
              </w:rPr>
            </w:pPr>
          </w:p>
        </w:tc>
        <w:tc>
          <w:tcPr>
            <w:tcW w:w="413" w:type="pct"/>
            <w:vMerge w:val="continue"/>
            <w:noWrap w:val="0"/>
            <w:vAlign w:val="center"/>
          </w:tcPr>
          <w:p w14:paraId="2439EDE4">
            <w:pPr>
              <w:pStyle w:val="26"/>
              <w:jc w:val="center"/>
              <w:outlineLvl w:val="0"/>
              <w:rPr>
                <w:rFonts w:hint="default" w:ascii="Times New Roman" w:hAnsi="Times New Roman" w:cs="Times New Roman"/>
                <w:snapToGrid w:val="0"/>
                <w:color w:val="auto"/>
                <w:sz w:val="18"/>
                <w:szCs w:val="18"/>
              </w:rPr>
            </w:pPr>
          </w:p>
        </w:tc>
        <w:tc>
          <w:tcPr>
            <w:tcW w:w="795" w:type="dxa"/>
            <w:noWrap w:val="0"/>
            <w:vAlign w:val="center"/>
          </w:tcPr>
          <w:p w14:paraId="015F9592">
            <w:pPr>
              <w:keepNext w:val="0"/>
              <w:keepLines w:val="0"/>
              <w:widowControl/>
              <w:suppressLineNumbers w:val="0"/>
              <w:jc w:val="center"/>
              <w:textAlignment w:val="center"/>
              <w:rPr>
                <w:rFonts w:hint="default" w:ascii="Times New Roman" w:hAnsi="Times New Roman" w:cs="Times New Roman"/>
                <w:color w:val="auto"/>
                <w:sz w:val="18"/>
                <w:szCs w:val="18"/>
                <w:lang w:val="en-US" w:eastAsia="zh-CN"/>
              </w:rPr>
            </w:pPr>
            <w:r>
              <w:rPr>
                <w:rFonts w:hint="default" w:ascii="Times New Roman" w:hAnsi="Times New Roman" w:eastAsia="宋体" w:cs="Times New Roman"/>
                <w:i w:val="0"/>
                <w:iCs w:val="0"/>
                <w:color w:val="auto"/>
                <w:kern w:val="0"/>
                <w:sz w:val="18"/>
                <w:szCs w:val="18"/>
                <w:u w:val="none"/>
                <w:lang w:val="en-US" w:eastAsia="zh-CN" w:bidi="ar"/>
              </w:rPr>
              <w:t>0.05</w:t>
            </w:r>
          </w:p>
        </w:tc>
        <w:tc>
          <w:tcPr>
            <w:tcW w:w="360" w:type="pct"/>
            <w:vMerge w:val="continue"/>
            <w:noWrap w:val="0"/>
            <w:vAlign w:val="center"/>
          </w:tcPr>
          <w:p w14:paraId="2779D8C2">
            <w:pPr>
              <w:pStyle w:val="26"/>
              <w:jc w:val="center"/>
              <w:outlineLvl w:val="0"/>
              <w:rPr>
                <w:rFonts w:hint="default" w:ascii="Times New Roman" w:hAnsi="Times New Roman" w:cs="Times New Roman"/>
                <w:snapToGrid w:val="0"/>
                <w:color w:val="auto"/>
                <w:sz w:val="18"/>
                <w:szCs w:val="18"/>
              </w:rPr>
            </w:pPr>
          </w:p>
        </w:tc>
        <w:tc>
          <w:tcPr>
            <w:tcW w:w="841" w:type="dxa"/>
            <w:noWrap w:val="0"/>
            <w:vAlign w:val="center"/>
          </w:tcPr>
          <w:p w14:paraId="575DDE52">
            <w:pPr>
              <w:keepNext w:val="0"/>
              <w:keepLines w:val="0"/>
              <w:widowControl/>
              <w:suppressLineNumbers w:val="0"/>
              <w:jc w:val="center"/>
              <w:textAlignment w:val="center"/>
              <w:rPr>
                <w:rFonts w:hint="default" w:ascii="Times New Roman" w:hAnsi="Times New Roman" w:cs="Times New Roman"/>
                <w:color w:val="auto"/>
                <w:sz w:val="18"/>
                <w:szCs w:val="18"/>
                <w:lang w:eastAsia="zh-CN"/>
              </w:rPr>
            </w:pPr>
            <w:r>
              <w:rPr>
                <w:rFonts w:hint="default" w:ascii="Times New Roman" w:hAnsi="Times New Roman" w:eastAsia="宋体" w:cs="Times New Roman"/>
                <w:i w:val="0"/>
                <w:iCs w:val="0"/>
                <w:color w:val="auto"/>
                <w:kern w:val="0"/>
                <w:sz w:val="18"/>
                <w:szCs w:val="18"/>
                <w:u w:val="none"/>
                <w:lang w:val="en-US" w:eastAsia="zh-CN" w:bidi="ar"/>
              </w:rPr>
              <w:t>0.05</w:t>
            </w:r>
          </w:p>
        </w:tc>
        <w:tc>
          <w:tcPr>
            <w:tcW w:w="981" w:type="pct"/>
            <w:vMerge w:val="continue"/>
            <w:noWrap w:val="0"/>
            <w:vAlign w:val="center"/>
          </w:tcPr>
          <w:p w14:paraId="3013E93A">
            <w:pPr>
              <w:pStyle w:val="26"/>
              <w:jc w:val="center"/>
              <w:outlineLvl w:val="0"/>
              <w:rPr>
                <w:rFonts w:hint="default" w:ascii="Times New Roman" w:hAnsi="Times New Roman" w:cs="Times New Roman"/>
                <w:snapToGrid w:val="0"/>
                <w:color w:val="auto"/>
                <w:sz w:val="18"/>
                <w:szCs w:val="18"/>
              </w:rPr>
            </w:pPr>
          </w:p>
        </w:tc>
      </w:tr>
      <w:tr w14:paraId="2586A7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3058" w:type="pct"/>
            <w:gridSpan w:val="5"/>
            <w:noWrap w:val="0"/>
            <w:vAlign w:val="center"/>
          </w:tcPr>
          <w:p w14:paraId="69D7A7A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小计</w:t>
            </w:r>
          </w:p>
        </w:tc>
        <w:tc>
          <w:tcPr>
            <w:tcW w:w="795" w:type="dxa"/>
            <w:noWrap w:val="0"/>
            <w:vAlign w:val="center"/>
          </w:tcPr>
          <w:p w14:paraId="306C0B9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eastAsia" w:ascii="Times New Roman" w:hAnsi="Times New Roman" w:eastAsia="宋体" w:cs="Times New Roman"/>
                <w:b/>
                <w:bCs/>
                <w:i w:val="0"/>
                <w:iCs w:val="0"/>
                <w:color w:val="auto"/>
                <w:kern w:val="0"/>
                <w:sz w:val="18"/>
                <w:szCs w:val="18"/>
                <w:u w:val="none"/>
                <w:lang w:val="en-US" w:eastAsia="zh-CN" w:bidi="ar"/>
              </w:rPr>
              <w:t>5.186</w:t>
            </w:r>
          </w:p>
        </w:tc>
        <w:tc>
          <w:tcPr>
            <w:tcW w:w="360" w:type="pct"/>
            <w:noWrap w:val="0"/>
            <w:vAlign w:val="center"/>
          </w:tcPr>
          <w:p w14:paraId="1C20A0A2">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w:t>
            </w:r>
          </w:p>
        </w:tc>
        <w:tc>
          <w:tcPr>
            <w:tcW w:w="841" w:type="dxa"/>
            <w:noWrap w:val="0"/>
            <w:vAlign w:val="center"/>
          </w:tcPr>
          <w:p w14:paraId="3C9212FF">
            <w:pPr>
              <w:keepNext w:val="0"/>
              <w:keepLines w:val="0"/>
              <w:widowControl/>
              <w:suppressLineNumbers w:val="0"/>
              <w:jc w:val="center"/>
              <w:textAlignment w:val="center"/>
              <w:rPr>
                <w:rFonts w:hint="default" w:ascii="Times New Roman" w:hAnsi="Times New Roman" w:eastAsia="宋体" w:cs="Times New Roman"/>
                <w:snapToGrid w:val="0"/>
                <w:color w:val="auto"/>
                <w:sz w:val="18"/>
                <w:szCs w:val="18"/>
                <w:lang w:eastAsia="zh-CN"/>
              </w:rPr>
            </w:pPr>
            <w:r>
              <w:rPr>
                <w:rFonts w:hint="eastAsia" w:ascii="Times New Roman" w:hAnsi="Times New Roman" w:eastAsia="宋体" w:cs="Times New Roman"/>
                <w:b/>
                <w:bCs/>
                <w:i w:val="0"/>
                <w:iCs w:val="0"/>
                <w:color w:val="auto"/>
                <w:kern w:val="0"/>
                <w:sz w:val="18"/>
                <w:szCs w:val="18"/>
                <w:u w:val="none"/>
                <w:lang w:val="en-US" w:eastAsia="zh-CN" w:bidi="ar"/>
              </w:rPr>
              <w:t>5.186</w:t>
            </w:r>
          </w:p>
        </w:tc>
        <w:tc>
          <w:tcPr>
            <w:tcW w:w="981" w:type="pct"/>
            <w:noWrap w:val="0"/>
            <w:vAlign w:val="center"/>
          </w:tcPr>
          <w:p w14:paraId="474C898B">
            <w:pPr>
              <w:pStyle w:val="26"/>
              <w:jc w:val="center"/>
              <w:outlineLvl w:val="0"/>
              <w:rPr>
                <w:rFonts w:hint="default" w:ascii="Times New Roman" w:hAnsi="Times New Roman" w:cs="Times New Roman"/>
                <w:snapToGrid w:val="0"/>
                <w:color w:val="auto"/>
                <w:sz w:val="18"/>
                <w:szCs w:val="18"/>
              </w:rPr>
            </w:pPr>
            <w:r>
              <w:rPr>
                <w:rFonts w:hint="default" w:ascii="Times New Roman" w:hAnsi="Times New Roman" w:cs="Times New Roman"/>
                <w:snapToGrid w:val="0"/>
                <w:color w:val="auto"/>
                <w:sz w:val="18"/>
                <w:szCs w:val="18"/>
              </w:rPr>
              <w:t>/</w:t>
            </w:r>
          </w:p>
        </w:tc>
      </w:tr>
    </w:tbl>
    <w:p w14:paraId="0DE68BDD">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b/>
          <w:color w:val="auto"/>
          <w:szCs w:val="21"/>
        </w:rPr>
        <w:t>表4-1</w:t>
      </w:r>
      <w:r>
        <w:rPr>
          <w:rFonts w:hint="eastAsia" w:ascii="Times New Roman" w:hAnsi="Times New Roman" w:cs="Times New Roman"/>
          <w:b/>
          <w:color w:val="auto"/>
          <w:szCs w:val="21"/>
          <w:lang w:val="en-US" w:eastAsia="zh-CN"/>
        </w:rPr>
        <w:t>5</w:t>
      </w:r>
      <w:r>
        <w:rPr>
          <w:rFonts w:hint="default" w:ascii="Times New Roman" w:hAnsi="Times New Roman" w:cs="Times New Roman"/>
          <w:b/>
          <w:color w:val="auto"/>
          <w:szCs w:val="21"/>
        </w:rPr>
        <w:t xml:space="preserve">  危险废物汇总表</w:t>
      </w:r>
    </w:p>
    <w:tbl>
      <w:tblPr>
        <w:tblStyle w:val="30"/>
        <w:tblW w:w="501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41"/>
        <w:gridCol w:w="1529"/>
        <w:gridCol w:w="1091"/>
        <w:gridCol w:w="1364"/>
        <w:gridCol w:w="1091"/>
        <w:gridCol w:w="1532"/>
        <w:gridCol w:w="698"/>
        <w:gridCol w:w="1232"/>
        <w:gridCol w:w="1020"/>
        <w:gridCol w:w="977"/>
        <w:gridCol w:w="980"/>
        <w:gridCol w:w="1462"/>
      </w:tblGrid>
      <w:tr w14:paraId="5B1A9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4" w:hRule="exact"/>
        </w:trPr>
        <w:tc>
          <w:tcPr>
            <w:tcW w:w="200" w:type="pct"/>
            <w:noWrap w:val="0"/>
            <w:vAlign w:val="center"/>
          </w:tcPr>
          <w:p w14:paraId="7AE4C14B">
            <w:pPr>
              <w:pStyle w:val="95"/>
              <w:adjustRightInd w:val="0"/>
              <w:snapToGrid w:val="0"/>
              <w:spacing w:line="240" w:lineRule="auto"/>
              <w:jc w:val="center"/>
              <w:rPr>
                <w:rFonts w:hint="default" w:ascii="Times New Roman" w:hAnsi="Times New Roman" w:eastAsia="宋体" w:cs="Times New Roman"/>
                <w:b/>
                <w:color w:val="auto"/>
                <w:sz w:val="18"/>
                <w:szCs w:val="18"/>
                <w:lang w:eastAsia="zh-CN"/>
              </w:rPr>
            </w:pPr>
            <w:r>
              <w:rPr>
                <w:rFonts w:hint="default" w:ascii="Times New Roman" w:hAnsi="Times New Roman" w:eastAsia="宋体" w:cs="Times New Roman"/>
                <w:b/>
                <w:color w:val="auto"/>
                <w:sz w:val="18"/>
                <w:szCs w:val="18"/>
                <w:lang w:eastAsia="zh-CN"/>
              </w:rPr>
              <w:t>序号</w:t>
            </w:r>
          </w:p>
        </w:tc>
        <w:tc>
          <w:tcPr>
            <w:tcW w:w="565" w:type="pct"/>
            <w:noWrap w:val="0"/>
            <w:vAlign w:val="center"/>
          </w:tcPr>
          <w:p w14:paraId="2EB3D0CF">
            <w:pPr>
              <w:pStyle w:val="95"/>
              <w:adjustRightInd w:val="0"/>
              <w:snapToGrid w:val="0"/>
              <w:spacing w:line="240" w:lineRule="auto"/>
              <w:jc w:val="center"/>
              <w:rPr>
                <w:rFonts w:hint="default" w:ascii="Times New Roman" w:hAnsi="Times New Roman" w:eastAsia="宋体" w:cs="Times New Roman"/>
                <w:b/>
                <w:color w:val="auto"/>
                <w:sz w:val="18"/>
                <w:szCs w:val="18"/>
                <w:lang w:eastAsia="zh-CN"/>
              </w:rPr>
            </w:pPr>
            <w:r>
              <w:rPr>
                <w:rFonts w:hint="default" w:ascii="Times New Roman" w:hAnsi="Times New Roman" w:eastAsia="宋体" w:cs="Times New Roman"/>
                <w:b/>
                <w:color w:val="auto"/>
                <w:sz w:val="18"/>
                <w:szCs w:val="18"/>
              </w:rPr>
              <w:t>危险废物</w:t>
            </w:r>
            <w:r>
              <w:rPr>
                <w:rFonts w:hint="default" w:ascii="Times New Roman" w:hAnsi="Times New Roman" w:eastAsia="宋体" w:cs="Times New Roman"/>
                <w:b/>
                <w:color w:val="auto"/>
                <w:sz w:val="18"/>
                <w:szCs w:val="18"/>
                <w:lang w:eastAsia="zh-CN"/>
              </w:rPr>
              <w:t>名称</w:t>
            </w:r>
          </w:p>
        </w:tc>
        <w:tc>
          <w:tcPr>
            <w:tcW w:w="403" w:type="pct"/>
            <w:noWrap w:val="0"/>
            <w:vAlign w:val="center"/>
          </w:tcPr>
          <w:p w14:paraId="1909D51C">
            <w:pPr>
              <w:pStyle w:val="95"/>
              <w:adjustRightInd w:val="0"/>
              <w:snapToGrid w:val="0"/>
              <w:spacing w:line="240" w:lineRule="auto"/>
              <w:jc w:val="center"/>
              <w:rPr>
                <w:rFonts w:hint="default" w:ascii="Times New Roman" w:hAnsi="Times New Roman" w:eastAsia="宋体" w:cs="Times New Roman"/>
                <w:b/>
                <w:color w:val="auto"/>
                <w:sz w:val="18"/>
                <w:szCs w:val="18"/>
                <w:lang w:eastAsia="zh-CN"/>
              </w:rPr>
            </w:pPr>
            <w:r>
              <w:rPr>
                <w:rFonts w:hint="default" w:ascii="Times New Roman" w:hAnsi="Times New Roman" w:eastAsia="宋体" w:cs="Times New Roman"/>
                <w:b/>
                <w:color w:val="auto"/>
                <w:sz w:val="18"/>
                <w:szCs w:val="18"/>
              </w:rPr>
              <w:t>危险废物</w:t>
            </w:r>
            <w:r>
              <w:rPr>
                <w:rFonts w:hint="default" w:ascii="Times New Roman" w:hAnsi="Times New Roman" w:eastAsia="宋体" w:cs="Times New Roman"/>
                <w:b/>
                <w:color w:val="auto"/>
                <w:sz w:val="18"/>
                <w:szCs w:val="18"/>
                <w:lang w:eastAsia="zh-CN"/>
              </w:rPr>
              <w:t>类别</w:t>
            </w:r>
          </w:p>
        </w:tc>
        <w:tc>
          <w:tcPr>
            <w:tcW w:w="504" w:type="pct"/>
            <w:noWrap w:val="0"/>
            <w:vAlign w:val="center"/>
          </w:tcPr>
          <w:p w14:paraId="080DFEE0">
            <w:pPr>
              <w:pStyle w:val="95"/>
              <w:adjustRightInd w:val="0"/>
              <w:snapToGrid w:val="0"/>
              <w:spacing w:line="240" w:lineRule="auto"/>
              <w:jc w:val="center"/>
              <w:rPr>
                <w:rFonts w:hint="default" w:ascii="Times New Roman" w:hAnsi="Times New Roman" w:eastAsia="宋体" w:cs="Times New Roman"/>
                <w:b/>
                <w:color w:val="auto"/>
                <w:sz w:val="18"/>
                <w:szCs w:val="18"/>
                <w:lang w:eastAsia="zh-CN"/>
              </w:rPr>
            </w:pPr>
            <w:r>
              <w:rPr>
                <w:rFonts w:hint="default" w:ascii="Times New Roman" w:hAnsi="Times New Roman" w:eastAsia="宋体" w:cs="Times New Roman"/>
                <w:b/>
                <w:color w:val="auto"/>
                <w:sz w:val="18"/>
                <w:szCs w:val="18"/>
              </w:rPr>
              <w:t>危险废物</w:t>
            </w:r>
            <w:r>
              <w:rPr>
                <w:rFonts w:hint="default" w:ascii="Times New Roman" w:hAnsi="Times New Roman" w:eastAsia="宋体" w:cs="Times New Roman"/>
                <w:b/>
                <w:color w:val="auto"/>
                <w:sz w:val="18"/>
                <w:szCs w:val="18"/>
                <w:lang w:eastAsia="zh-CN"/>
              </w:rPr>
              <w:t>代码</w:t>
            </w:r>
          </w:p>
        </w:tc>
        <w:tc>
          <w:tcPr>
            <w:tcW w:w="403" w:type="pct"/>
            <w:noWrap w:val="0"/>
            <w:vAlign w:val="center"/>
          </w:tcPr>
          <w:p w14:paraId="42A3CD36">
            <w:pPr>
              <w:pStyle w:val="95"/>
              <w:adjustRightInd w:val="0"/>
              <w:snapToGrid w:val="0"/>
              <w:spacing w:line="240" w:lineRule="auto"/>
              <w:jc w:val="center"/>
              <w:rPr>
                <w:rFonts w:hint="default" w:ascii="Times New Roman" w:hAnsi="Times New Roman" w:eastAsia="宋体" w:cs="Times New Roman"/>
                <w:b/>
                <w:color w:val="auto"/>
                <w:sz w:val="18"/>
                <w:szCs w:val="18"/>
                <w:lang w:eastAsia="zh-CN"/>
              </w:rPr>
            </w:pPr>
            <w:r>
              <w:rPr>
                <w:rFonts w:hint="default" w:ascii="Times New Roman" w:hAnsi="Times New Roman" w:eastAsia="宋体" w:cs="Times New Roman"/>
                <w:b/>
                <w:color w:val="auto"/>
                <w:sz w:val="18"/>
                <w:szCs w:val="18"/>
                <w:lang w:eastAsia="zh-CN"/>
              </w:rPr>
              <w:t>产生量</w:t>
            </w:r>
          </w:p>
          <w:p w14:paraId="7837F14C">
            <w:pPr>
              <w:pStyle w:val="95"/>
              <w:adjustRightInd w:val="0"/>
              <w:snapToGrid w:val="0"/>
              <w:spacing w:line="240" w:lineRule="auto"/>
              <w:jc w:val="center"/>
              <w:rPr>
                <w:rFonts w:hint="default" w:ascii="Times New Roman" w:hAnsi="Times New Roman" w:eastAsia="宋体" w:cs="Times New Roman"/>
                <w:b/>
                <w:color w:val="auto"/>
                <w:sz w:val="18"/>
                <w:szCs w:val="18"/>
                <w:lang w:eastAsia="zh-CN"/>
              </w:rPr>
            </w:pPr>
            <w:r>
              <w:rPr>
                <w:rFonts w:hint="eastAsia" w:ascii="Times New Roman" w:hAnsi="Times New Roman" w:cs="Times New Roman"/>
                <w:b/>
                <w:color w:val="auto"/>
                <w:sz w:val="18"/>
                <w:szCs w:val="18"/>
                <w:lang w:eastAsia="zh-CN"/>
              </w:rPr>
              <w:t>(</w:t>
            </w:r>
            <w:r>
              <w:rPr>
                <w:rFonts w:hint="default" w:ascii="Times New Roman" w:hAnsi="Times New Roman" w:eastAsia="宋体" w:cs="Times New Roman"/>
                <w:b/>
                <w:color w:val="auto"/>
                <w:sz w:val="18"/>
                <w:szCs w:val="18"/>
                <w:lang w:eastAsia="zh-CN"/>
              </w:rPr>
              <w:t>t/a</w:t>
            </w:r>
            <w:r>
              <w:rPr>
                <w:rFonts w:hint="eastAsia" w:ascii="Times New Roman" w:hAnsi="Times New Roman" w:cs="Times New Roman"/>
                <w:b/>
                <w:color w:val="auto"/>
                <w:sz w:val="18"/>
                <w:szCs w:val="18"/>
                <w:lang w:eastAsia="zh-CN"/>
              </w:rPr>
              <w:t>)</w:t>
            </w:r>
          </w:p>
        </w:tc>
        <w:tc>
          <w:tcPr>
            <w:tcW w:w="566" w:type="pct"/>
            <w:noWrap w:val="0"/>
            <w:vAlign w:val="center"/>
          </w:tcPr>
          <w:p w14:paraId="14964093">
            <w:pPr>
              <w:pStyle w:val="95"/>
              <w:adjustRightInd w:val="0"/>
              <w:snapToGrid w:val="0"/>
              <w:spacing w:line="240" w:lineRule="auto"/>
              <w:jc w:val="center"/>
              <w:rPr>
                <w:rFonts w:hint="default" w:ascii="Times New Roman" w:hAnsi="Times New Roman" w:eastAsia="宋体" w:cs="Times New Roman"/>
                <w:b/>
                <w:color w:val="auto"/>
                <w:sz w:val="18"/>
                <w:szCs w:val="18"/>
                <w:lang w:eastAsia="zh-CN"/>
              </w:rPr>
            </w:pPr>
            <w:r>
              <w:rPr>
                <w:rFonts w:hint="default" w:ascii="Times New Roman" w:hAnsi="Times New Roman" w:eastAsia="宋体" w:cs="Times New Roman"/>
                <w:b/>
                <w:color w:val="auto"/>
                <w:sz w:val="18"/>
                <w:szCs w:val="18"/>
                <w:lang w:eastAsia="zh-CN"/>
              </w:rPr>
              <w:t>产生工序</w:t>
            </w:r>
          </w:p>
        </w:tc>
        <w:tc>
          <w:tcPr>
            <w:tcW w:w="258" w:type="pct"/>
            <w:noWrap w:val="0"/>
            <w:vAlign w:val="center"/>
          </w:tcPr>
          <w:p w14:paraId="031AFBF6">
            <w:pPr>
              <w:pStyle w:val="95"/>
              <w:adjustRightInd w:val="0"/>
              <w:snapToGrid w:val="0"/>
              <w:spacing w:line="240" w:lineRule="auto"/>
              <w:jc w:val="center"/>
              <w:rPr>
                <w:rFonts w:hint="default" w:ascii="Times New Roman" w:hAnsi="Times New Roman" w:eastAsia="宋体" w:cs="Times New Roman"/>
                <w:b/>
                <w:color w:val="auto"/>
                <w:sz w:val="18"/>
                <w:szCs w:val="18"/>
                <w:lang w:eastAsia="zh-CN"/>
              </w:rPr>
            </w:pPr>
            <w:r>
              <w:rPr>
                <w:rFonts w:hint="default" w:ascii="Times New Roman" w:hAnsi="Times New Roman" w:eastAsia="宋体" w:cs="Times New Roman"/>
                <w:b/>
                <w:color w:val="auto"/>
                <w:sz w:val="18"/>
                <w:szCs w:val="18"/>
                <w:lang w:eastAsia="zh-CN"/>
              </w:rPr>
              <w:t>形态</w:t>
            </w:r>
          </w:p>
        </w:tc>
        <w:tc>
          <w:tcPr>
            <w:tcW w:w="455" w:type="pct"/>
            <w:noWrap w:val="0"/>
            <w:vAlign w:val="center"/>
          </w:tcPr>
          <w:p w14:paraId="1E2DF465">
            <w:pPr>
              <w:pStyle w:val="95"/>
              <w:adjustRightInd w:val="0"/>
              <w:snapToGrid w:val="0"/>
              <w:spacing w:line="240" w:lineRule="auto"/>
              <w:jc w:val="center"/>
              <w:rPr>
                <w:rFonts w:hint="default" w:ascii="Times New Roman" w:hAnsi="Times New Roman" w:eastAsia="宋体" w:cs="Times New Roman"/>
                <w:b/>
                <w:color w:val="auto"/>
                <w:sz w:val="18"/>
                <w:szCs w:val="18"/>
                <w:lang w:eastAsia="zh-CN"/>
              </w:rPr>
            </w:pPr>
            <w:r>
              <w:rPr>
                <w:rFonts w:hint="default" w:ascii="Times New Roman" w:hAnsi="Times New Roman" w:eastAsia="宋体" w:cs="Times New Roman"/>
                <w:b/>
                <w:color w:val="auto"/>
                <w:sz w:val="18"/>
                <w:szCs w:val="18"/>
                <w:lang w:eastAsia="zh-CN"/>
              </w:rPr>
              <w:t>主要成分</w:t>
            </w:r>
          </w:p>
        </w:tc>
        <w:tc>
          <w:tcPr>
            <w:tcW w:w="377" w:type="pct"/>
            <w:noWrap w:val="0"/>
            <w:vAlign w:val="center"/>
          </w:tcPr>
          <w:p w14:paraId="4742FBA9">
            <w:pPr>
              <w:pStyle w:val="95"/>
              <w:adjustRightInd w:val="0"/>
              <w:snapToGrid w:val="0"/>
              <w:spacing w:line="240" w:lineRule="auto"/>
              <w:jc w:val="center"/>
              <w:rPr>
                <w:rFonts w:hint="default" w:ascii="Times New Roman" w:hAnsi="Times New Roman" w:eastAsia="宋体" w:cs="Times New Roman"/>
                <w:b/>
                <w:color w:val="auto"/>
                <w:sz w:val="18"/>
                <w:szCs w:val="18"/>
                <w:lang w:eastAsia="zh-CN"/>
              </w:rPr>
            </w:pPr>
            <w:r>
              <w:rPr>
                <w:rFonts w:hint="default" w:ascii="Times New Roman" w:hAnsi="Times New Roman" w:eastAsia="宋体" w:cs="Times New Roman"/>
                <w:b/>
                <w:color w:val="auto"/>
                <w:sz w:val="18"/>
                <w:szCs w:val="18"/>
                <w:lang w:eastAsia="zh-CN"/>
              </w:rPr>
              <w:t>有害成分</w:t>
            </w:r>
          </w:p>
        </w:tc>
        <w:tc>
          <w:tcPr>
            <w:tcW w:w="361" w:type="pct"/>
            <w:noWrap w:val="0"/>
            <w:vAlign w:val="center"/>
          </w:tcPr>
          <w:p w14:paraId="0ADAB144">
            <w:pPr>
              <w:pStyle w:val="95"/>
              <w:adjustRightInd w:val="0"/>
              <w:snapToGrid w:val="0"/>
              <w:spacing w:line="240" w:lineRule="auto"/>
              <w:jc w:val="center"/>
              <w:rPr>
                <w:rFonts w:hint="default" w:ascii="Times New Roman" w:hAnsi="Times New Roman" w:eastAsia="宋体" w:cs="Times New Roman"/>
                <w:b/>
                <w:color w:val="auto"/>
                <w:sz w:val="18"/>
                <w:szCs w:val="18"/>
                <w:lang w:eastAsia="zh-CN"/>
              </w:rPr>
            </w:pPr>
            <w:r>
              <w:rPr>
                <w:rFonts w:hint="default" w:ascii="Times New Roman" w:hAnsi="Times New Roman" w:eastAsia="宋体" w:cs="Times New Roman"/>
                <w:b/>
                <w:color w:val="auto"/>
                <w:sz w:val="18"/>
                <w:szCs w:val="18"/>
                <w:lang w:eastAsia="zh-CN"/>
              </w:rPr>
              <w:t>产废周期</w:t>
            </w:r>
          </w:p>
        </w:tc>
        <w:tc>
          <w:tcPr>
            <w:tcW w:w="362" w:type="pct"/>
            <w:noWrap w:val="0"/>
            <w:vAlign w:val="center"/>
          </w:tcPr>
          <w:p w14:paraId="65BC7422">
            <w:pPr>
              <w:pStyle w:val="95"/>
              <w:adjustRightInd w:val="0"/>
              <w:snapToGrid w:val="0"/>
              <w:spacing w:line="240" w:lineRule="auto"/>
              <w:jc w:val="center"/>
              <w:rPr>
                <w:rFonts w:hint="default" w:ascii="Times New Roman" w:hAnsi="Times New Roman" w:eastAsia="宋体" w:cs="Times New Roman"/>
                <w:b/>
                <w:color w:val="auto"/>
                <w:sz w:val="18"/>
                <w:szCs w:val="18"/>
                <w:lang w:eastAsia="zh-CN"/>
              </w:rPr>
            </w:pPr>
            <w:r>
              <w:rPr>
                <w:rFonts w:hint="default" w:ascii="Times New Roman" w:hAnsi="Times New Roman" w:eastAsia="宋体" w:cs="Times New Roman"/>
                <w:b/>
                <w:color w:val="auto"/>
                <w:sz w:val="18"/>
                <w:szCs w:val="18"/>
                <w:lang w:eastAsia="zh-CN"/>
              </w:rPr>
              <w:t>危险特性</w:t>
            </w:r>
          </w:p>
        </w:tc>
        <w:tc>
          <w:tcPr>
            <w:tcW w:w="540" w:type="pct"/>
            <w:noWrap w:val="0"/>
            <w:vAlign w:val="center"/>
          </w:tcPr>
          <w:p w14:paraId="601C281A">
            <w:pPr>
              <w:pStyle w:val="95"/>
              <w:adjustRightInd w:val="0"/>
              <w:snapToGrid w:val="0"/>
              <w:spacing w:line="240" w:lineRule="auto"/>
              <w:jc w:val="center"/>
              <w:rPr>
                <w:rFonts w:hint="default" w:ascii="Times New Roman" w:hAnsi="Times New Roman" w:eastAsia="宋体" w:cs="Times New Roman"/>
                <w:b/>
                <w:color w:val="auto"/>
                <w:sz w:val="18"/>
                <w:szCs w:val="18"/>
                <w:lang w:eastAsia="zh-CN"/>
              </w:rPr>
            </w:pPr>
            <w:r>
              <w:rPr>
                <w:rFonts w:hint="default" w:ascii="Times New Roman" w:hAnsi="Times New Roman" w:eastAsia="宋体" w:cs="Times New Roman"/>
                <w:b/>
                <w:color w:val="auto"/>
                <w:sz w:val="18"/>
                <w:szCs w:val="18"/>
                <w:lang w:eastAsia="zh-CN"/>
              </w:rPr>
              <w:t>污染防治措施</w:t>
            </w:r>
          </w:p>
        </w:tc>
      </w:tr>
      <w:tr w14:paraId="6AF77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4" w:hRule="exact"/>
        </w:trPr>
        <w:tc>
          <w:tcPr>
            <w:tcW w:w="200" w:type="pct"/>
            <w:noWrap w:val="0"/>
            <w:vAlign w:val="center"/>
          </w:tcPr>
          <w:p w14:paraId="31A50856">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1</w:t>
            </w:r>
          </w:p>
        </w:tc>
        <w:tc>
          <w:tcPr>
            <w:tcW w:w="565" w:type="pct"/>
            <w:noWrap w:val="0"/>
            <w:vAlign w:val="center"/>
          </w:tcPr>
          <w:p w14:paraId="2B72F768">
            <w:pPr>
              <w:spacing w:line="240" w:lineRule="auto"/>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废矿物油</w:t>
            </w:r>
          </w:p>
        </w:tc>
        <w:tc>
          <w:tcPr>
            <w:tcW w:w="403" w:type="pct"/>
            <w:noWrap w:val="0"/>
            <w:vAlign w:val="center"/>
          </w:tcPr>
          <w:p w14:paraId="6D1C8BD9">
            <w:pPr>
              <w:pStyle w:val="26"/>
              <w:spacing w:line="240" w:lineRule="auto"/>
              <w:jc w:val="center"/>
              <w:outlineLvl w:val="0"/>
              <w:rPr>
                <w:rFonts w:hint="default" w:ascii="Times New Roman" w:hAnsi="Times New Roman" w:eastAsia="宋体" w:cs="Times New Roman"/>
                <w:snapToGrid w:val="0"/>
                <w:color w:val="auto"/>
                <w:sz w:val="18"/>
                <w:szCs w:val="18"/>
              </w:rPr>
            </w:pPr>
            <w:r>
              <w:rPr>
                <w:rFonts w:hint="default" w:ascii="Times New Roman" w:hAnsi="Times New Roman" w:eastAsia="宋体" w:cs="Times New Roman"/>
                <w:color w:val="auto"/>
                <w:sz w:val="18"/>
                <w:szCs w:val="18"/>
              </w:rPr>
              <w:t>HW08</w:t>
            </w:r>
          </w:p>
        </w:tc>
        <w:tc>
          <w:tcPr>
            <w:tcW w:w="504" w:type="pct"/>
            <w:noWrap w:val="0"/>
            <w:vAlign w:val="center"/>
          </w:tcPr>
          <w:p w14:paraId="42913C0E">
            <w:pPr>
              <w:spacing w:line="240" w:lineRule="auto"/>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900-249-08</w:t>
            </w:r>
          </w:p>
        </w:tc>
        <w:tc>
          <w:tcPr>
            <w:tcW w:w="403" w:type="pct"/>
            <w:noWrap w:val="0"/>
            <w:vAlign w:val="center"/>
          </w:tcPr>
          <w:p w14:paraId="02D46EC6">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0.7</w:t>
            </w:r>
            <w:r>
              <w:rPr>
                <w:rFonts w:hint="eastAsia" w:ascii="Times New Roman" w:hAnsi="Times New Roman" w:cs="Times New Roman"/>
                <w:color w:val="auto"/>
                <w:sz w:val="18"/>
                <w:szCs w:val="18"/>
                <w:lang w:val="en-US" w:eastAsia="zh-CN"/>
              </w:rPr>
              <w:t>4</w:t>
            </w:r>
          </w:p>
        </w:tc>
        <w:tc>
          <w:tcPr>
            <w:tcW w:w="566" w:type="pct"/>
            <w:vMerge w:val="restart"/>
            <w:noWrap w:val="0"/>
            <w:vAlign w:val="center"/>
          </w:tcPr>
          <w:p w14:paraId="600CA63F">
            <w:pPr>
              <w:pStyle w:val="26"/>
              <w:spacing w:line="240" w:lineRule="auto"/>
              <w:jc w:val="center"/>
              <w:outlineLvl w:val="0"/>
              <w:rPr>
                <w:rFonts w:hint="default" w:ascii="Times New Roman" w:hAnsi="Times New Roman" w:eastAsia="宋体" w:cs="Times New Roman"/>
                <w:snapToGrid w:val="0"/>
                <w:color w:val="auto"/>
                <w:sz w:val="18"/>
                <w:szCs w:val="18"/>
              </w:rPr>
            </w:pPr>
            <w:r>
              <w:rPr>
                <w:rFonts w:hint="default" w:ascii="Times New Roman" w:hAnsi="Times New Roman" w:eastAsia="宋体" w:cs="Times New Roman"/>
                <w:snapToGrid w:val="0"/>
                <w:color w:val="auto"/>
                <w:sz w:val="18"/>
                <w:szCs w:val="18"/>
              </w:rPr>
              <w:t>设备维修保养</w:t>
            </w:r>
          </w:p>
        </w:tc>
        <w:tc>
          <w:tcPr>
            <w:tcW w:w="258" w:type="pct"/>
            <w:noWrap w:val="0"/>
            <w:vAlign w:val="center"/>
          </w:tcPr>
          <w:p w14:paraId="4885D18E">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液体</w:t>
            </w:r>
          </w:p>
        </w:tc>
        <w:tc>
          <w:tcPr>
            <w:tcW w:w="455" w:type="pct"/>
            <w:noWrap w:val="0"/>
            <w:vAlign w:val="center"/>
          </w:tcPr>
          <w:p w14:paraId="0AC80F64">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矿物油</w:t>
            </w:r>
          </w:p>
        </w:tc>
        <w:tc>
          <w:tcPr>
            <w:tcW w:w="377" w:type="pct"/>
            <w:noWrap w:val="0"/>
            <w:vAlign w:val="center"/>
          </w:tcPr>
          <w:p w14:paraId="0A43C3B6">
            <w:pPr>
              <w:spacing w:line="240" w:lineRule="auto"/>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矿物油</w:t>
            </w:r>
          </w:p>
        </w:tc>
        <w:tc>
          <w:tcPr>
            <w:tcW w:w="361" w:type="pct"/>
            <w:noWrap w:val="0"/>
            <w:vAlign w:val="center"/>
          </w:tcPr>
          <w:p w14:paraId="1DCB208A">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每年</w:t>
            </w:r>
          </w:p>
        </w:tc>
        <w:tc>
          <w:tcPr>
            <w:tcW w:w="362" w:type="pct"/>
            <w:noWrap w:val="0"/>
            <w:vAlign w:val="center"/>
          </w:tcPr>
          <w:p w14:paraId="1BD5F2E1">
            <w:pPr>
              <w:pStyle w:val="95"/>
              <w:adjustRightInd w:val="0"/>
              <w:snapToGrid w:val="0"/>
              <w:spacing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T、I</w:t>
            </w:r>
          </w:p>
        </w:tc>
        <w:tc>
          <w:tcPr>
            <w:tcW w:w="540" w:type="pct"/>
            <w:vMerge w:val="restart"/>
            <w:noWrap w:val="0"/>
            <w:vAlign w:val="center"/>
          </w:tcPr>
          <w:p w14:paraId="3E0BB182">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交由有危废资质单位处理</w:t>
            </w:r>
          </w:p>
        </w:tc>
      </w:tr>
      <w:tr w14:paraId="4D076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4" w:hRule="exact"/>
        </w:trPr>
        <w:tc>
          <w:tcPr>
            <w:tcW w:w="200" w:type="pct"/>
            <w:noWrap w:val="0"/>
            <w:vAlign w:val="center"/>
          </w:tcPr>
          <w:p w14:paraId="63A826CB">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2</w:t>
            </w:r>
          </w:p>
        </w:tc>
        <w:tc>
          <w:tcPr>
            <w:tcW w:w="565" w:type="pct"/>
            <w:noWrap w:val="0"/>
            <w:vAlign w:val="center"/>
          </w:tcPr>
          <w:p w14:paraId="57D6F294">
            <w:pPr>
              <w:spacing w:line="240" w:lineRule="auto"/>
              <w:jc w:val="center"/>
              <w:rPr>
                <w:rFonts w:hint="default" w:ascii="Times New Roman" w:hAnsi="Times New Roman" w:eastAsia="宋体" w:cs="Times New Roman"/>
                <w:color w:val="auto"/>
                <w:sz w:val="18"/>
                <w:szCs w:val="18"/>
                <w:lang w:eastAsia="zh-CN"/>
              </w:rPr>
            </w:pPr>
            <w:r>
              <w:rPr>
                <w:rFonts w:hint="eastAsia" w:cs="Times New Roman"/>
                <w:color w:val="auto"/>
                <w:sz w:val="18"/>
                <w:szCs w:val="18"/>
                <w:lang w:eastAsia="zh-CN"/>
              </w:rPr>
              <w:t>废油桶</w:t>
            </w:r>
          </w:p>
        </w:tc>
        <w:tc>
          <w:tcPr>
            <w:tcW w:w="403" w:type="pct"/>
            <w:noWrap w:val="0"/>
            <w:vAlign w:val="center"/>
          </w:tcPr>
          <w:p w14:paraId="79267EA0">
            <w:pPr>
              <w:pStyle w:val="26"/>
              <w:spacing w:line="240" w:lineRule="auto"/>
              <w:jc w:val="center"/>
              <w:outlineLvl w:val="0"/>
              <w:rPr>
                <w:rFonts w:hint="default" w:ascii="Times New Roman" w:hAnsi="Times New Roman" w:eastAsia="宋体" w:cs="Times New Roman"/>
                <w:snapToGrid w:val="0"/>
                <w:color w:val="auto"/>
                <w:sz w:val="18"/>
                <w:szCs w:val="18"/>
              </w:rPr>
            </w:pPr>
            <w:r>
              <w:rPr>
                <w:rFonts w:hint="default" w:ascii="Times New Roman" w:hAnsi="Times New Roman" w:eastAsia="宋体" w:cs="Times New Roman"/>
                <w:color w:val="auto"/>
                <w:sz w:val="18"/>
                <w:szCs w:val="18"/>
              </w:rPr>
              <w:t>HW49</w:t>
            </w:r>
          </w:p>
        </w:tc>
        <w:tc>
          <w:tcPr>
            <w:tcW w:w="504" w:type="pct"/>
            <w:noWrap w:val="0"/>
            <w:vAlign w:val="center"/>
          </w:tcPr>
          <w:p w14:paraId="3AB99B57">
            <w:pPr>
              <w:spacing w:line="240" w:lineRule="auto"/>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900-041-49</w:t>
            </w:r>
          </w:p>
        </w:tc>
        <w:tc>
          <w:tcPr>
            <w:tcW w:w="403" w:type="pct"/>
            <w:noWrap w:val="0"/>
            <w:vAlign w:val="center"/>
          </w:tcPr>
          <w:p w14:paraId="4B7D214F">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0.042</w:t>
            </w:r>
          </w:p>
        </w:tc>
        <w:tc>
          <w:tcPr>
            <w:tcW w:w="566" w:type="pct"/>
            <w:vMerge w:val="continue"/>
            <w:noWrap w:val="0"/>
            <w:vAlign w:val="center"/>
          </w:tcPr>
          <w:p w14:paraId="4F4F03CA">
            <w:pPr>
              <w:pStyle w:val="26"/>
              <w:spacing w:line="240" w:lineRule="auto"/>
              <w:jc w:val="center"/>
              <w:outlineLvl w:val="0"/>
              <w:rPr>
                <w:rFonts w:hint="default" w:ascii="Times New Roman" w:hAnsi="Times New Roman" w:eastAsia="宋体" w:cs="Times New Roman"/>
                <w:snapToGrid w:val="0"/>
                <w:color w:val="auto"/>
                <w:sz w:val="18"/>
                <w:szCs w:val="18"/>
              </w:rPr>
            </w:pPr>
          </w:p>
        </w:tc>
        <w:tc>
          <w:tcPr>
            <w:tcW w:w="258" w:type="pct"/>
            <w:noWrap w:val="0"/>
            <w:vAlign w:val="center"/>
          </w:tcPr>
          <w:p w14:paraId="09472992">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固态</w:t>
            </w:r>
          </w:p>
        </w:tc>
        <w:tc>
          <w:tcPr>
            <w:tcW w:w="455" w:type="pct"/>
            <w:noWrap w:val="0"/>
            <w:vAlign w:val="center"/>
          </w:tcPr>
          <w:p w14:paraId="1AD9A968">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矿物油</w:t>
            </w:r>
          </w:p>
        </w:tc>
        <w:tc>
          <w:tcPr>
            <w:tcW w:w="377" w:type="pct"/>
            <w:noWrap w:val="0"/>
            <w:vAlign w:val="center"/>
          </w:tcPr>
          <w:p w14:paraId="47233B38">
            <w:pPr>
              <w:adjustRightInd w:val="0"/>
              <w:snapToGrid w:val="0"/>
              <w:spacing w:line="240" w:lineRule="auto"/>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矿物油</w:t>
            </w:r>
          </w:p>
        </w:tc>
        <w:tc>
          <w:tcPr>
            <w:tcW w:w="361" w:type="pct"/>
            <w:noWrap w:val="0"/>
            <w:vAlign w:val="center"/>
          </w:tcPr>
          <w:p w14:paraId="5F112AEF">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每月</w:t>
            </w:r>
          </w:p>
        </w:tc>
        <w:tc>
          <w:tcPr>
            <w:tcW w:w="362" w:type="pct"/>
            <w:noWrap w:val="0"/>
            <w:vAlign w:val="center"/>
          </w:tcPr>
          <w:p w14:paraId="06E4B021">
            <w:pPr>
              <w:adjustRightInd w:val="0"/>
              <w:snapToGrid w:val="0"/>
              <w:spacing w:line="240" w:lineRule="auto"/>
              <w:jc w:val="center"/>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sz w:val="18"/>
                <w:szCs w:val="18"/>
                <w:lang w:val="en-US" w:eastAsia="zh-CN"/>
              </w:rPr>
              <w:t>T</w:t>
            </w:r>
          </w:p>
        </w:tc>
        <w:tc>
          <w:tcPr>
            <w:tcW w:w="540" w:type="pct"/>
            <w:vMerge w:val="continue"/>
            <w:noWrap w:val="0"/>
            <w:vAlign w:val="center"/>
          </w:tcPr>
          <w:p w14:paraId="56E0B127">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p>
        </w:tc>
      </w:tr>
      <w:tr w14:paraId="35564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4" w:hRule="exact"/>
        </w:trPr>
        <w:tc>
          <w:tcPr>
            <w:tcW w:w="200" w:type="pct"/>
            <w:noWrap w:val="0"/>
            <w:vAlign w:val="center"/>
          </w:tcPr>
          <w:p w14:paraId="26DB18D1">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3</w:t>
            </w:r>
          </w:p>
        </w:tc>
        <w:tc>
          <w:tcPr>
            <w:tcW w:w="565" w:type="pct"/>
            <w:noWrap w:val="0"/>
            <w:vAlign w:val="center"/>
          </w:tcPr>
          <w:p w14:paraId="67A797D5">
            <w:pPr>
              <w:pStyle w:val="7"/>
              <w:spacing w:line="240" w:lineRule="auto"/>
              <w:ind w:firstLine="0" w:firstLineChars="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snapToGrid w:val="0"/>
                <w:color w:val="auto"/>
                <w:kern w:val="0"/>
                <w:sz w:val="18"/>
                <w:szCs w:val="18"/>
              </w:rPr>
              <w:t>废含油棉纱、手套</w:t>
            </w:r>
          </w:p>
        </w:tc>
        <w:tc>
          <w:tcPr>
            <w:tcW w:w="403" w:type="pct"/>
            <w:noWrap w:val="0"/>
            <w:vAlign w:val="center"/>
          </w:tcPr>
          <w:p w14:paraId="49CC99D9">
            <w:pPr>
              <w:pStyle w:val="26"/>
              <w:spacing w:line="240" w:lineRule="auto"/>
              <w:jc w:val="center"/>
              <w:outlineLvl w:val="0"/>
              <w:rPr>
                <w:rFonts w:hint="default" w:ascii="Times New Roman" w:hAnsi="Times New Roman" w:eastAsia="宋体" w:cs="Times New Roman"/>
                <w:snapToGrid w:val="0"/>
                <w:color w:val="auto"/>
                <w:sz w:val="18"/>
                <w:szCs w:val="18"/>
              </w:rPr>
            </w:pPr>
            <w:r>
              <w:rPr>
                <w:rFonts w:hint="default" w:ascii="Times New Roman" w:hAnsi="Times New Roman" w:eastAsia="宋体" w:cs="Times New Roman"/>
                <w:color w:val="auto"/>
                <w:sz w:val="18"/>
                <w:szCs w:val="18"/>
              </w:rPr>
              <w:t>HW49</w:t>
            </w:r>
          </w:p>
        </w:tc>
        <w:tc>
          <w:tcPr>
            <w:tcW w:w="504" w:type="pct"/>
            <w:noWrap w:val="0"/>
            <w:vAlign w:val="center"/>
          </w:tcPr>
          <w:p w14:paraId="608F5F1E">
            <w:pPr>
              <w:spacing w:line="240" w:lineRule="auto"/>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900-041-49</w:t>
            </w:r>
          </w:p>
        </w:tc>
        <w:tc>
          <w:tcPr>
            <w:tcW w:w="403" w:type="pct"/>
            <w:noWrap w:val="0"/>
            <w:vAlign w:val="center"/>
          </w:tcPr>
          <w:p w14:paraId="58A9684B">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0.01</w:t>
            </w:r>
          </w:p>
        </w:tc>
        <w:tc>
          <w:tcPr>
            <w:tcW w:w="566" w:type="pct"/>
            <w:vMerge w:val="continue"/>
            <w:noWrap w:val="0"/>
            <w:vAlign w:val="center"/>
          </w:tcPr>
          <w:p w14:paraId="0DB703F8">
            <w:pPr>
              <w:pStyle w:val="26"/>
              <w:spacing w:line="240" w:lineRule="auto"/>
              <w:jc w:val="center"/>
              <w:outlineLvl w:val="0"/>
              <w:rPr>
                <w:rFonts w:hint="default" w:ascii="Times New Roman" w:hAnsi="Times New Roman" w:eastAsia="宋体" w:cs="Times New Roman"/>
                <w:snapToGrid w:val="0"/>
                <w:color w:val="auto"/>
                <w:sz w:val="18"/>
                <w:szCs w:val="18"/>
              </w:rPr>
            </w:pPr>
          </w:p>
        </w:tc>
        <w:tc>
          <w:tcPr>
            <w:tcW w:w="258" w:type="pct"/>
            <w:noWrap w:val="0"/>
            <w:vAlign w:val="center"/>
          </w:tcPr>
          <w:p w14:paraId="366583DC">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固体</w:t>
            </w:r>
          </w:p>
        </w:tc>
        <w:tc>
          <w:tcPr>
            <w:tcW w:w="455" w:type="pct"/>
            <w:noWrap w:val="0"/>
            <w:vAlign w:val="center"/>
          </w:tcPr>
          <w:p w14:paraId="6B1AA720">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纤维、矿物油</w:t>
            </w:r>
          </w:p>
        </w:tc>
        <w:tc>
          <w:tcPr>
            <w:tcW w:w="377" w:type="pct"/>
            <w:noWrap w:val="0"/>
            <w:vAlign w:val="center"/>
          </w:tcPr>
          <w:p w14:paraId="06D7616A">
            <w:pPr>
              <w:spacing w:line="240" w:lineRule="auto"/>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矿物油</w:t>
            </w:r>
          </w:p>
        </w:tc>
        <w:tc>
          <w:tcPr>
            <w:tcW w:w="361" w:type="pct"/>
            <w:noWrap w:val="0"/>
            <w:vAlign w:val="center"/>
          </w:tcPr>
          <w:p w14:paraId="5B38CDDC">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每个月</w:t>
            </w:r>
          </w:p>
        </w:tc>
        <w:tc>
          <w:tcPr>
            <w:tcW w:w="362" w:type="pct"/>
            <w:noWrap w:val="0"/>
            <w:vAlign w:val="center"/>
          </w:tcPr>
          <w:p w14:paraId="6026718D">
            <w:pPr>
              <w:adjustRightInd w:val="0"/>
              <w:snapToGrid w:val="0"/>
              <w:spacing w:line="240" w:lineRule="auto"/>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val="en-US" w:eastAsia="zh-CN"/>
              </w:rPr>
              <w:t>T</w:t>
            </w:r>
          </w:p>
        </w:tc>
        <w:tc>
          <w:tcPr>
            <w:tcW w:w="540" w:type="pct"/>
            <w:vMerge w:val="continue"/>
            <w:noWrap w:val="0"/>
            <w:vAlign w:val="center"/>
          </w:tcPr>
          <w:p w14:paraId="345A7321">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p>
        </w:tc>
      </w:tr>
      <w:tr w14:paraId="6D840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4" w:hRule="exact"/>
        </w:trPr>
        <w:tc>
          <w:tcPr>
            <w:tcW w:w="200" w:type="pct"/>
            <w:noWrap w:val="0"/>
            <w:vAlign w:val="center"/>
          </w:tcPr>
          <w:p w14:paraId="6810BAD2">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4</w:t>
            </w:r>
          </w:p>
        </w:tc>
        <w:tc>
          <w:tcPr>
            <w:tcW w:w="565" w:type="pct"/>
            <w:noWrap w:val="0"/>
            <w:vAlign w:val="center"/>
          </w:tcPr>
          <w:p w14:paraId="575D5F12">
            <w:pPr>
              <w:pStyle w:val="7"/>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废活性炭</w:t>
            </w:r>
          </w:p>
        </w:tc>
        <w:tc>
          <w:tcPr>
            <w:tcW w:w="403" w:type="pct"/>
            <w:noWrap w:val="0"/>
            <w:vAlign w:val="center"/>
          </w:tcPr>
          <w:p w14:paraId="68DD2C55">
            <w:pPr>
              <w:pStyle w:val="26"/>
              <w:spacing w:line="240" w:lineRule="auto"/>
              <w:jc w:val="center"/>
              <w:outlineLvl w:val="0"/>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color w:val="auto"/>
                <w:sz w:val="18"/>
                <w:szCs w:val="18"/>
              </w:rPr>
              <w:t>HW49</w:t>
            </w:r>
          </w:p>
        </w:tc>
        <w:tc>
          <w:tcPr>
            <w:tcW w:w="504" w:type="pct"/>
            <w:noWrap w:val="0"/>
            <w:vAlign w:val="center"/>
          </w:tcPr>
          <w:p w14:paraId="0B5D0EE9">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900-039-49</w:t>
            </w:r>
          </w:p>
        </w:tc>
        <w:tc>
          <w:tcPr>
            <w:tcW w:w="403" w:type="pct"/>
            <w:noWrap w:val="0"/>
            <w:vAlign w:val="center"/>
          </w:tcPr>
          <w:p w14:paraId="1A75C347">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4.334</w:t>
            </w:r>
          </w:p>
        </w:tc>
        <w:tc>
          <w:tcPr>
            <w:tcW w:w="566" w:type="pct"/>
            <w:noWrap w:val="0"/>
            <w:vAlign w:val="center"/>
          </w:tcPr>
          <w:p w14:paraId="02AAB26E">
            <w:pPr>
              <w:pStyle w:val="26"/>
              <w:spacing w:line="240" w:lineRule="auto"/>
              <w:jc w:val="center"/>
              <w:outlineLvl w:val="0"/>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snapToGrid w:val="0"/>
                <w:color w:val="auto"/>
                <w:sz w:val="18"/>
                <w:szCs w:val="18"/>
              </w:rPr>
              <w:t>废气处理</w:t>
            </w:r>
          </w:p>
        </w:tc>
        <w:tc>
          <w:tcPr>
            <w:tcW w:w="258" w:type="pct"/>
            <w:noWrap w:val="0"/>
            <w:vAlign w:val="center"/>
          </w:tcPr>
          <w:p w14:paraId="1BC11604">
            <w:pPr>
              <w:pStyle w:val="95"/>
              <w:adjustRightInd w:val="0"/>
              <w:snapToGrid w:val="0"/>
              <w:spacing w:line="240" w:lineRule="auto"/>
              <w:jc w:val="center"/>
              <w:rPr>
                <w:rFonts w:hint="default" w:ascii="Times New Roman" w:hAnsi="Times New Roman" w:eastAsia="宋体" w:cs="Times New Roman"/>
                <w:color w:val="auto"/>
                <w:kern w:val="0"/>
                <w:sz w:val="18"/>
                <w:szCs w:val="18"/>
                <w:lang w:val="en-US" w:eastAsia="en-US" w:bidi="ar-SA"/>
              </w:rPr>
            </w:pPr>
            <w:r>
              <w:rPr>
                <w:rFonts w:hint="default" w:ascii="Times New Roman" w:hAnsi="Times New Roman" w:eastAsia="宋体" w:cs="Times New Roman"/>
                <w:color w:val="auto"/>
                <w:sz w:val="18"/>
                <w:szCs w:val="18"/>
                <w:lang w:eastAsia="zh-CN"/>
              </w:rPr>
              <w:t>固体</w:t>
            </w:r>
          </w:p>
        </w:tc>
        <w:tc>
          <w:tcPr>
            <w:tcW w:w="455" w:type="pct"/>
            <w:noWrap w:val="0"/>
            <w:vAlign w:val="center"/>
          </w:tcPr>
          <w:p w14:paraId="1C0AE1C8">
            <w:pPr>
              <w:pStyle w:val="95"/>
              <w:adjustRightInd w:val="0"/>
              <w:snapToGrid w:val="0"/>
              <w:spacing w:line="240" w:lineRule="auto"/>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lang w:eastAsia="zh-CN"/>
              </w:rPr>
              <w:t>带有机废气的活性炭</w:t>
            </w:r>
          </w:p>
        </w:tc>
        <w:tc>
          <w:tcPr>
            <w:tcW w:w="377" w:type="pct"/>
            <w:noWrap w:val="0"/>
            <w:vAlign w:val="center"/>
          </w:tcPr>
          <w:p w14:paraId="44C14C52">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有机物</w:t>
            </w:r>
          </w:p>
        </w:tc>
        <w:tc>
          <w:tcPr>
            <w:tcW w:w="361" w:type="pct"/>
            <w:noWrap w:val="0"/>
            <w:vAlign w:val="center"/>
          </w:tcPr>
          <w:p w14:paraId="0AE4F6D9">
            <w:pPr>
              <w:pStyle w:val="95"/>
              <w:adjustRightInd w:val="0"/>
              <w:snapToGrid w:val="0"/>
              <w:spacing w:line="240" w:lineRule="auto"/>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lang w:eastAsia="zh-CN"/>
              </w:rPr>
              <w:t>每</w:t>
            </w:r>
            <w:r>
              <w:rPr>
                <w:rFonts w:hint="default" w:ascii="Times New Roman" w:hAnsi="Times New Roman" w:eastAsia="宋体" w:cs="Times New Roman"/>
                <w:color w:val="auto"/>
                <w:sz w:val="18"/>
                <w:szCs w:val="18"/>
                <w:lang w:val="en-US" w:eastAsia="zh-CN"/>
              </w:rPr>
              <w:t>季度</w:t>
            </w:r>
          </w:p>
        </w:tc>
        <w:tc>
          <w:tcPr>
            <w:tcW w:w="362" w:type="pct"/>
            <w:noWrap w:val="0"/>
            <w:vAlign w:val="center"/>
          </w:tcPr>
          <w:p w14:paraId="770902EB">
            <w:pPr>
              <w:adjustRightInd w:val="0"/>
              <w:snapToGrid w:val="0"/>
              <w:spacing w:line="240" w:lineRule="auto"/>
              <w:jc w:val="center"/>
              <w:rPr>
                <w:rFonts w:hint="default" w:ascii="Times New Roman" w:hAnsi="Times New Roman" w:eastAsia="宋体" w:cs="Times New Roman"/>
                <w:color w:val="auto"/>
                <w:kern w:val="0"/>
                <w:sz w:val="18"/>
                <w:szCs w:val="18"/>
                <w:lang w:val="en-US" w:eastAsia="en-US" w:bidi="ar-SA"/>
              </w:rPr>
            </w:pPr>
            <w:r>
              <w:rPr>
                <w:rFonts w:hint="default" w:ascii="Times New Roman" w:hAnsi="Times New Roman" w:eastAsia="宋体" w:cs="Times New Roman"/>
                <w:color w:val="auto"/>
                <w:sz w:val="18"/>
                <w:szCs w:val="18"/>
                <w:lang w:val="en-US" w:eastAsia="zh-CN"/>
              </w:rPr>
              <w:t>T</w:t>
            </w:r>
          </w:p>
        </w:tc>
        <w:tc>
          <w:tcPr>
            <w:tcW w:w="540" w:type="pct"/>
            <w:vMerge w:val="continue"/>
            <w:noWrap w:val="0"/>
            <w:vAlign w:val="center"/>
          </w:tcPr>
          <w:p w14:paraId="0D2CD2E5">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p>
        </w:tc>
      </w:tr>
      <w:tr w14:paraId="2D3E7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4" w:hRule="exact"/>
        </w:trPr>
        <w:tc>
          <w:tcPr>
            <w:tcW w:w="200" w:type="pct"/>
            <w:noWrap w:val="0"/>
            <w:vAlign w:val="center"/>
          </w:tcPr>
          <w:p w14:paraId="6AD2F3FE">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lang w:eastAsia="zh-CN"/>
              </w:rPr>
              <w:t>5</w:t>
            </w:r>
          </w:p>
        </w:tc>
        <w:tc>
          <w:tcPr>
            <w:tcW w:w="565" w:type="pct"/>
            <w:noWrap w:val="0"/>
            <w:vAlign w:val="center"/>
          </w:tcPr>
          <w:p w14:paraId="5603E418">
            <w:pPr>
              <w:pStyle w:val="7"/>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空压机含油冷凝液</w:t>
            </w:r>
          </w:p>
        </w:tc>
        <w:tc>
          <w:tcPr>
            <w:tcW w:w="403" w:type="pct"/>
            <w:noWrap w:val="0"/>
            <w:vAlign w:val="center"/>
          </w:tcPr>
          <w:p w14:paraId="2568458E">
            <w:pPr>
              <w:pStyle w:val="26"/>
              <w:spacing w:line="240" w:lineRule="auto"/>
              <w:jc w:val="center"/>
              <w:outlineLvl w:val="0"/>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color w:val="auto"/>
                <w:sz w:val="18"/>
                <w:szCs w:val="18"/>
              </w:rPr>
              <w:t>HW49</w:t>
            </w:r>
          </w:p>
        </w:tc>
        <w:tc>
          <w:tcPr>
            <w:tcW w:w="504" w:type="pct"/>
            <w:noWrap w:val="0"/>
            <w:vAlign w:val="center"/>
          </w:tcPr>
          <w:p w14:paraId="29890CD4">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900-0</w:t>
            </w:r>
            <w:r>
              <w:rPr>
                <w:rFonts w:hint="default" w:ascii="Times New Roman" w:hAnsi="Times New Roman" w:eastAsia="宋体" w:cs="Times New Roman"/>
                <w:color w:val="auto"/>
                <w:sz w:val="18"/>
                <w:szCs w:val="18"/>
                <w:lang w:val="en-US" w:eastAsia="zh-CN"/>
              </w:rPr>
              <w:t>07</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lang w:val="en-US" w:eastAsia="zh-CN"/>
              </w:rPr>
              <w:t>09</w:t>
            </w:r>
          </w:p>
        </w:tc>
        <w:tc>
          <w:tcPr>
            <w:tcW w:w="403" w:type="pct"/>
            <w:noWrap w:val="0"/>
            <w:vAlign w:val="center"/>
          </w:tcPr>
          <w:p w14:paraId="1195F195">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0.05</w:t>
            </w:r>
          </w:p>
        </w:tc>
        <w:tc>
          <w:tcPr>
            <w:tcW w:w="566" w:type="pct"/>
            <w:noWrap w:val="0"/>
            <w:vAlign w:val="center"/>
          </w:tcPr>
          <w:p w14:paraId="527F73E1">
            <w:pPr>
              <w:pStyle w:val="26"/>
              <w:spacing w:line="240" w:lineRule="auto"/>
              <w:jc w:val="center"/>
              <w:outlineLvl w:val="0"/>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snapToGrid w:val="0"/>
                <w:color w:val="auto"/>
                <w:sz w:val="18"/>
                <w:szCs w:val="18"/>
                <w:lang w:val="en-US" w:eastAsia="zh-CN"/>
              </w:rPr>
              <w:t>空压机</w:t>
            </w:r>
          </w:p>
        </w:tc>
        <w:tc>
          <w:tcPr>
            <w:tcW w:w="258" w:type="pct"/>
            <w:noWrap w:val="0"/>
            <w:vAlign w:val="center"/>
          </w:tcPr>
          <w:p w14:paraId="3B84CB39">
            <w:pPr>
              <w:pStyle w:val="95"/>
              <w:adjustRightInd w:val="0"/>
              <w:snapToGrid w:val="0"/>
              <w:spacing w:line="240" w:lineRule="auto"/>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lang w:eastAsia="zh-CN"/>
              </w:rPr>
              <w:t>液体</w:t>
            </w:r>
          </w:p>
        </w:tc>
        <w:tc>
          <w:tcPr>
            <w:tcW w:w="455" w:type="pct"/>
            <w:noWrap w:val="0"/>
            <w:vAlign w:val="center"/>
          </w:tcPr>
          <w:p w14:paraId="3C476480">
            <w:pPr>
              <w:adjustRightInd w:val="0"/>
              <w:snapToGrid w:val="0"/>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eastAsia="zh-CN"/>
              </w:rPr>
              <w:t>矿物油</w:t>
            </w:r>
          </w:p>
        </w:tc>
        <w:tc>
          <w:tcPr>
            <w:tcW w:w="377" w:type="pct"/>
            <w:noWrap w:val="0"/>
            <w:vAlign w:val="center"/>
          </w:tcPr>
          <w:p w14:paraId="0D848B17">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eastAsia="zh-CN"/>
              </w:rPr>
              <w:t>矿物油</w:t>
            </w:r>
          </w:p>
        </w:tc>
        <w:tc>
          <w:tcPr>
            <w:tcW w:w="361" w:type="pct"/>
            <w:noWrap w:val="0"/>
            <w:vAlign w:val="center"/>
          </w:tcPr>
          <w:p w14:paraId="43ECC924">
            <w:pPr>
              <w:pStyle w:val="95"/>
              <w:adjustRightInd w:val="0"/>
              <w:snapToGrid w:val="0"/>
              <w:spacing w:line="240" w:lineRule="auto"/>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lang w:val="en-US" w:eastAsia="zh-CN"/>
              </w:rPr>
              <w:t>每月</w:t>
            </w:r>
          </w:p>
        </w:tc>
        <w:tc>
          <w:tcPr>
            <w:tcW w:w="362" w:type="pct"/>
            <w:noWrap w:val="0"/>
            <w:vAlign w:val="center"/>
          </w:tcPr>
          <w:p w14:paraId="76BE3CE6">
            <w:pPr>
              <w:adjustRightInd w:val="0"/>
              <w:snapToGrid w:val="0"/>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T</w:t>
            </w:r>
          </w:p>
        </w:tc>
        <w:tc>
          <w:tcPr>
            <w:tcW w:w="540" w:type="pct"/>
            <w:vMerge w:val="continue"/>
            <w:noWrap w:val="0"/>
            <w:vAlign w:val="center"/>
          </w:tcPr>
          <w:p w14:paraId="44D14DDD">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p>
        </w:tc>
      </w:tr>
      <w:tr w14:paraId="2DE68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4" w:hRule="exact"/>
        </w:trPr>
        <w:tc>
          <w:tcPr>
            <w:tcW w:w="200" w:type="pct"/>
            <w:noWrap w:val="0"/>
            <w:vAlign w:val="center"/>
          </w:tcPr>
          <w:p w14:paraId="7CE717FB">
            <w:pPr>
              <w:pStyle w:val="95"/>
              <w:adjustRightInd w:val="0"/>
              <w:snapToGrid w:val="0"/>
              <w:spacing w:line="240" w:lineRule="auto"/>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6</w:t>
            </w:r>
          </w:p>
        </w:tc>
        <w:tc>
          <w:tcPr>
            <w:tcW w:w="565" w:type="pct"/>
            <w:noWrap w:val="0"/>
            <w:vAlign w:val="center"/>
          </w:tcPr>
          <w:p w14:paraId="71F4EC1F">
            <w:pPr>
              <w:pStyle w:val="7"/>
              <w:spacing w:line="240" w:lineRule="auto"/>
              <w:ind w:firstLine="0" w:firstLineChars="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废过滤棉</w:t>
            </w:r>
          </w:p>
        </w:tc>
        <w:tc>
          <w:tcPr>
            <w:tcW w:w="403" w:type="pct"/>
            <w:noWrap w:val="0"/>
            <w:vAlign w:val="center"/>
          </w:tcPr>
          <w:p w14:paraId="4A215435">
            <w:pPr>
              <w:pStyle w:val="26"/>
              <w:spacing w:line="240" w:lineRule="auto"/>
              <w:jc w:val="center"/>
              <w:outlineLvl w:val="0"/>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color w:val="auto"/>
                <w:sz w:val="18"/>
                <w:szCs w:val="18"/>
              </w:rPr>
              <w:t>HW49</w:t>
            </w:r>
          </w:p>
        </w:tc>
        <w:tc>
          <w:tcPr>
            <w:tcW w:w="504" w:type="pct"/>
            <w:noWrap w:val="0"/>
            <w:vAlign w:val="center"/>
          </w:tcPr>
          <w:p w14:paraId="7572CF2A">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900-041-49</w:t>
            </w:r>
          </w:p>
        </w:tc>
        <w:tc>
          <w:tcPr>
            <w:tcW w:w="403" w:type="pct"/>
            <w:noWrap w:val="0"/>
            <w:vAlign w:val="center"/>
          </w:tcPr>
          <w:p w14:paraId="358330BF">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lang w:val="en-US" w:eastAsia="zh-CN"/>
              </w:rPr>
              <w:t>0.05</w:t>
            </w:r>
          </w:p>
        </w:tc>
        <w:tc>
          <w:tcPr>
            <w:tcW w:w="566" w:type="pct"/>
            <w:noWrap w:val="0"/>
            <w:vAlign w:val="center"/>
          </w:tcPr>
          <w:p w14:paraId="178780A1">
            <w:pPr>
              <w:pStyle w:val="26"/>
              <w:spacing w:line="240" w:lineRule="auto"/>
              <w:jc w:val="center"/>
              <w:outlineLvl w:val="0"/>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snapToGrid w:val="0"/>
                <w:color w:val="auto"/>
                <w:sz w:val="18"/>
                <w:szCs w:val="18"/>
              </w:rPr>
              <w:t>废气处理</w:t>
            </w:r>
          </w:p>
        </w:tc>
        <w:tc>
          <w:tcPr>
            <w:tcW w:w="258" w:type="pct"/>
            <w:noWrap w:val="0"/>
            <w:vAlign w:val="center"/>
          </w:tcPr>
          <w:p w14:paraId="289D8FCC">
            <w:pPr>
              <w:pStyle w:val="95"/>
              <w:adjustRightInd w:val="0"/>
              <w:snapToGrid w:val="0"/>
              <w:spacing w:line="240" w:lineRule="auto"/>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lang w:eastAsia="zh-CN"/>
              </w:rPr>
              <w:t>固体</w:t>
            </w:r>
          </w:p>
        </w:tc>
        <w:tc>
          <w:tcPr>
            <w:tcW w:w="455" w:type="pct"/>
            <w:noWrap w:val="0"/>
            <w:vAlign w:val="center"/>
          </w:tcPr>
          <w:p w14:paraId="3D5ADA1B">
            <w:pPr>
              <w:pStyle w:val="95"/>
              <w:adjustRightInd w:val="0"/>
              <w:snapToGrid w:val="0"/>
              <w:spacing w:line="240" w:lineRule="auto"/>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lang w:val="en-US" w:eastAsia="zh-CN"/>
              </w:rPr>
              <w:t>纤维</w:t>
            </w:r>
            <w:r>
              <w:rPr>
                <w:rFonts w:hint="default" w:ascii="Times New Roman" w:hAnsi="Times New Roman" w:eastAsia="宋体" w:cs="Times New Roman"/>
                <w:color w:val="auto"/>
                <w:sz w:val="18"/>
                <w:szCs w:val="18"/>
                <w:lang w:eastAsia="zh-CN"/>
              </w:rPr>
              <w:t>、有机废气</w:t>
            </w:r>
          </w:p>
        </w:tc>
        <w:tc>
          <w:tcPr>
            <w:tcW w:w="377" w:type="pct"/>
            <w:noWrap w:val="0"/>
            <w:vAlign w:val="center"/>
          </w:tcPr>
          <w:p w14:paraId="145C04DF">
            <w:pPr>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eastAsia="zh-CN"/>
              </w:rPr>
              <w:t>有机</w:t>
            </w:r>
          </w:p>
        </w:tc>
        <w:tc>
          <w:tcPr>
            <w:tcW w:w="361" w:type="pct"/>
            <w:noWrap w:val="0"/>
            <w:vAlign w:val="center"/>
          </w:tcPr>
          <w:p w14:paraId="6A7B5892">
            <w:pPr>
              <w:pStyle w:val="95"/>
              <w:adjustRightInd w:val="0"/>
              <w:snapToGrid w:val="0"/>
              <w:spacing w:line="240" w:lineRule="auto"/>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sz w:val="18"/>
                <w:szCs w:val="18"/>
                <w:lang w:val="en-US" w:eastAsia="zh-CN"/>
              </w:rPr>
              <w:t>每年</w:t>
            </w:r>
          </w:p>
        </w:tc>
        <w:tc>
          <w:tcPr>
            <w:tcW w:w="362" w:type="pct"/>
            <w:noWrap w:val="0"/>
            <w:vAlign w:val="center"/>
          </w:tcPr>
          <w:p w14:paraId="55301F16">
            <w:pPr>
              <w:adjustRightInd w:val="0"/>
              <w:snapToGrid w:val="0"/>
              <w:spacing w:line="240"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T</w:t>
            </w:r>
          </w:p>
        </w:tc>
        <w:tc>
          <w:tcPr>
            <w:tcW w:w="540" w:type="pct"/>
            <w:vMerge w:val="continue"/>
            <w:noWrap w:val="0"/>
            <w:vAlign w:val="center"/>
          </w:tcPr>
          <w:p w14:paraId="1304472F">
            <w:pPr>
              <w:pStyle w:val="95"/>
              <w:adjustRightInd w:val="0"/>
              <w:snapToGrid w:val="0"/>
              <w:spacing w:line="240" w:lineRule="auto"/>
              <w:jc w:val="center"/>
              <w:rPr>
                <w:rFonts w:hint="default" w:ascii="Times New Roman" w:hAnsi="Times New Roman" w:eastAsia="宋体" w:cs="Times New Roman"/>
                <w:color w:val="auto"/>
                <w:sz w:val="18"/>
                <w:szCs w:val="18"/>
                <w:lang w:eastAsia="zh-CN"/>
              </w:rPr>
            </w:pPr>
          </w:p>
        </w:tc>
      </w:tr>
    </w:tbl>
    <w:p w14:paraId="34E95743">
      <w:pPr>
        <w:pStyle w:val="26"/>
        <w:outlineLvl w:val="0"/>
        <w:rPr>
          <w:rFonts w:hint="default" w:ascii="Times New Roman" w:hAnsi="Times New Roman" w:cs="Times New Roman"/>
          <w:snapToGrid w:val="0"/>
          <w:color w:val="auto"/>
          <w:sz w:val="30"/>
          <w:szCs w:val="30"/>
        </w:rPr>
        <w:sectPr>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14:paraId="7C6B4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75" w:hRule="atLeast"/>
          <w:jc w:val="center"/>
        </w:trPr>
        <w:tc>
          <w:tcPr>
            <w:tcW w:w="746" w:type="dxa"/>
            <w:noWrap w:val="0"/>
            <w:tcMar>
              <w:left w:w="28" w:type="dxa"/>
              <w:right w:w="28" w:type="dxa"/>
            </w:tcMar>
            <w:vAlign w:val="center"/>
          </w:tcPr>
          <w:p w14:paraId="2B50BEEB">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运营</w:t>
            </w:r>
          </w:p>
          <w:p w14:paraId="1054F4D9">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期环</w:t>
            </w:r>
          </w:p>
          <w:p w14:paraId="0A32BA62">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境影</w:t>
            </w:r>
          </w:p>
          <w:p w14:paraId="5BF37F02">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响和</w:t>
            </w:r>
          </w:p>
          <w:p w14:paraId="3B9E7130">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保护</w:t>
            </w:r>
          </w:p>
          <w:p w14:paraId="3FF27A19">
            <w:pPr>
              <w:adjustRightInd w:val="0"/>
              <w:snapToGrid w:val="0"/>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措施</w:t>
            </w:r>
          </w:p>
        </w:tc>
        <w:tc>
          <w:tcPr>
            <w:tcW w:w="8162" w:type="dxa"/>
            <w:noWrap w:val="0"/>
            <w:vAlign w:val="center"/>
          </w:tcPr>
          <w:p w14:paraId="52D00F0B">
            <w:pPr>
              <w:adjustRightInd w:val="0"/>
              <w:snapToGrid w:val="0"/>
              <w:spacing w:line="360" w:lineRule="auto"/>
              <w:ind w:firstLine="382" w:firstLineChars="200"/>
              <w:rPr>
                <w:rFonts w:hint="default" w:ascii="Times New Roman" w:hAnsi="Times New Roman" w:cs="Times New Roman"/>
                <w:b/>
                <w:bCs/>
                <w:color w:val="auto"/>
                <w:szCs w:val="21"/>
              </w:rPr>
            </w:pPr>
            <w:r>
              <w:rPr>
                <w:rFonts w:hint="default" w:ascii="Times New Roman" w:hAnsi="Times New Roman" w:cs="Times New Roman"/>
                <w:b/>
                <w:bCs/>
                <w:color w:val="auto"/>
                <w:spacing w:val="-10"/>
                <w:szCs w:val="21"/>
              </w:rPr>
              <w:t>（2）固体废物影响及防治措施</w:t>
            </w:r>
          </w:p>
          <w:p w14:paraId="054354CD">
            <w:pPr>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本项目固体废物主要为一般工业固体废物、危险废物。</w:t>
            </w:r>
          </w:p>
          <w:p w14:paraId="28B91DE6">
            <w:pPr>
              <w:spacing w:line="360" w:lineRule="auto"/>
              <w:ind w:firstLine="420" w:firstLineChars="200"/>
              <w:rPr>
                <w:rFonts w:hint="default" w:ascii="Times New Roman" w:hAnsi="Times New Roman" w:cs="Times New Roman"/>
                <w:snapToGrid w:val="0"/>
                <w:color w:val="auto"/>
                <w:kern w:val="0"/>
                <w:szCs w:val="21"/>
              </w:rPr>
            </w:pPr>
            <w:r>
              <w:rPr>
                <w:rFonts w:hint="default" w:ascii="Times New Roman" w:hAnsi="Times New Roman" w:cs="Times New Roman"/>
                <w:color w:val="auto"/>
                <w:szCs w:val="21"/>
              </w:rPr>
              <w:t>一般工业固体废物</w:t>
            </w:r>
            <w:r>
              <w:rPr>
                <w:rFonts w:hint="default" w:ascii="Times New Roman" w:hAnsi="Times New Roman" w:cs="Times New Roman"/>
                <w:color w:val="auto"/>
                <w:szCs w:val="21"/>
                <w:lang w:eastAsia="zh-CN"/>
              </w:rPr>
              <w:t>主要为</w:t>
            </w:r>
            <w:r>
              <w:rPr>
                <w:rFonts w:hint="eastAsia" w:ascii="Times New Roman" w:hAnsi="Times New Roman" w:cs="Times New Roman"/>
                <w:color w:val="auto"/>
                <w:szCs w:val="21"/>
                <w:lang w:eastAsia="zh-CN"/>
              </w:rPr>
              <w:t>废包装材料、废边角料、不合格品</w:t>
            </w:r>
            <w:r>
              <w:rPr>
                <w:rFonts w:hint="default" w:ascii="Times New Roman" w:hAnsi="Times New Roman" w:cs="Times New Roman"/>
                <w:color w:val="auto"/>
                <w:szCs w:val="21"/>
              </w:rPr>
              <w:t>，</w:t>
            </w:r>
            <w:r>
              <w:rPr>
                <w:rFonts w:hint="eastAsia" w:ascii="Times New Roman" w:hAnsi="Times New Roman" w:cs="Times New Roman"/>
                <w:color w:val="auto"/>
                <w:szCs w:val="21"/>
                <w:lang w:eastAsia="zh-CN"/>
              </w:rPr>
              <w:t>废包装材料</w:t>
            </w:r>
            <w:r>
              <w:rPr>
                <w:rFonts w:hint="default" w:ascii="Times New Roman" w:hAnsi="Times New Roman" w:cs="Times New Roman"/>
                <w:color w:val="auto"/>
                <w:szCs w:val="21"/>
                <w:lang w:eastAsia="zh-CN"/>
              </w:rPr>
              <w:t>集中收集后交由废品回收单位处理，</w:t>
            </w:r>
            <w:r>
              <w:rPr>
                <w:rFonts w:hint="eastAsia" w:ascii="Times New Roman" w:hAnsi="Times New Roman" w:cs="Times New Roman"/>
                <w:color w:val="auto"/>
                <w:szCs w:val="21"/>
                <w:lang w:eastAsia="zh-CN"/>
              </w:rPr>
              <w:t>废边角料及不合格产品破</w:t>
            </w:r>
            <w:r>
              <w:rPr>
                <w:rFonts w:hint="default" w:ascii="Times New Roman" w:hAnsi="Times New Roman" w:cs="Times New Roman"/>
                <w:color w:val="auto"/>
                <w:szCs w:val="21"/>
                <w:lang w:eastAsia="zh-CN"/>
              </w:rPr>
              <w:t>碎后回用于生产线</w:t>
            </w:r>
            <w:r>
              <w:rPr>
                <w:rFonts w:hint="default" w:ascii="Times New Roman" w:hAnsi="Times New Roman" w:cs="Times New Roman"/>
                <w:color w:val="auto"/>
                <w:szCs w:val="21"/>
              </w:rPr>
              <w:t>，</w:t>
            </w:r>
            <w:r>
              <w:rPr>
                <w:rFonts w:hint="default" w:ascii="Times New Roman" w:hAnsi="Times New Roman" w:eastAsia="宋体" w:cs="Times New Roman"/>
                <w:color w:val="auto"/>
                <w:szCs w:val="21"/>
              </w:rPr>
              <w:t>设一般固废暂存点，</w:t>
            </w:r>
            <w:r>
              <w:rPr>
                <w:rFonts w:hint="eastAsia" w:ascii="Times New Roman" w:hAnsi="Times New Roman" w:cs="Times New Roman"/>
                <w:color w:val="auto"/>
                <w:szCs w:val="21"/>
                <w:lang w:eastAsia="zh-CN"/>
              </w:rPr>
              <w:t>位于厂区外南侧</w:t>
            </w:r>
            <w:r>
              <w:rPr>
                <w:rFonts w:hint="default" w:ascii="Times New Roman" w:hAnsi="Times New Roman" w:eastAsia="宋体" w:cs="Times New Roman"/>
                <w:color w:val="auto"/>
                <w:szCs w:val="21"/>
              </w:rPr>
              <w:t>，约</w:t>
            </w:r>
            <w:r>
              <w:rPr>
                <w:rFonts w:hint="default" w:ascii="Times New Roman" w:hAnsi="Times New Roman" w:cs="Times New Roman"/>
                <w:color w:val="auto"/>
                <w:szCs w:val="21"/>
                <w:lang w:val="en-US" w:eastAsia="zh-CN"/>
              </w:rPr>
              <w:t>5</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Cs w:val="21"/>
                <w:vertAlign w:val="superscript"/>
              </w:rPr>
              <w:t>2</w:t>
            </w:r>
            <w:r>
              <w:rPr>
                <w:rFonts w:hint="default" w:ascii="Times New Roman" w:hAnsi="Times New Roman" w:eastAsia="宋体" w:cs="Times New Roman"/>
                <w:color w:val="auto"/>
                <w:szCs w:val="21"/>
              </w:rPr>
              <w:t>，设标识牌</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并做好防渗漏、防雨淋、防扬尘措施。</w:t>
            </w:r>
          </w:p>
          <w:p w14:paraId="435D062F">
            <w:pPr>
              <w:pStyle w:val="7"/>
              <w:spacing w:line="360" w:lineRule="auto"/>
              <w:ind w:firstLine="480"/>
              <w:rPr>
                <w:rFonts w:hint="default" w:ascii="Times New Roman" w:hAnsi="Times New Roman" w:eastAsia="宋体" w:cs="Times New Roman"/>
                <w:b w:val="0"/>
                <w:bCs w:val="0"/>
                <w:snapToGrid w:val="0"/>
                <w:color w:val="auto"/>
                <w:kern w:val="0"/>
                <w:sz w:val="21"/>
                <w:szCs w:val="21"/>
              </w:rPr>
            </w:pPr>
            <w:r>
              <w:rPr>
                <w:rFonts w:hint="default" w:ascii="Times New Roman" w:hAnsi="Times New Roman" w:cs="Times New Roman"/>
                <w:color w:val="auto"/>
                <w:szCs w:val="21"/>
              </w:rPr>
              <w:t>本项目危险废物主要为</w:t>
            </w:r>
            <w:r>
              <w:rPr>
                <w:rFonts w:hint="eastAsia" w:cs="Times New Roman"/>
                <w:color w:val="auto"/>
                <w:szCs w:val="21"/>
                <w:lang w:eastAsia="zh-CN"/>
              </w:rPr>
              <w:t>废油桶</w:t>
            </w:r>
            <w:r>
              <w:rPr>
                <w:rFonts w:hint="eastAsia" w:ascii="Times New Roman" w:hAnsi="Times New Roman" w:cs="Times New Roman"/>
                <w:color w:val="auto"/>
                <w:szCs w:val="21"/>
                <w:lang w:eastAsia="zh-CN"/>
              </w:rPr>
              <w:t>、废矿物油、废含油棉纱和手套、废活性炭、废过滤棉、空压机含油冷凝液</w:t>
            </w:r>
            <w:r>
              <w:rPr>
                <w:rFonts w:hint="default" w:ascii="Times New Roman" w:hAnsi="Times New Roman" w:cs="Times New Roman"/>
                <w:color w:val="auto"/>
                <w:szCs w:val="21"/>
              </w:rPr>
              <w:t>，分类收集后暂存于</w:t>
            </w:r>
            <w:r>
              <w:rPr>
                <w:rFonts w:hint="eastAsia" w:ascii="Times New Roman" w:hAnsi="Times New Roman" w:cs="Times New Roman"/>
                <w:color w:val="auto"/>
                <w:szCs w:val="21"/>
                <w:lang w:eastAsia="zh-CN"/>
              </w:rPr>
              <w:t>危险废物贮存库</w:t>
            </w:r>
            <w:r>
              <w:rPr>
                <w:rFonts w:hint="default" w:ascii="Times New Roman" w:hAnsi="Times New Roman" w:cs="Times New Roman"/>
                <w:color w:val="auto"/>
                <w:szCs w:val="21"/>
              </w:rPr>
              <w:t>，定期交有资质单位处置。</w:t>
            </w:r>
            <w:r>
              <w:rPr>
                <w:rFonts w:hint="default" w:ascii="Times New Roman" w:hAnsi="Times New Roman" w:eastAsia="宋体" w:cs="Times New Roman"/>
                <w:b w:val="0"/>
                <w:bCs w:val="0"/>
                <w:snapToGrid w:val="0"/>
                <w:color w:val="auto"/>
                <w:kern w:val="0"/>
                <w:sz w:val="21"/>
                <w:szCs w:val="21"/>
              </w:rPr>
              <w:t>设置一</w:t>
            </w:r>
            <w:r>
              <w:rPr>
                <w:rFonts w:hint="eastAsia" w:ascii="Times New Roman" w:hAnsi="Times New Roman" w:cs="Times New Roman"/>
                <w:b w:val="0"/>
                <w:bCs w:val="0"/>
                <w:snapToGrid w:val="0"/>
                <w:color w:val="auto"/>
                <w:kern w:val="0"/>
                <w:sz w:val="21"/>
                <w:szCs w:val="21"/>
                <w:lang w:eastAsia="zh-CN"/>
              </w:rPr>
              <w:t>个危险废物贮存库，约5</w:t>
            </w:r>
            <w:r>
              <w:rPr>
                <w:rFonts w:hint="default" w:ascii="Times New Roman" w:hAnsi="Times New Roman" w:eastAsia="宋体" w:cs="Times New Roman"/>
                <w:b w:val="0"/>
                <w:bCs w:val="0"/>
                <w:snapToGrid w:val="0"/>
                <w:color w:val="auto"/>
                <w:kern w:val="0"/>
                <w:sz w:val="21"/>
                <w:szCs w:val="21"/>
                <w:lang w:val="en-US" w:eastAsia="zh-CN"/>
              </w:rPr>
              <w:t>m</w:t>
            </w:r>
            <w:r>
              <w:rPr>
                <w:rFonts w:hint="default" w:ascii="Times New Roman" w:hAnsi="Times New Roman" w:eastAsia="宋体" w:cs="Times New Roman"/>
                <w:b w:val="0"/>
                <w:bCs w:val="0"/>
                <w:snapToGrid w:val="0"/>
                <w:color w:val="auto"/>
                <w:kern w:val="0"/>
                <w:sz w:val="21"/>
                <w:szCs w:val="21"/>
                <w:vertAlign w:val="superscript"/>
              </w:rPr>
              <w:t>2</w:t>
            </w:r>
            <w:r>
              <w:rPr>
                <w:rFonts w:hint="default" w:ascii="Times New Roman" w:hAnsi="Times New Roman" w:eastAsia="宋体" w:cs="Times New Roman"/>
                <w:b w:val="0"/>
                <w:bCs w:val="0"/>
                <w:snapToGrid w:val="0"/>
                <w:color w:val="auto"/>
                <w:kern w:val="0"/>
                <w:sz w:val="21"/>
                <w:szCs w:val="21"/>
              </w:rPr>
              <w:t>，</w:t>
            </w:r>
            <w:r>
              <w:rPr>
                <w:rFonts w:hint="eastAsia" w:ascii="Times New Roman" w:hAnsi="Times New Roman" w:cs="Times New Roman"/>
                <w:color w:val="auto"/>
                <w:szCs w:val="21"/>
                <w:lang w:eastAsia="zh-CN"/>
              </w:rPr>
              <w:t>位于厂区外南侧</w:t>
            </w:r>
            <w:r>
              <w:rPr>
                <w:rFonts w:hint="default" w:ascii="Times New Roman" w:hAnsi="Times New Roman" w:eastAsia="宋体" w:cs="Times New Roman"/>
                <w:b w:val="0"/>
                <w:bCs w:val="0"/>
                <w:color w:val="auto"/>
                <w:sz w:val="21"/>
                <w:szCs w:val="21"/>
              </w:rPr>
              <w:t>，</w:t>
            </w:r>
            <w:r>
              <w:rPr>
                <w:rFonts w:hint="eastAsia" w:ascii="Times New Roman" w:hAnsi="Times New Roman" w:cs="Times New Roman"/>
                <w:b w:val="0"/>
                <w:bCs w:val="0"/>
                <w:snapToGrid w:val="0"/>
                <w:color w:val="auto"/>
                <w:kern w:val="0"/>
                <w:sz w:val="21"/>
                <w:szCs w:val="21"/>
                <w:lang w:eastAsia="zh-CN"/>
              </w:rPr>
              <w:t>危险废物贮存库</w:t>
            </w:r>
            <w:r>
              <w:rPr>
                <w:rFonts w:hint="default" w:ascii="Times New Roman" w:hAnsi="Times New Roman" w:eastAsia="宋体" w:cs="Times New Roman"/>
                <w:b w:val="0"/>
                <w:bCs w:val="0"/>
                <w:color w:val="auto"/>
                <w:sz w:val="21"/>
                <w:szCs w:val="21"/>
              </w:rPr>
              <w:t>需按照《危险废物贮存污染控制标准》（GB18597-2023）的要求</w:t>
            </w:r>
            <w:r>
              <w:rPr>
                <w:rFonts w:hint="default" w:ascii="Times New Roman" w:hAnsi="Times New Roman" w:eastAsia="宋体" w:cs="Times New Roman"/>
                <w:b w:val="0"/>
                <w:bCs w:val="0"/>
                <w:snapToGrid w:val="0"/>
                <w:color w:val="auto"/>
                <w:kern w:val="0"/>
                <w:sz w:val="21"/>
                <w:szCs w:val="21"/>
              </w:rPr>
              <w:t>执行：</w:t>
            </w:r>
            <w:r>
              <w:rPr>
                <w:rFonts w:hint="eastAsia" w:ascii="Times New Roman" w:hAnsi="Times New Roman" w:cs="Times New Roman"/>
                <w:b w:val="0"/>
                <w:bCs w:val="0"/>
                <w:snapToGrid w:val="0"/>
                <w:color w:val="auto"/>
                <w:kern w:val="0"/>
                <w:sz w:val="21"/>
                <w:szCs w:val="21"/>
                <w:lang w:eastAsia="zh-CN"/>
              </w:rPr>
              <w:t>危险废物贮存库</w:t>
            </w:r>
            <w:r>
              <w:rPr>
                <w:rFonts w:hint="default" w:ascii="Times New Roman" w:hAnsi="Times New Roman" w:eastAsia="宋体" w:cs="Times New Roman"/>
                <w:b w:val="0"/>
                <w:bCs w:val="0"/>
                <w:color w:val="auto"/>
                <w:sz w:val="21"/>
                <w:szCs w:val="21"/>
              </w:rPr>
              <w:t>基础必须防渗，防渗层为至少1m厚</w:t>
            </w:r>
            <w:r>
              <w:rPr>
                <w:rFonts w:hint="default" w:ascii="Times New Roman" w:hAnsi="Times New Roman" w:eastAsia="宋体" w:cs="Times New Roman"/>
                <w:b w:val="0"/>
                <w:bCs w:val="0"/>
                <w:color w:val="auto"/>
                <w:sz w:val="21"/>
                <w:szCs w:val="21"/>
                <w:lang w:eastAsia="zh-CN"/>
              </w:rPr>
              <w:t>黏土</w:t>
            </w:r>
            <w:r>
              <w:rPr>
                <w:rFonts w:hint="default" w:ascii="Times New Roman" w:hAnsi="Times New Roman" w:eastAsia="宋体" w:cs="Times New Roman"/>
                <w:b w:val="0"/>
                <w:bCs w:val="0"/>
                <w:color w:val="auto"/>
                <w:sz w:val="21"/>
                <w:szCs w:val="21"/>
              </w:rPr>
              <w:t>层（渗透系数≤10</w:t>
            </w:r>
            <w:r>
              <w:rPr>
                <w:rFonts w:hint="default" w:ascii="Times New Roman" w:hAnsi="Times New Roman" w:eastAsia="宋体" w:cs="Times New Roman"/>
                <w:b w:val="0"/>
                <w:bCs w:val="0"/>
                <w:color w:val="auto"/>
                <w:sz w:val="21"/>
                <w:szCs w:val="21"/>
                <w:vertAlign w:val="superscript"/>
                <w:lang w:eastAsia="zh-CN"/>
              </w:rPr>
              <w:t>—</w:t>
            </w:r>
            <w:r>
              <w:rPr>
                <w:rFonts w:hint="default" w:ascii="Times New Roman" w:hAnsi="Times New Roman" w:eastAsia="宋体" w:cs="Times New Roman"/>
                <w:b w:val="0"/>
                <w:bCs w:val="0"/>
                <w:color w:val="auto"/>
                <w:sz w:val="21"/>
                <w:szCs w:val="21"/>
                <w:vertAlign w:val="superscript"/>
              </w:rPr>
              <w:t>7</w:t>
            </w:r>
            <w:r>
              <w:rPr>
                <w:rFonts w:hint="default" w:ascii="Times New Roman" w:hAnsi="Times New Roman" w:eastAsia="宋体" w:cs="Times New Roman"/>
                <w:b w:val="0"/>
                <w:bCs w:val="0"/>
                <w:color w:val="auto"/>
                <w:sz w:val="21"/>
                <w:szCs w:val="21"/>
              </w:rPr>
              <w:t>cm/s），或2</w:t>
            </w:r>
            <w:r>
              <w:rPr>
                <w:rFonts w:hint="default" w:ascii="Times New Roman" w:hAnsi="Times New Roman" w:eastAsia="宋体" w:cs="Times New Roman"/>
                <w:b w:val="0"/>
                <w:bCs w:val="0"/>
                <w:color w:val="auto"/>
                <w:sz w:val="21"/>
                <w:szCs w:val="21"/>
                <w:highlight w:val="none"/>
              </w:rPr>
              <w:t>mm</w:t>
            </w:r>
            <w:r>
              <w:rPr>
                <w:rFonts w:hint="default" w:ascii="Times New Roman" w:hAnsi="Times New Roman" w:eastAsia="宋体" w:cs="Times New Roman"/>
                <w:b w:val="0"/>
                <w:bCs w:val="0"/>
                <w:color w:val="auto"/>
                <w:sz w:val="21"/>
                <w:szCs w:val="21"/>
              </w:rPr>
              <w:t>厚高密度聚乙烯，或至少2</w:t>
            </w:r>
            <w:r>
              <w:rPr>
                <w:rFonts w:hint="default" w:ascii="Times New Roman" w:hAnsi="Times New Roman" w:eastAsia="宋体" w:cs="Times New Roman"/>
                <w:b w:val="0"/>
                <w:bCs w:val="0"/>
                <w:color w:val="auto"/>
                <w:sz w:val="21"/>
                <w:szCs w:val="21"/>
                <w:highlight w:val="none"/>
              </w:rPr>
              <w:t>mm</w:t>
            </w:r>
            <w:r>
              <w:rPr>
                <w:rFonts w:hint="default" w:ascii="Times New Roman" w:hAnsi="Times New Roman" w:eastAsia="宋体" w:cs="Times New Roman"/>
                <w:b w:val="0"/>
                <w:bCs w:val="0"/>
                <w:color w:val="auto"/>
                <w:sz w:val="21"/>
                <w:szCs w:val="21"/>
              </w:rPr>
              <w:t>厚的其他人工材料，渗透系数≤10</w:t>
            </w:r>
            <w:r>
              <w:rPr>
                <w:rFonts w:hint="default" w:ascii="Times New Roman" w:hAnsi="Times New Roman" w:eastAsia="宋体" w:cs="Times New Roman"/>
                <w:b w:val="0"/>
                <w:bCs w:val="0"/>
                <w:color w:val="auto"/>
                <w:sz w:val="21"/>
                <w:szCs w:val="21"/>
                <w:vertAlign w:val="superscript"/>
                <w:lang w:eastAsia="zh-CN"/>
              </w:rPr>
              <w:t>—</w:t>
            </w:r>
            <w:r>
              <w:rPr>
                <w:rFonts w:hint="default" w:ascii="Times New Roman" w:hAnsi="Times New Roman" w:eastAsia="宋体" w:cs="Times New Roman"/>
                <w:b w:val="0"/>
                <w:bCs w:val="0"/>
                <w:color w:val="auto"/>
                <w:sz w:val="21"/>
                <w:szCs w:val="21"/>
                <w:vertAlign w:val="superscript"/>
              </w:rPr>
              <w:t>10</w:t>
            </w:r>
            <w:r>
              <w:rPr>
                <w:rFonts w:hint="default" w:ascii="Times New Roman" w:hAnsi="Times New Roman" w:eastAsia="宋体" w:cs="Times New Roman"/>
                <w:b w:val="0"/>
                <w:bCs w:val="0"/>
                <w:color w:val="auto"/>
                <w:sz w:val="21"/>
                <w:szCs w:val="21"/>
              </w:rPr>
              <w:t>cm/s；地面与裙脚要用坚固、防渗的材料建造，建筑材料必须与危险废物相容；</w:t>
            </w:r>
            <w:r>
              <w:rPr>
                <w:rFonts w:hint="eastAsia" w:ascii="Times New Roman" w:hAnsi="Times New Roman" w:cs="Times New Roman"/>
                <w:b w:val="0"/>
                <w:bCs w:val="0"/>
                <w:color w:val="auto"/>
                <w:sz w:val="21"/>
                <w:szCs w:val="21"/>
                <w:lang w:eastAsia="zh-CN"/>
              </w:rPr>
              <w:t>危险废物贮存库</w:t>
            </w:r>
            <w:r>
              <w:rPr>
                <w:rFonts w:hint="default" w:ascii="Times New Roman" w:hAnsi="Times New Roman" w:eastAsia="宋体" w:cs="Times New Roman"/>
                <w:b w:val="0"/>
                <w:bCs w:val="0"/>
                <w:color w:val="auto"/>
                <w:sz w:val="21"/>
                <w:szCs w:val="21"/>
              </w:rPr>
              <w:t>需要</w:t>
            </w:r>
            <w:r>
              <w:rPr>
                <w:rFonts w:hint="default" w:ascii="Times New Roman" w:hAnsi="Times New Roman" w:eastAsia="宋体" w:cs="Times New Roman"/>
                <w:b w:val="0"/>
                <w:bCs w:val="0"/>
                <w:color w:val="auto"/>
                <w:sz w:val="21"/>
                <w:szCs w:val="21"/>
                <w:lang w:eastAsia="zh-CN"/>
              </w:rPr>
              <w:t>防风、防晒、防雨、防漏、防渗、防腐</w:t>
            </w:r>
            <w:r>
              <w:rPr>
                <w:rFonts w:hint="default" w:ascii="Times New Roman" w:hAnsi="Times New Roman" w:eastAsia="宋体" w:cs="Times New Roman"/>
                <w:b w:val="0"/>
                <w:bCs w:val="0"/>
                <w:color w:val="auto"/>
                <w:sz w:val="21"/>
                <w:szCs w:val="21"/>
              </w:rPr>
              <w:t>；不相容的危险废物必须分开存放，并设有隔离间隔断；</w:t>
            </w:r>
            <w:r>
              <w:rPr>
                <w:rFonts w:hint="eastAsia" w:ascii="Times New Roman" w:hAnsi="Times New Roman" w:cs="Times New Roman"/>
                <w:b w:val="0"/>
                <w:bCs w:val="0"/>
                <w:snapToGrid w:val="0"/>
                <w:color w:val="auto"/>
                <w:kern w:val="0"/>
                <w:sz w:val="21"/>
                <w:szCs w:val="21"/>
                <w:lang w:eastAsia="zh-CN"/>
              </w:rPr>
              <w:t>危险废物贮存库</w:t>
            </w:r>
            <w:r>
              <w:rPr>
                <w:rFonts w:hint="default" w:ascii="Times New Roman" w:hAnsi="Times New Roman" w:eastAsia="宋体" w:cs="Times New Roman"/>
                <w:b w:val="0"/>
                <w:bCs w:val="0"/>
                <w:color w:val="auto"/>
                <w:sz w:val="21"/>
                <w:szCs w:val="21"/>
              </w:rPr>
              <w:t>需</w:t>
            </w:r>
            <w:r>
              <w:rPr>
                <w:rFonts w:hint="default" w:ascii="Times New Roman" w:hAnsi="Times New Roman" w:cs="Times New Roman"/>
                <w:b w:val="0"/>
                <w:bCs w:val="0"/>
                <w:snapToGrid w:val="0"/>
                <w:color w:val="auto"/>
                <w:kern w:val="0"/>
                <w:sz w:val="21"/>
                <w:szCs w:val="21"/>
                <w:lang w:val="en-US" w:eastAsia="zh-CN"/>
              </w:rPr>
              <w:t>按照《危险废物识别标志设置技术规范》（HJ1276-2022）</w:t>
            </w:r>
            <w:r>
              <w:rPr>
                <w:rFonts w:hint="default" w:ascii="Times New Roman" w:hAnsi="Times New Roman" w:eastAsia="宋体" w:cs="Times New Roman"/>
                <w:b w:val="0"/>
                <w:bCs w:val="0"/>
                <w:color w:val="auto"/>
                <w:sz w:val="21"/>
                <w:szCs w:val="21"/>
              </w:rPr>
              <w:t>设置警示标志牌；必须定期对所贮存的危险废物包装容器及贮存设施进行检查，发现破损，应及时采取措施清理更换；须</w:t>
            </w:r>
            <w:r>
              <w:rPr>
                <w:rFonts w:hint="default" w:ascii="Times New Roman" w:hAnsi="Times New Roman" w:eastAsia="宋体" w:cs="Times New Roman"/>
                <w:b w:val="0"/>
                <w:bCs w:val="0"/>
                <w:color w:val="auto"/>
                <w:sz w:val="21"/>
                <w:szCs w:val="21"/>
                <w:highlight w:val="none"/>
                <w:lang w:eastAsia="zh-CN"/>
              </w:rPr>
              <w:t>做好</w:t>
            </w:r>
            <w:r>
              <w:rPr>
                <w:rFonts w:hint="default" w:ascii="Times New Roman" w:hAnsi="Times New Roman" w:eastAsia="宋体" w:cs="Times New Roman"/>
                <w:b w:val="0"/>
                <w:bCs w:val="0"/>
                <w:color w:val="auto"/>
                <w:sz w:val="21"/>
                <w:szCs w:val="21"/>
              </w:rPr>
              <w:t>危险废物情况的记录，记录上须注明危险废物的名称、来源、数量、特性和包装容器的类别、入库日期、存放库位、废物出库日期及接收单位名称。</w:t>
            </w:r>
          </w:p>
          <w:p w14:paraId="60B45848">
            <w:pPr>
              <w:adjustRightInd w:val="0"/>
              <w:snapToGrid w:val="0"/>
              <w:spacing w:line="360" w:lineRule="auto"/>
              <w:ind w:firstLine="380" w:firstLineChars="200"/>
              <w:rPr>
                <w:rFonts w:hint="default" w:ascii="Times New Roman" w:hAnsi="Times New Roman" w:eastAsia="宋体" w:cs="Times New Roman"/>
                <w:b/>
                <w:bCs/>
                <w:color w:val="auto"/>
                <w:spacing w:val="-10"/>
                <w:szCs w:val="21"/>
                <w:lang w:val="en-US" w:eastAsia="zh-CN"/>
              </w:rPr>
            </w:pPr>
            <w:r>
              <w:rPr>
                <w:rFonts w:hint="default" w:ascii="Times New Roman" w:hAnsi="Times New Roman" w:eastAsia="宋体" w:cs="Times New Roman"/>
                <w:b w:val="0"/>
                <w:bCs w:val="0"/>
                <w:color w:val="auto"/>
                <w:spacing w:val="-10"/>
                <w:szCs w:val="21"/>
              </w:rPr>
              <w:t>生活垃圾集中收集后交由环卫部门统一收集处理</w:t>
            </w:r>
            <w:r>
              <w:rPr>
                <w:rFonts w:hint="default" w:ascii="Times New Roman" w:hAnsi="Times New Roman" w:eastAsia="宋体" w:cs="Times New Roman"/>
                <w:b w:val="0"/>
                <w:bCs w:val="0"/>
                <w:color w:val="auto"/>
                <w:spacing w:val="-10"/>
                <w:szCs w:val="21"/>
                <w:lang w:eastAsia="zh-CN"/>
              </w:rPr>
              <w:t>。</w:t>
            </w:r>
          </w:p>
          <w:p w14:paraId="6F5CEADF">
            <w:pPr>
              <w:adjustRightInd w:val="0"/>
              <w:snapToGrid w:val="0"/>
              <w:spacing w:line="360" w:lineRule="auto"/>
              <w:rPr>
                <w:rFonts w:hint="default" w:ascii="Times New Roman" w:hAnsi="Times New Roman" w:cs="Times New Roman"/>
                <w:b/>
                <w:bCs/>
                <w:color w:val="auto"/>
                <w:spacing w:val="-10"/>
                <w:szCs w:val="21"/>
              </w:rPr>
            </w:pPr>
            <w:r>
              <w:rPr>
                <w:rFonts w:hint="default" w:ascii="Times New Roman" w:hAnsi="Times New Roman" w:cs="Times New Roman"/>
                <w:b/>
                <w:bCs/>
                <w:color w:val="auto"/>
                <w:spacing w:val="-10"/>
                <w:szCs w:val="21"/>
              </w:rPr>
              <w:t>4.10地下水及土壤环境影响及保护措施</w:t>
            </w:r>
          </w:p>
          <w:p w14:paraId="03537365">
            <w:pPr>
              <w:adjustRightInd w:val="0"/>
              <w:snapToGrid w:val="0"/>
              <w:spacing w:line="360" w:lineRule="auto"/>
              <w:ind w:firstLine="382" w:firstLineChars="200"/>
              <w:rPr>
                <w:rFonts w:hint="default" w:ascii="Times New Roman" w:hAnsi="Times New Roman" w:cs="Times New Roman"/>
                <w:b/>
                <w:bCs/>
                <w:color w:val="auto"/>
                <w:spacing w:val="-10"/>
                <w:szCs w:val="21"/>
              </w:rPr>
            </w:pPr>
            <w:r>
              <w:rPr>
                <w:rFonts w:hint="default" w:ascii="Times New Roman" w:hAnsi="Times New Roman" w:cs="Times New Roman"/>
                <w:b/>
                <w:bCs/>
                <w:color w:val="auto"/>
                <w:spacing w:val="-10"/>
                <w:szCs w:val="21"/>
              </w:rPr>
              <w:t>（1）地下水、土壤污染源、污染物类型及污染途径</w:t>
            </w:r>
          </w:p>
          <w:p w14:paraId="7CEAA4BD">
            <w:pPr>
              <w:adjustRightInd w:val="0"/>
              <w:snapToGrid w:val="0"/>
              <w:ind w:firstLine="382" w:firstLineChars="200"/>
              <w:jc w:val="center"/>
              <w:rPr>
                <w:rFonts w:hint="default" w:ascii="Times New Roman" w:hAnsi="Times New Roman" w:cs="Times New Roman"/>
                <w:b/>
                <w:bCs/>
                <w:color w:val="auto"/>
                <w:spacing w:val="-10"/>
                <w:szCs w:val="21"/>
              </w:rPr>
            </w:pPr>
            <w:r>
              <w:rPr>
                <w:rFonts w:hint="default" w:ascii="Times New Roman" w:hAnsi="Times New Roman" w:cs="Times New Roman"/>
                <w:b/>
                <w:bCs/>
                <w:color w:val="auto"/>
                <w:spacing w:val="-10"/>
                <w:szCs w:val="21"/>
              </w:rPr>
              <w:t>表4-1</w:t>
            </w:r>
            <w:r>
              <w:rPr>
                <w:rFonts w:hint="eastAsia" w:ascii="Times New Roman" w:hAnsi="Times New Roman" w:cs="Times New Roman"/>
                <w:b/>
                <w:bCs/>
                <w:color w:val="auto"/>
                <w:spacing w:val="-10"/>
                <w:szCs w:val="21"/>
                <w:lang w:val="en-US" w:eastAsia="zh-CN"/>
              </w:rPr>
              <w:t>6</w:t>
            </w:r>
            <w:r>
              <w:rPr>
                <w:rFonts w:hint="default" w:ascii="Times New Roman" w:hAnsi="Times New Roman" w:cs="Times New Roman"/>
                <w:b/>
                <w:bCs/>
                <w:color w:val="auto"/>
                <w:spacing w:val="-10"/>
                <w:szCs w:val="21"/>
              </w:rPr>
              <w:t xml:space="preserve">  地下水、土壤污染源、污染物类型及污染途径情况一览表</w:t>
            </w:r>
          </w:p>
          <w:tbl>
            <w:tblPr>
              <w:tblStyle w:val="30"/>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58"/>
              <w:gridCol w:w="2300"/>
              <w:gridCol w:w="2723"/>
              <w:gridCol w:w="1332"/>
            </w:tblGrid>
            <w:tr w14:paraId="711BD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0" w:hRule="atLeast"/>
              </w:trPr>
              <w:tc>
                <w:tcPr>
                  <w:tcW w:w="984" w:type="pct"/>
                  <w:noWrap w:val="0"/>
                  <w:vAlign w:val="center"/>
                </w:tcPr>
                <w:p w14:paraId="312594C4">
                  <w:pPr>
                    <w:adjustRightInd w:val="0"/>
                    <w:snapToGrid w:val="0"/>
                    <w:jc w:val="center"/>
                    <w:rPr>
                      <w:rFonts w:hint="default" w:ascii="Times New Roman" w:hAnsi="Times New Roman" w:cs="Times New Roman"/>
                      <w:bCs/>
                      <w:color w:val="auto"/>
                      <w:spacing w:val="-10"/>
                      <w:sz w:val="18"/>
                      <w:szCs w:val="18"/>
                    </w:rPr>
                  </w:pPr>
                  <w:r>
                    <w:rPr>
                      <w:rFonts w:hint="default" w:ascii="Times New Roman" w:hAnsi="Times New Roman" w:cs="Times New Roman"/>
                      <w:bCs/>
                      <w:color w:val="auto"/>
                      <w:spacing w:val="-10"/>
                      <w:sz w:val="18"/>
                      <w:szCs w:val="18"/>
                    </w:rPr>
                    <w:t>污染源</w:t>
                  </w:r>
                </w:p>
              </w:tc>
              <w:tc>
                <w:tcPr>
                  <w:tcW w:w="1453" w:type="pct"/>
                  <w:noWrap w:val="0"/>
                  <w:vAlign w:val="center"/>
                </w:tcPr>
                <w:p w14:paraId="78F9B3B1">
                  <w:pPr>
                    <w:adjustRightInd w:val="0"/>
                    <w:snapToGrid w:val="0"/>
                    <w:jc w:val="center"/>
                    <w:rPr>
                      <w:rFonts w:hint="default" w:ascii="Times New Roman" w:hAnsi="Times New Roman" w:cs="Times New Roman"/>
                      <w:bCs/>
                      <w:color w:val="auto"/>
                      <w:spacing w:val="-10"/>
                      <w:sz w:val="18"/>
                      <w:szCs w:val="18"/>
                    </w:rPr>
                  </w:pPr>
                  <w:r>
                    <w:rPr>
                      <w:rFonts w:hint="default" w:ascii="Times New Roman" w:hAnsi="Times New Roman" w:cs="Times New Roman"/>
                      <w:bCs/>
                      <w:color w:val="auto"/>
                      <w:spacing w:val="-10"/>
                      <w:sz w:val="18"/>
                      <w:szCs w:val="18"/>
                    </w:rPr>
                    <w:t>污染物类型</w:t>
                  </w:r>
                </w:p>
              </w:tc>
              <w:tc>
                <w:tcPr>
                  <w:tcW w:w="1720" w:type="pct"/>
                  <w:noWrap w:val="0"/>
                  <w:vAlign w:val="center"/>
                </w:tcPr>
                <w:p w14:paraId="4381C45F">
                  <w:pPr>
                    <w:adjustRightInd w:val="0"/>
                    <w:snapToGrid w:val="0"/>
                    <w:jc w:val="center"/>
                    <w:rPr>
                      <w:rFonts w:hint="default" w:ascii="Times New Roman" w:hAnsi="Times New Roman" w:cs="Times New Roman"/>
                      <w:bCs/>
                      <w:color w:val="auto"/>
                      <w:spacing w:val="-10"/>
                      <w:sz w:val="18"/>
                      <w:szCs w:val="18"/>
                    </w:rPr>
                  </w:pPr>
                  <w:r>
                    <w:rPr>
                      <w:rFonts w:hint="default" w:ascii="Times New Roman" w:hAnsi="Times New Roman" w:cs="Times New Roman"/>
                      <w:bCs/>
                      <w:color w:val="auto"/>
                      <w:spacing w:val="-10"/>
                      <w:sz w:val="18"/>
                      <w:szCs w:val="18"/>
                    </w:rPr>
                    <w:t>防治措施</w:t>
                  </w:r>
                </w:p>
              </w:tc>
              <w:tc>
                <w:tcPr>
                  <w:tcW w:w="841" w:type="pct"/>
                  <w:noWrap w:val="0"/>
                  <w:vAlign w:val="center"/>
                </w:tcPr>
                <w:p w14:paraId="568502F1">
                  <w:pPr>
                    <w:adjustRightInd w:val="0"/>
                    <w:snapToGrid w:val="0"/>
                    <w:jc w:val="center"/>
                    <w:rPr>
                      <w:rFonts w:hint="default" w:ascii="Times New Roman" w:hAnsi="Times New Roman" w:cs="Times New Roman"/>
                      <w:bCs/>
                      <w:color w:val="auto"/>
                      <w:spacing w:val="-10"/>
                      <w:sz w:val="18"/>
                      <w:szCs w:val="18"/>
                    </w:rPr>
                  </w:pPr>
                  <w:r>
                    <w:rPr>
                      <w:rFonts w:hint="default" w:ascii="Times New Roman" w:hAnsi="Times New Roman" w:cs="Times New Roman"/>
                      <w:bCs/>
                      <w:color w:val="auto"/>
                      <w:spacing w:val="-10"/>
                      <w:sz w:val="18"/>
                      <w:szCs w:val="18"/>
                    </w:rPr>
                    <w:t>污染途径</w:t>
                  </w:r>
                </w:p>
              </w:tc>
            </w:tr>
            <w:tr w14:paraId="6B388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 w:hRule="atLeast"/>
              </w:trPr>
              <w:tc>
                <w:tcPr>
                  <w:tcW w:w="984" w:type="pct"/>
                  <w:noWrap w:val="0"/>
                  <w:vAlign w:val="center"/>
                </w:tcPr>
                <w:p w14:paraId="4A81DCB9">
                  <w:pPr>
                    <w:adjustRightInd w:val="0"/>
                    <w:snapToGrid w:val="0"/>
                    <w:jc w:val="center"/>
                    <w:rPr>
                      <w:rFonts w:hint="default" w:ascii="Times New Roman" w:hAnsi="Times New Roman" w:eastAsia="宋体" w:cs="Times New Roman"/>
                      <w:bCs/>
                      <w:color w:val="auto"/>
                      <w:spacing w:val="-10"/>
                      <w:sz w:val="18"/>
                      <w:szCs w:val="18"/>
                      <w:lang w:eastAsia="zh-CN"/>
                    </w:rPr>
                  </w:pPr>
                  <w:r>
                    <w:rPr>
                      <w:rFonts w:hint="eastAsia" w:ascii="Times New Roman" w:hAnsi="Times New Roman" w:cs="Times New Roman"/>
                      <w:bCs/>
                      <w:color w:val="auto"/>
                      <w:spacing w:val="-10"/>
                      <w:sz w:val="18"/>
                      <w:szCs w:val="18"/>
                      <w:lang w:eastAsia="zh-CN"/>
                    </w:rPr>
                    <w:t>液体物料暂存区</w:t>
                  </w:r>
                </w:p>
              </w:tc>
              <w:tc>
                <w:tcPr>
                  <w:tcW w:w="1453" w:type="pct"/>
                  <w:noWrap w:val="0"/>
                  <w:vAlign w:val="center"/>
                </w:tcPr>
                <w:p w14:paraId="6378D26D">
                  <w:pPr>
                    <w:adjustRightInd w:val="0"/>
                    <w:snapToGrid w:val="0"/>
                    <w:jc w:val="center"/>
                    <w:rPr>
                      <w:rFonts w:hint="default" w:ascii="Times New Roman" w:hAnsi="Times New Roman" w:cs="Times New Roman"/>
                      <w:bCs/>
                      <w:color w:val="auto"/>
                      <w:spacing w:val="-10"/>
                      <w:sz w:val="18"/>
                      <w:szCs w:val="18"/>
                      <w:lang w:eastAsia="zh-CN"/>
                    </w:rPr>
                  </w:pPr>
                  <w:r>
                    <w:rPr>
                      <w:rFonts w:hint="default" w:ascii="Times New Roman" w:hAnsi="Times New Roman" w:cs="Times New Roman"/>
                      <w:bCs/>
                      <w:color w:val="auto"/>
                      <w:spacing w:val="-10"/>
                      <w:sz w:val="18"/>
                      <w:szCs w:val="18"/>
                    </w:rPr>
                    <w:t>液压油、润滑油</w:t>
                  </w:r>
                </w:p>
              </w:tc>
              <w:tc>
                <w:tcPr>
                  <w:tcW w:w="1720" w:type="pct"/>
                  <w:vMerge w:val="restart"/>
                  <w:noWrap w:val="0"/>
                  <w:vAlign w:val="center"/>
                </w:tcPr>
                <w:p w14:paraId="71888D05">
                  <w:pPr>
                    <w:adjustRightInd w:val="0"/>
                    <w:snapToGrid w:val="0"/>
                    <w:jc w:val="center"/>
                    <w:rPr>
                      <w:rFonts w:hint="default" w:ascii="Times New Roman" w:hAnsi="Times New Roman" w:cs="Times New Roman"/>
                      <w:bCs/>
                      <w:color w:val="auto"/>
                      <w:spacing w:val="-10"/>
                      <w:sz w:val="18"/>
                      <w:szCs w:val="18"/>
                    </w:rPr>
                  </w:pPr>
                  <w:r>
                    <w:rPr>
                      <w:rFonts w:hint="eastAsia" w:ascii="Times New Roman" w:hAnsi="Times New Roman" w:cs="Times New Roman"/>
                      <w:bCs/>
                      <w:color w:val="auto"/>
                      <w:spacing w:val="-10"/>
                      <w:sz w:val="18"/>
                      <w:szCs w:val="18"/>
                      <w:lang w:eastAsia="zh-CN"/>
                    </w:rPr>
                    <w:t>液体物料暂存区</w:t>
                  </w:r>
                  <w:r>
                    <w:rPr>
                      <w:rFonts w:hint="default" w:ascii="Times New Roman" w:hAnsi="Times New Roman" w:eastAsia="宋体" w:cs="Times New Roman"/>
                      <w:bCs/>
                      <w:color w:val="auto"/>
                      <w:spacing w:val="-10"/>
                      <w:sz w:val="18"/>
                      <w:szCs w:val="18"/>
                      <w:lang w:eastAsia="zh-CN"/>
                    </w:rPr>
                    <w:t>和</w:t>
                  </w:r>
                  <w:r>
                    <w:rPr>
                      <w:rFonts w:hint="eastAsia" w:ascii="Times New Roman" w:hAnsi="Times New Roman" w:cs="Times New Roman"/>
                      <w:bCs/>
                      <w:color w:val="auto"/>
                      <w:spacing w:val="-10"/>
                      <w:sz w:val="18"/>
                      <w:szCs w:val="18"/>
                      <w:lang w:eastAsia="zh-CN"/>
                    </w:rPr>
                    <w:t>危险废物贮存库</w:t>
                  </w:r>
                  <w:r>
                    <w:rPr>
                      <w:rFonts w:hint="default" w:ascii="Times New Roman" w:hAnsi="Times New Roman" w:eastAsia="宋体" w:cs="Times New Roman"/>
                      <w:bCs/>
                      <w:color w:val="auto"/>
                      <w:spacing w:val="-10"/>
                      <w:sz w:val="18"/>
                      <w:szCs w:val="18"/>
                      <w:lang w:eastAsia="zh-CN"/>
                    </w:rPr>
                    <w:t>存放液体物料的场所底部均设置</w:t>
                  </w:r>
                  <w:r>
                    <w:rPr>
                      <w:rFonts w:hint="default" w:ascii="Times New Roman" w:hAnsi="Times New Roman" w:eastAsia="宋体" w:cs="Times New Roman"/>
                      <w:bCs/>
                      <w:color w:val="auto"/>
                      <w:spacing w:val="-10"/>
                      <w:sz w:val="18"/>
                      <w:szCs w:val="18"/>
                      <w:highlight w:val="none"/>
                      <w:lang w:eastAsia="zh-CN"/>
                    </w:rPr>
                    <w:t>托盘</w:t>
                  </w:r>
                  <w:r>
                    <w:rPr>
                      <w:rFonts w:hint="default" w:ascii="Times New Roman" w:hAnsi="Times New Roman" w:eastAsia="宋体" w:cs="Times New Roman"/>
                      <w:bCs/>
                      <w:color w:val="auto"/>
                      <w:spacing w:val="-10"/>
                      <w:sz w:val="18"/>
                      <w:szCs w:val="18"/>
                      <w:lang w:eastAsia="zh-CN"/>
                    </w:rPr>
                    <w:t>，且</w:t>
                  </w:r>
                  <w:r>
                    <w:rPr>
                      <w:rFonts w:hint="eastAsia" w:ascii="Times New Roman" w:hAnsi="Times New Roman" w:cs="Times New Roman"/>
                      <w:bCs/>
                      <w:color w:val="auto"/>
                      <w:spacing w:val="-10"/>
                      <w:sz w:val="18"/>
                      <w:szCs w:val="18"/>
                      <w:lang w:eastAsia="zh-CN"/>
                    </w:rPr>
                    <w:t>液体物料暂存区</w:t>
                  </w:r>
                  <w:r>
                    <w:rPr>
                      <w:rFonts w:hint="default" w:ascii="Times New Roman" w:hAnsi="Times New Roman" w:eastAsia="宋体" w:cs="Times New Roman"/>
                      <w:bCs/>
                      <w:color w:val="auto"/>
                      <w:spacing w:val="-10"/>
                      <w:sz w:val="18"/>
                      <w:szCs w:val="18"/>
                      <w:lang w:eastAsia="zh-CN"/>
                    </w:rPr>
                    <w:t>地面硬化处理，</w:t>
                  </w:r>
                  <w:r>
                    <w:rPr>
                      <w:rFonts w:hint="eastAsia" w:ascii="Times New Roman" w:hAnsi="Times New Roman" w:cs="Times New Roman"/>
                      <w:bCs/>
                      <w:color w:val="auto"/>
                      <w:spacing w:val="-10"/>
                      <w:sz w:val="18"/>
                      <w:szCs w:val="18"/>
                      <w:lang w:eastAsia="zh-CN"/>
                    </w:rPr>
                    <w:t>危险废物贮存库</w:t>
                  </w:r>
                  <w:r>
                    <w:rPr>
                      <w:rFonts w:hint="default" w:ascii="Times New Roman" w:hAnsi="Times New Roman" w:eastAsia="宋体" w:cs="Times New Roman"/>
                      <w:bCs/>
                      <w:color w:val="auto"/>
                      <w:spacing w:val="-10"/>
                      <w:sz w:val="18"/>
                      <w:szCs w:val="18"/>
                      <w:lang w:eastAsia="zh-CN"/>
                    </w:rPr>
                    <w:t>地面涂刷环氧树脂进行地面防渗处理，一旦液体物料发生泄漏可及时发现，并用沙子毛巾等进行吸附。</w:t>
                  </w:r>
                </w:p>
              </w:tc>
              <w:tc>
                <w:tcPr>
                  <w:tcW w:w="841" w:type="pct"/>
                  <w:vMerge w:val="restart"/>
                  <w:noWrap w:val="0"/>
                  <w:vAlign w:val="center"/>
                </w:tcPr>
                <w:p w14:paraId="1E13BE55">
                  <w:pPr>
                    <w:adjustRightInd w:val="0"/>
                    <w:snapToGrid w:val="0"/>
                    <w:jc w:val="center"/>
                    <w:rPr>
                      <w:rFonts w:hint="default" w:ascii="Times New Roman" w:hAnsi="Times New Roman" w:cs="Times New Roman"/>
                      <w:bCs/>
                      <w:color w:val="auto"/>
                      <w:spacing w:val="-10"/>
                      <w:sz w:val="18"/>
                      <w:szCs w:val="18"/>
                    </w:rPr>
                  </w:pPr>
                  <w:r>
                    <w:rPr>
                      <w:rFonts w:hint="default" w:ascii="Times New Roman" w:hAnsi="Times New Roman" w:cs="Times New Roman"/>
                      <w:bCs/>
                      <w:color w:val="auto"/>
                      <w:spacing w:val="-10"/>
                      <w:sz w:val="18"/>
                      <w:szCs w:val="18"/>
                    </w:rPr>
                    <w:t>无污染途径</w:t>
                  </w:r>
                </w:p>
              </w:tc>
            </w:tr>
            <w:tr w14:paraId="5FD0D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9" w:hRule="atLeast"/>
              </w:trPr>
              <w:tc>
                <w:tcPr>
                  <w:tcW w:w="984" w:type="pct"/>
                  <w:noWrap w:val="0"/>
                  <w:vAlign w:val="center"/>
                </w:tcPr>
                <w:p w14:paraId="13E6695B">
                  <w:pPr>
                    <w:adjustRightInd w:val="0"/>
                    <w:snapToGrid w:val="0"/>
                    <w:jc w:val="center"/>
                    <w:rPr>
                      <w:rFonts w:hint="default" w:ascii="Times New Roman" w:hAnsi="Times New Roman" w:eastAsia="宋体" w:cs="Times New Roman"/>
                      <w:bCs/>
                      <w:color w:val="auto"/>
                      <w:spacing w:val="-10"/>
                      <w:sz w:val="18"/>
                      <w:szCs w:val="18"/>
                      <w:lang w:eastAsia="zh-CN"/>
                    </w:rPr>
                  </w:pPr>
                  <w:r>
                    <w:rPr>
                      <w:rFonts w:hint="eastAsia" w:ascii="Times New Roman" w:hAnsi="Times New Roman" w:cs="Times New Roman"/>
                      <w:bCs/>
                      <w:color w:val="auto"/>
                      <w:spacing w:val="-10"/>
                      <w:sz w:val="18"/>
                      <w:szCs w:val="18"/>
                      <w:lang w:eastAsia="zh-CN"/>
                    </w:rPr>
                    <w:t>危险废物贮存库</w:t>
                  </w:r>
                </w:p>
              </w:tc>
              <w:tc>
                <w:tcPr>
                  <w:tcW w:w="1453" w:type="pct"/>
                  <w:noWrap w:val="0"/>
                  <w:vAlign w:val="center"/>
                </w:tcPr>
                <w:p w14:paraId="77849EA2">
                  <w:pPr>
                    <w:adjustRightInd w:val="0"/>
                    <w:snapToGrid w:val="0"/>
                    <w:jc w:val="center"/>
                    <w:rPr>
                      <w:rFonts w:hint="default" w:ascii="Times New Roman" w:hAnsi="Times New Roman" w:eastAsia="宋体" w:cs="Times New Roman"/>
                      <w:bCs/>
                      <w:color w:val="auto"/>
                      <w:spacing w:val="-10"/>
                      <w:sz w:val="18"/>
                      <w:szCs w:val="18"/>
                      <w:lang w:val="en-US" w:eastAsia="zh-CN"/>
                    </w:rPr>
                  </w:pPr>
                  <w:r>
                    <w:rPr>
                      <w:rFonts w:hint="default" w:ascii="Times New Roman" w:hAnsi="Times New Roman" w:cs="Times New Roman"/>
                      <w:bCs/>
                      <w:color w:val="auto"/>
                      <w:spacing w:val="-10"/>
                      <w:sz w:val="18"/>
                      <w:szCs w:val="18"/>
                    </w:rPr>
                    <w:t>废液压油、废润滑</w:t>
                  </w:r>
                  <w:r>
                    <w:rPr>
                      <w:rFonts w:hint="default" w:ascii="Times New Roman" w:hAnsi="Times New Roman" w:cs="Times New Roman"/>
                      <w:bCs/>
                      <w:color w:val="auto"/>
                      <w:spacing w:val="-10"/>
                      <w:sz w:val="18"/>
                      <w:szCs w:val="18"/>
                      <w:lang w:val="en-US" w:eastAsia="zh-CN"/>
                    </w:rPr>
                    <w:t>油、</w:t>
                  </w:r>
                  <w:r>
                    <w:rPr>
                      <w:rFonts w:hint="default" w:ascii="Times New Roman" w:hAnsi="Times New Roman" w:cs="Times New Roman"/>
                      <w:bCs/>
                      <w:color w:val="auto"/>
                      <w:spacing w:val="-10"/>
                      <w:sz w:val="18"/>
                      <w:szCs w:val="18"/>
                    </w:rPr>
                    <w:t>废</w:t>
                  </w:r>
                  <w:r>
                    <w:rPr>
                      <w:rFonts w:hint="default" w:ascii="Times New Roman" w:hAnsi="Times New Roman" w:cs="Times New Roman"/>
                      <w:bCs/>
                      <w:color w:val="auto"/>
                      <w:spacing w:val="-10"/>
                      <w:sz w:val="18"/>
                      <w:szCs w:val="18"/>
                      <w:lang w:val="en-US" w:eastAsia="zh-CN"/>
                    </w:rPr>
                    <w:t>空压机油等、空压机含油冷凝液</w:t>
                  </w:r>
                </w:p>
              </w:tc>
              <w:tc>
                <w:tcPr>
                  <w:tcW w:w="1720" w:type="pct"/>
                  <w:vMerge w:val="continue"/>
                  <w:noWrap w:val="0"/>
                  <w:vAlign w:val="center"/>
                </w:tcPr>
                <w:p w14:paraId="01CB9E5A">
                  <w:pPr>
                    <w:adjustRightInd w:val="0"/>
                    <w:snapToGrid w:val="0"/>
                    <w:jc w:val="center"/>
                    <w:rPr>
                      <w:rFonts w:hint="default" w:ascii="Times New Roman" w:hAnsi="Times New Roman" w:cs="Times New Roman"/>
                      <w:bCs/>
                      <w:color w:val="auto"/>
                      <w:spacing w:val="-10"/>
                      <w:sz w:val="18"/>
                      <w:szCs w:val="18"/>
                    </w:rPr>
                  </w:pPr>
                </w:p>
              </w:tc>
              <w:tc>
                <w:tcPr>
                  <w:tcW w:w="841" w:type="pct"/>
                  <w:vMerge w:val="continue"/>
                  <w:noWrap w:val="0"/>
                  <w:vAlign w:val="center"/>
                </w:tcPr>
                <w:p w14:paraId="3C404788">
                  <w:pPr>
                    <w:adjustRightInd w:val="0"/>
                    <w:snapToGrid w:val="0"/>
                    <w:jc w:val="center"/>
                    <w:rPr>
                      <w:rFonts w:hint="default" w:ascii="Times New Roman" w:hAnsi="Times New Roman" w:cs="Times New Roman"/>
                      <w:bCs/>
                      <w:color w:val="auto"/>
                      <w:spacing w:val="-10"/>
                      <w:sz w:val="18"/>
                      <w:szCs w:val="18"/>
                    </w:rPr>
                  </w:pPr>
                </w:p>
              </w:tc>
            </w:tr>
          </w:tbl>
          <w:p w14:paraId="59CAC972">
            <w:pPr>
              <w:adjustRightInd w:val="0"/>
              <w:snapToGrid w:val="0"/>
              <w:spacing w:line="360" w:lineRule="auto"/>
              <w:ind w:firstLine="382" w:firstLineChars="200"/>
              <w:rPr>
                <w:rFonts w:hint="default" w:ascii="Times New Roman" w:hAnsi="Times New Roman" w:cs="Times New Roman"/>
                <w:b/>
                <w:bCs/>
                <w:color w:val="auto"/>
                <w:spacing w:val="-10"/>
                <w:szCs w:val="21"/>
              </w:rPr>
            </w:pPr>
            <w:r>
              <w:rPr>
                <w:rFonts w:hint="default" w:ascii="Times New Roman" w:hAnsi="Times New Roman" w:cs="Times New Roman"/>
                <w:b/>
                <w:bCs/>
                <w:color w:val="auto"/>
                <w:spacing w:val="-10"/>
                <w:szCs w:val="21"/>
              </w:rPr>
              <w:t>（2）防控措施</w:t>
            </w:r>
          </w:p>
          <w:p w14:paraId="13DDE5D5">
            <w:pPr>
              <w:adjustRightInd w:val="0"/>
              <w:snapToGrid w:val="0"/>
              <w:spacing w:line="360" w:lineRule="auto"/>
              <w:ind w:firstLine="420" w:firstLineChars="200"/>
              <w:rPr>
                <w:rFonts w:hint="default" w:ascii="Times New Roman" w:hAnsi="Times New Roman" w:eastAsia="宋体" w:cs="Times New Roman"/>
                <w:b/>
                <w:bCs/>
                <w:color w:val="auto"/>
                <w:spacing w:val="-10"/>
                <w:szCs w:val="21"/>
              </w:rPr>
            </w:pPr>
            <w:r>
              <w:rPr>
                <w:rFonts w:hint="default" w:ascii="Times New Roman" w:hAnsi="Times New Roman" w:eastAsia="宋体" w:cs="Times New Roman"/>
                <w:color w:val="auto"/>
                <w:szCs w:val="21"/>
              </w:rPr>
              <w:t>本项目地下水及土壤污染防治措施按照“源头控制、分区防治、污染监控、应急响应”相结合的原则，从污染物的产生、入渗、扩散、应急响应全方位进行控制。</w:t>
            </w:r>
          </w:p>
          <w:p w14:paraId="7069A90F">
            <w:pPr>
              <w:adjustRightInd w:val="0"/>
              <w:snapToGrid w:val="0"/>
              <w:spacing w:line="360" w:lineRule="auto"/>
              <w:ind w:firstLine="420" w:firstLineChars="200"/>
              <w:rPr>
                <w:rFonts w:hint="default" w:ascii="Times New Roman" w:hAnsi="Times New Roman" w:eastAsia="宋体" w:cs="Times New Roman"/>
                <w:b/>
                <w:bCs/>
                <w:color w:val="auto"/>
                <w:spacing w:val="-10"/>
                <w:szCs w:val="21"/>
              </w:rPr>
            </w:pPr>
            <w:r>
              <w:rPr>
                <w:rFonts w:hint="default" w:ascii="Times New Roman" w:hAnsi="Times New Roman" w:eastAsia="宋体" w:cs="Times New Roman"/>
                <w:color w:val="auto"/>
                <w:szCs w:val="21"/>
              </w:rPr>
              <w:t>①源头控制措施</w:t>
            </w:r>
          </w:p>
          <w:p w14:paraId="11A039D3">
            <w:pPr>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I</w:t>
            </w:r>
            <w:r>
              <w:rPr>
                <w:rFonts w:hint="default" w:ascii="Times New Roman" w:hAnsi="Times New Roman" w:eastAsia="宋体" w:cs="Times New Roman"/>
                <w:color w:val="auto"/>
                <w:szCs w:val="21"/>
                <w:lang w:eastAsia="zh-CN"/>
              </w:rPr>
              <w:t>.原材料</w:t>
            </w:r>
            <w:r>
              <w:rPr>
                <w:rFonts w:hint="default" w:ascii="Times New Roman" w:hAnsi="Times New Roman" w:eastAsia="宋体" w:cs="Times New Roman"/>
                <w:color w:val="auto"/>
                <w:szCs w:val="21"/>
              </w:rPr>
              <w:t>库房</w:t>
            </w:r>
            <w:r>
              <w:rPr>
                <w:rFonts w:hint="default" w:ascii="Times New Roman" w:hAnsi="Times New Roman" w:eastAsia="宋体" w:cs="Times New Roman"/>
                <w:color w:val="auto"/>
                <w:szCs w:val="21"/>
                <w:lang w:eastAsia="zh-CN"/>
              </w:rPr>
              <w:t>的</w:t>
            </w:r>
            <w:r>
              <w:rPr>
                <w:rFonts w:hint="eastAsia" w:ascii="Times New Roman" w:hAnsi="Times New Roman" w:cs="Times New Roman"/>
                <w:color w:val="auto"/>
                <w:szCs w:val="21"/>
                <w:lang w:eastAsia="zh-CN"/>
              </w:rPr>
              <w:t>液体物料暂存区</w:t>
            </w:r>
            <w:r>
              <w:rPr>
                <w:rFonts w:hint="default" w:ascii="Times New Roman" w:hAnsi="Times New Roman" w:eastAsia="宋体" w:cs="Times New Roman"/>
                <w:color w:val="auto"/>
                <w:szCs w:val="21"/>
              </w:rPr>
              <w:t>以及</w:t>
            </w:r>
            <w:r>
              <w:rPr>
                <w:rFonts w:hint="eastAsia" w:ascii="Times New Roman" w:hAnsi="Times New Roman" w:cs="Times New Roman"/>
                <w:color w:val="auto"/>
                <w:szCs w:val="21"/>
                <w:lang w:eastAsia="zh-CN"/>
              </w:rPr>
              <w:t>危险废物贮存库</w:t>
            </w:r>
            <w:r>
              <w:rPr>
                <w:rFonts w:hint="default" w:ascii="Times New Roman" w:hAnsi="Times New Roman" w:eastAsia="宋体" w:cs="Times New Roman"/>
                <w:color w:val="auto"/>
                <w:szCs w:val="21"/>
                <w:lang w:eastAsia="zh-CN"/>
              </w:rPr>
              <w:t>存放液体物料的区域</w:t>
            </w:r>
            <w:r>
              <w:rPr>
                <w:rFonts w:hint="default" w:ascii="Times New Roman" w:hAnsi="Times New Roman" w:eastAsia="宋体" w:cs="Times New Roman"/>
                <w:color w:val="auto"/>
                <w:szCs w:val="21"/>
              </w:rPr>
              <w:t>按照《危险废物贮存污染控制标准》</w:t>
            </w:r>
            <w:r>
              <w:rPr>
                <w:rFonts w:hint="default" w:ascii="Times New Roman" w:hAnsi="Times New Roman" w:eastAsia="宋体" w:cs="Times New Roman"/>
                <w:b w:val="0"/>
                <w:bCs w:val="0"/>
                <w:color w:val="auto"/>
                <w:sz w:val="21"/>
                <w:szCs w:val="21"/>
              </w:rPr>
              <w:t>（GB18597-2023）</w:t>
            </w:r>
            <w:r>
              <w:rPr>
                <w:rFonts w:hint="default" w:ascii="Times New Roman" w:hAnsi="Times New Roman" w:eastAsia="宋体" w:cs="Times New Roman"/>
                <w:color w:val="auto"/>
                <w:szCs w:val="21"/>
              </w:rPr>
              <w:t>的要求，地面采用坚固、防渗、耐腐蚀的钢筋混凝土材料铺设，同时设置</w:t>
            </w:r>
            <w:r>
              <w:rPr>
                <w:rFonts w:hint="default" w:ascii="Times New Roman" w:hAnsi="Times New Roman" w:eastAsia="宋体" w:cs="Times New Roman"/>
                <w:color w:val="auto"/>
                <w:szCs w:val="21"/>
                <w:highlight w:val="none"/>
              </w:rPr>
              <w:t>托盘</w:t>
            </w:r>
            <w:r>
              <w:rPr>
                <w:rFonts w:hint="default" w:ascii="Times New Roman" w:hAnsi="Times New Roman" w:eastAsia="宋体" w:cs="Times New Roman"/>
                <w:color w:val="auto"/>
                <w:szCs w:val="21"/>
              </w:rPr>
              <w:t>或围堰。</w:t>
            </w:r>
          </w:p>
          <w:p w14:paraId="7640A5B7">
            <w:pPr>
              <w:adjustRightInd w:val="0"/>
              <w:snapToGrid w:val="0"/>
              <w:spacing w:line="360" w:lineRule="auto"/>
              <w:ind w:firstLine="420" w:firstLineChars="200"/>
              <w:rPr>
                <w:rFonts w:hint="default" w:ascii="Times New Roman" w:hAnsi="Times New Roman" w:eastAsia="宋体" w:cs="Times New Roman"/>
                <w:b/>
                <w:bCs/>
                <w:color w:val="auto"/>
                <w:spacing w:val="-10"/>
                <w:szCs w:val="21"/>
              </w:rPr>
            </w:pPr>
            <w:r>
              <w:rPr>
                <w:rFonts w:hint="default" w:ascii="Times New Roman" w:hAnsi="Times New Roman" w:eastAsia="宋体" w:cs="Times New Roman"/>
                <w:color w:val="auto"/>
                <w:szCs w:val="21"/>
                <w:highlight w:val="none"/>
                <w:lang w:val="en-US" w:eastAsia="zh-CN"/>
              </w:rPr>
              <w:t>II.</w:t>
            </w:r>
            <w:r>
              <w:rPr>
                <w:rFonts w:hint="default" w:ascii="Times New Roman" w:hAnsi="Times New Roman" w:eastAsia="宋体" w:cs="Times New Roman"/>
                <w:color w:val="auto"/>
                <w:szCs w:val="21"/>
              </w:rPr>
              <w:t>工作人员应加强场地的检修、加固，防止渗漏，对地下水造成污染。</w:t>
            </w:r>
          </w:p>
          <w:p w14:paraId="59C20899">
            <w:pPr>
              <w:adjustRightInd w:val="0"/>
              <w:snapToGrid w:val="0"/>
              <w:spacing w:line="360" w:lineRule="auto"/>
              <w:ind w:firstLine="420" w:firstLineChars="200"/>
              <w:rPr>
                <w:rFonts w:hint="default" w:ascii="Times New Roman" w:hAnsi="Times New Roman" w:eastAsia="宋体" w:cs="Times New Roman"/>
                <w:b/>
                <w:bCs/>
                <w:color w:val="auto"/>
                <w:spacing w:val="-10"/>
                <w:szCs w:val="21"/>
              </w:rPr>
            </w:pPr>
            <w:r>
              <w:rPr>
                <w:rFonts w:hint="default" w:ascii="Times New Roman" w:hAnsi="Times New Roman" w:eastAsia="宋体" w:cs="Times New Roman"/>
                <w:color w:val="auto"/>
                <w:szCs w:val="21"/>
              </w:rPr>
              <w:t>②防渗分区防治及措施</w:t>
            </w:r>
          </w:p>
          <w:p w14:paraId="60D6ECAB">
            <w:pPr>
              <w:adjustRightInd w:val="0"/>
              <w:snapToGrid w:val="0"/>
              <w:spacing w:line="360" w:lineRule="auto"/>
              <w:ind w:firstLine="420" w:firstLineChars="200"/>
              <w:rPr>
                <w:rFonts w:hint="default" w:ascii="Times New Roman" w:hAnsi="Times New Roman" w:eastAsia="宋体" w:cs="Times New Roman"/>
                <w:b/>
                <w:bCs/>
                <w:color w:val="auto"/>
                <w:spacing w:val="-10"/>
                <w:sz w:val="21"/>
                <w:szCs w:val="21"/>
              </w:rPr>
            </w:pPr>
            <w:r>
              <w:rPr>
                <w:rFonts w:hint="default" w:ascii="Times New Roman" w:hAnsi="Times New Roman" w:eastAsia="宋体" w:cs="Times New Roman"/>
                <w:color w:val="auto"/>
                <w:sz w:val="21"/>
                <w:szCs w:val="21"/>
              </w:rPr>
              <w:t>根据防渗分区技术方法及本项目的工程分析，将</w:t>
            </w:r>
            <w:r>
              <w:rPr>
                <w:rFonts w:hint="eastAsia" w:ascii="Times New Roman" w:hAnsi="Times New Roman" w:cs="Times New Roman"/>
                <w:color w:val="auto"/>
                <w:sz w:val="21"/>
                <w:szCs w:val="21"/>
                <w:lang w:eastAsia="zh-CN"/>
              </w:rPr>
              <w:t>危险废物贮存库</w:t>
            </w:r>
            <w:r>
              <w:rPr>
                <w:rFonts w:hint="default" w:ascii="Times New Roman" w:hAnsi="Times New Roman" w:eastAsia="宋体" w:cs="Times New Roman"/>
                <w:color w:val="auto"/>
                <w:sz w:val="21"/>
                <w:szCs w:val="21"/>
                <w:lang w:eastAsia="zh-CN"/>
              </w:rPr>
              <w:t>和原材料库房的</w:t>
            </w:r>
            <w:r>
              <w:rPr>
                <w:rFonts w:hint="eastAsia" w:ascii="Times New Roman" w:hAnsi="Times New Roman" w:cs="Times New Roman"/>
                <w:color w:val="auto"/>
                <w:sz w:val="21"/>
                <w:szCs w:val="21"/>
                <w:lang w:eastAsia="zh-CN"/>
              </w:rPr>
              <w:t>液体物料暂存区</w:t>
            </w:r>
            <w:r>
              <w:rPr>
                <w:rFonts w:hint="default" w:ascii="Times New Roman" w:hAnsi="Times New Roman" w:eastAsia="宋体" w:cs="Times New Roman"/>
                <w:color w:val="auto"/>
                <w:sz w:val="21"/>
                <w:szCs w:val="21"/>
              </w:rPr>
              <w:t>划分为重点防渗区；其他</w:t>
            </w:r>
            <w:r>
              <w:rPr>
                <w:rFonts w:hint="default" w:ascii="Times New Roman" w:hAnsi="Times New Roman" w:eastAsia="宋体" w:cs="Times New Roman"/>
                <w:color w:val="auto"/>
                <w:sz w:val="21"/>
                <w:szCs w:val="21"/>
                <w:lang w:eastAsia="zh-CN"/>
              </w:rPr>
              <w:t>区域</w:t>
            </w:r>
            <w:r>
              <w:rPr>
                <w:rFonts w:hint="default" w:ascii="Times New Roman" w:hAnsi="Times New Roman" w:eastAsia="宋体" w:cs="Times New Roman"/>
                <w:color w:val="auto"/>
                <w:sz w:val="21"/>
                <w:szCs w:val="21"/>
              </w:rPr>
              <w:t>划分为一般防渗区。</w:t>
            </w:r>
          </w:p>
          <w:p w14:paraId="5D5AFCC9">
            <w:pPr>
              <w:adjustRightInd w:val="0"/>
              <w:snapToGrid w:val="0"/>
              <w:spacing w:line="360" w:lineRule="auto"/>
              <w:ind w:firstLine="420" w:firstLineChars="200"/>
              <w:rPr>
                <w:rFonts w:hint="default" w:ascii="Times New Roman" w:hAnsi="Times New Roman" w:eastAsia="宋体" w:cs="Times New Roman"/>
                <w:b/>
                <w:bCs/>
                <w:color w:val="auto"/>
                <w:spacing w:val="-10"/>
                <w:sz w:val="21"/>
                <w:szCs w:val="21"/>
              </w:rPr>
            </w:pPr>
            <w:r>
              <w:rPr>
                <w:rFonts w:hint="default" w:ascii="Times New Roman" w:hAnsi="Times New Roman" w:eastAsia="宋体" w:cs="Times New Roman"/>
                <w:color w:val="auto"/>
                <w:sz w:val="21"/>
                <w:szCs w:val="21"/>
              </w:rPr>
              <w:t>I</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重点防渗区：按照《危险废物贮存污染控制标准》</w:t>
            </w:r>
            <w:r>
              <w:rPr>
                <w:rFonts w:hint="default" w:ascii="Times New Roman" w:hAnsi="Times New Roman" w:eastAsia="宋体" w:cs="Times New Roman"/>
                <w:b w:val="0"/>
                <w:bCs w:val="0"/>
                <w:color w:val="auto"/>
                <w:sz w:val="21"/>
                <w:szCs w:val="21"/>
              </w:rPr>
              <w:t>（GB18597-2023）</w:t>
            </w:r>
            <w:r>
              <w:rPr>
                <w:rFonts w:hint="default" w:ascii="Times New Roman" w:hAnsi="Times New Roman" w:eastAsia="宋体" w:cs="Times New Roman"/>
                <w:color w:val="auto"/>
                <w:sz w:val="21"/>
                <w:szCs w:val="21"/>
              </w:rPr>
              <w:t>的要求，地面采用坚固、防渗、耐腐蚀的钢筋混凝土材料铺设，地面按照《环境影响评价技术导则—地下水环境》（HJ610-2016）中等效黏土防渗层Mb≥6.0m，渗透系数K≤1.0×10</w:t>
            </w:r>
            <w:r>
              <w:rPr>
                <w:rFonts w:hint="default" w:ascii="Times New Roman" w:hAnsi="Times New Roman" w:eastAsia="宋体" w:cs="Times New Roman"/>
                <w:color w:val="auto"/>
                <w:sz w:val="21"/>
                <w:szCs w:val="21"/>
                <w:vertAlign w:val="superscript"/>
                <w:lang w:eastAsia="zh-CN"/>
              </w:rPr>
              <w:t>—</w:t>
            </w:r>
            <w:r>
              <w:rPr>
                <w:rFonts w:hint="default" w:ascii="Times New Roman" w:hAnsi="Times New Roman" w:eastAsia="宋体" w:cs="Times New Roman"/>
                <w:color w:val="auto"/>
                <w:sz w:val="21"/>
                <w:szCs w:val="21"/>
                <w:vertAlign w:val="superscript"/>
              </w:rPr>
              <w:t>7</w:t>
            </w:r>
            <w:r>
              <w:rPr>
                <w:rFonts w:hint="default" w:ascii="Times New Roman" w:hAnsi="Times New Roman" w:eastAsia="宋体" w:cs="Times New Roman"/>
                <w:color w:val="auto"/>
                <w:sz w:val="21"/>
                <w:szCs w:val="21"/>
              </w:rPr>
              <w:t>cm/s的要求。</w:t>
            </w:r>
          </w:p>
          <w:p w14:paraId="55549CA4">
            <w:pPr>
              <w:adjustRightInd w:val="0"/>
              <w:snapToGrid w:val="0"/>
              <w:spacing w:line="360" w:lineRule="auto"/>
              <w:ind w:firstLine="420" w:firstLineChars="200"/>
              <w:rPr>
                <w:rFonts w:hint="default" w:ascii="Times New Roman" w:hAnsi="Times New Roman" w:eastAsia="宋体" w:cs="Times New Roman"/>
                <w:b/>
                <w:bCs/>
                <w:color w:val="auto"/>
                <w:spacing w:val="-10"/>
                <w:sz w:val="21"/>
                <w:szCs w:val="21"/>
              </w:rPr>
            </w:pPr>
            <w:r>
              <w:rPr>
                <w:rFonts w:hint="default" w:ascii="Times New Roman" w:hAnsi="Times New Roman" w:eastAsia="宋体" w:cs="Times New Roman"/>
                <w:color w:val="auto"/>
                <w:sz w:val="21"/>
                <w:szCs w:val="21"/>
                <w:highlight w:val="none"/>
              </w:rPr>
              <w:t>II</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rPr>
              <w:t>一般防渗区：防渗层的防渗性能等效黏土防渗层Mb≥1.5m，渗透系数K≤1.0×10</w:t>
            </w:r>
            <w:r>
              <w:rPr>
                <w:rFonts w:hint="default" w:ascii="Times New Roman" w:hAnsi="Times New Roman" w:eastAsia="宋体" w:cs="Times New Roman"/>
                <w:color w:val="auto"/>
                <w:sz w:val="21"/>
                <w:szCs w:val="21"/>
                <w:vertAlign w:val="superscript"/>
                <w:lang w:eastAsia="zh-CN"/>
              </w:rPr>
              <w:t>—</w:t>
            </w:r>
            <w:r>
              <w:rPr>
                <w:rFonts w:hint="default" w:ascii="Times New Roman" w:hAnsi="Times New Roman" w:eastAsia="宋体" w:cs="Times New Roman"/>
                <w:color w:val="auto"/>
                <w:sz w:val="21"/>
                <w:szCs w:val="21"/>
                <w:vertAlign w:val="superscript"/>
              </w:rPr>
              <w:t>7</w:t>
            </w:r>
            <w:r>
              <w:rPr>
                <w:rFonts w:hint="default" w:ascii="Times New Roman" w:hAnsi="Times New Roman" w:eastAsia="宋体" w:cs="Times New Roman"/>
                <w:color w:val="auto"/>
                <w:sz w:val="21"/>
                <w:szCs w:val="21"/>
              </w:rPr>
              <w:t>cm/s</w:t>
            </w:r>
          </w:p>
          <w:p w14:paraId="4A30E0E9">
            <w:pPr>
              <w:adjustRightInd w:val="0"/>
              <w:snapToGrid w:val="0"/>
              <w:spacing w:line="360" w:lineRule="auto"/>
              <w:ind w:firstLine="420" w:firstLineChars="200"/>
              <w:rPr>
                <w:rFonts w:hint="default" w:ascii="Times New Roman" w:hAnsi="Times New Roman" w:eastAsia="宋体" w:cs="Times New Roman"/>
                <w:b/>
                <w:bCs/>
                <w:color w:val="auto"/>
                <w:spacing w:val="-10"/>
                <w:szCs w:val="21"/>
              </w:rPr>
            </w:pPr>
            <w:r>
              <w:rPr>
                <w:rFonts w:hint="default" w:ascii="Times New Roman" w:hAnsi="Times New Roman" w:eastAsia="宋体" w:cs="Times New Roman"/>
                <w:color w:val="auto"/>
                <w:szCs w:val="21"/>
              </w:rPr>
              <w:t>③风险事故应急响应</w:t>
            </w:r>
          </w:p>
          <w:p w14:paraId="0019F620">
            <w:pPr>
              <w:adjustRightInd w:val="0"/>
              <w:snapToGrid w:val="0"/>
              <w:spacing w:line="360" w:lineRule="auto"/>
              <w:ind w:firstLine="420" w:firstLineChars="200"/>
              <w:rPr>
                <w:rFonts w:hint="default" w:ascii="Times New Roman" w:hAnsi="Times New Roman" w:eastAsia="宋体" w:cs="Times New Roman"/>
                <w:b/>
                <w:bCs/>
                <w:color w:val="auto"/>
                <w:spacing w:val="-10"/>
                <w:szCs w:val="21"/>
              </w:rPr>
            </w:pPr>
            <w:r>
              <w:rPr>
                <w:rFonts w:hint="default" w:ascii="Times New Roman" w:hAnsi="Times New Roman" w:eastAsia="宋体" w:cs="Times New Roman"/>
                <w:color w:val="auto"/>
                <w:szCs w:val="21"/>
              </w:rPr>
              <w:t>发现渗漏时应立即停止运营，组织人员查明渗漏源头，采取补救措施。</w:t>
            </w:r>
          </w:p>
          <w:p w14:paraId="65569985">
            <w:pPr>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④跟踪监测</w:t>
            </w:r>
          </w:p>
          <w:p w14:paraId="3A19765F">
            <w:pPr>
              <w:adjustRightInd w:val="0"/>
              <w:snapToGrid w:val="0"/>
              <w:spacing w:line="360" w:lineRule="auto"/>
              <w:ind w:firstLine="420" w:firstLineChars="200"/>
              <w:rPr>
                <w:rFonts w:hint="default" w:ascii="Times New Roman" w:hAnsi="Times New Roman" w:eastAsia="宋体" w:cs="Times New Roman"/>
                <w:b/>
                <w:bCs/>
                <w:color w:val="auto"/>
                <w:spacing w:val="-10"/>
                <w:szCs w:val="21"/>
              </w:rPr>
            </w:pPr>
            <w:r>
              <w:rPr>
                <w:rFonts w:hint="default" w:ascii="Times New Roman" w:hAnsi="Times New Roman" w:eastAsia="宋体" w:cs="Times New Roman"/>
                <w:color w:val="auto"/>
                <w:szCs w:val="21"/>
              </w:rPr>
              <w:t>本项目不设置地下储罐，所有物料均储存于地面，一旦发生</w:t>
            </w:r>
            <w:r>
              <w:rPr>
                <w:rFonts w:hint="default" w:ascii="Times New Roman" w:hAnsi="Times New Roman" w:eastAsia="宋体" w:cs="Times New Roman"/>
                <w:color w:val="auto"/>
                <w:szCs w:val="21"/>
                <w:lang w:eastAsia="zh-CN"/>
              </w:rPr>
              <w:t>泄漏</w:t>
            </w:r>
            <w:r>
              <w:rPr>
                <w:rFonts w:hint="default" w:ascii="Times New Roman" w:hAnsi="Times New Roman" w:eastAsia="宋体" w:cs="Times New Roman"/>
                <w:color w:val="auto"/>
                <w:szCs w:val="21"/>
              </w:rPr>
              <w:t>可及时发现，可以保证对污染源进行监控。若确因项目生产对周边的地下水、土壤造成污染事故的，建设单位应积极查漏，并切断泄漏源，并采取相应的补救措施杜绝此类事故的发生和消除污染造成的影响，因此本项目可不设置跟踪监测点位。</w:t>
            </w:r>
          </w:p>
          <w:p w14:paraId="60F658C9">
            <w:pPr>
              <w:adjustRightInd w:val="0"/>
              <w:snapToGrid w:val="0"/>
              <w:spacing w:line="360" w:lineRule="auto"/>
              <w:ind w:firstLine="420" w:firstLineChars="200"/>
              <w:rPr>
                <w:rFonts w:hint="default" w:ascii="Times New Roman" w:hAnsi="Times New Roman" w:eastAsia="宋体" w:cs="Times New Roman"/>
                <w:b/>
                <w:bCs/>
                <w:color w:val="auto"/>
                <w:spacing w:val="-10"/>
                <w:szCs w:val="21"/>
              </w:rPr>
            </w:pPr>
            <w:r>
              <w:rPr>
                <w:rFonts w:hint="default" w:ascii="Times New Roman" w:hAnsi="Times New Roman" w:eastAsia="宋体" w:cs="Times New Roman"/>
                <w:color w:val="auto"/>
                <w:szCs w:val="21"/>
              </w:rPr>
              <w:t>综上，本项目对可能产生地下水及土壤影响的各项途径均进行有效预防，在确保各项防渗措施得到落实，并加强维护和厂区环境管理的前提下，可有效控制厂区内的液态污染物下渗现象，避免污染地下水及土壤，因此本项目不会对地下水及土壤环境产生明显影响。</w:t>
            </w:r>
          </w:p>
          <w:p w14:paraId="6CFC3B14">
            <w:pPr>
              <w:adjustRightInd w:val="0"/>
              <w:snapToGrid w:val="0"/>
              <w:spacing w:line="360" w:lineRule="auto"/>
              <w:rPr>
                <w:rFonts w:hint="default" w:ascii="Times New Roman" w:hAnsi="Times New Roman" w:cs="Times New Roman"/>
                <w:b/>
                <w:bCs/>
                <w:color w:val="auto"/>
                <w:spacing w:val="-10"/>
                <w:szCs w:val="21"/>
              </w:rPr>
            </w:pPr>
            <w:r>
              <w:rPr>
                <w:rFonts w:hint="default" w:ascii="Times New Roman" w:hAnsi="Times New Roman" w:cs="Times New Roman"/>
                <w:b/>
                <w:bCs/>
                <w:color w:val="auto"/>
                <w:spacing w:val="-10"/>
                <w:szCs w:val="21"/>
              </w:rPr>
              <w:t>4.11环境风险环境影响及保护措施</w:t>
            </w:r>
          </w:p>
          <w:p w14:paraId="540A0B4F">
            <w:pPr>
              <w:adjustRightInd w:val="0"/>
              <w:snapToGrid w:val="0"/>
              <w:spacing w:line="360" w:lineRule="auto"/>
              <w:ind w:firstLine="382" w:firstLineChars="200"/>
              <w:rPr>
                <w:rFonts w:hint="default" w:ascii="Times New Roman" w:hAnsi="Times New Roman" w:cs="Times New Roman"/>
                <w:b/>
                <w:bCs/>
                <w:color w:val="auto"/>
                <w:spacing w:val="-10"/>
                <w:szCs w:val="21"/>
              </w:rPr>
            </w:pPr>
            <w:r>
              <w:rPr>
                <w:rFonts w:hint="default" w:ascii="Times New Roman" w:hAnsi="Times New Roman" w:cs="Times New Roman"/>
                <w:b/>
                <w:bCs/>
                <w:color w:val="auto"/>
                <w:spacing w:val="-10"/>
                <w:szCs w:val="21"/>
              </w:rPr>
              <w:t>（1）风险源调查</w:t>
            </w:r>
          </w:p>
          <w:p w14:paraId="603985EB">
            <w:pPr>
              <w:adjustRightInd w:val="0"/>
              <w:snapToGrid w:val="0"/>
              <w:spacing w:line="360" w:lineRule="auto"/>
              <w:ind w:firstLine="380" w:firstLineChars="200"/>
              <w:rPr>
                <w:rFonts w:hint="default" w:ascii="Times New Roman" w:hAnsi="Times New Roman" w:cs="Times New Roman"/>
                <w:b/>
                <w:color w:val="auto"/>
                <w:szCs w:val="21"/>
              </w:rPr>
            </w:pPr>
            <w:r>
              <w:rPr>
                <w:rFonts w:hint="default" w:ascii="Times New Roman" w:hAnsi="Times New Roman" w:cs="Times New Roman"/>
                <w:bCs/>
                <w:color w:val="auto"/>
                <w:spacing w:val="-10"/>
                <w:szCs w:val="21"/>
              </w:rPr>
              <w:t>根据</w:t>
            </w:r>
            <w:r>
              <w:rPr>
                <w:rFonts w:hint="default" w:ascii="Times New Roman" w:hAnsi="Times New Roman" w:cs="Times New Roman"/>
                <w:color w:val="auto"/>
              </w:rPr>
              <w:t>《建设项目环境风险评价技术导则》（HJ169-2018）附录B可知</w:t>
            </w:r>
            <w:r>
              <w:rPr>
                <w:rFonts w:hint="default" w:ascii="Times New Roman" w:hAnsi="Times New Roman" w:cs="Times New Roman"/>
                <w:bCs/>
                <w:color w:val="auto"/>
                <w:spacing w:val="-10"/>
                <w:szCs w:val="21"/>
              </w:rPr>
              <w:t>，本项目环境风险物质主要</w:t>
            </w:r>
            <w:r>
              <w:rPr>
                <w:rFonts w:hint="default" w:ascii="Times New Roman" w:hAnsi="Times New Roman" w:eastAsia="宋体" w:cs="Times New Roman"/>
                <w:bCs/>
                <w:color w:val="auto"/>
                <w:spacing w:val="-10"/>
                <w:szCs w:val="21"/>
              </w:rPr>
              <w:t>为</w:t>
            </w:r>
            <w:r>
              <w:rPr>
                <w:rFonts w:hint="eastAsia" w:ascii="Times New Roman" w:hAnsi="Times New Roman" w:cs="Times New Roman"/>
                <w:bCs/>
                <w:color w:val="auto"/>
                <w:spacing w:val="-10"/>
                <w:szCs w:val="21"/>
                <w:lang w:val="en-US" w:eastAsia="zh-CN"/>
              </w:rPr>
              <w:t>润滑油、空压机油、液压油、废矿物油、空压机含油冷凝液</w:t>
            </w:r>
            <w:r>
              <w:rPr>
                <w:rFonts w:hint="default" w:ascii="Times New Roman" w:hAnsi="Times New Roman" w:cs="Times New Roman"/>
                <w:bCs/>
                <w:color w:val="auto"/>
                <w:spacing w:val="-10"/>
                <w:szCs w:val="21"/>
              </w:rPr>
              <w:t>，其中空压机油现买现用，不储存，其统计情况见下表。</w:t>
            </w:r>
          </w:p>
          <w:p w14:paraId="3A3FF29D">
            <w:pPr>
              <w:adjustRightInd w:val="0"/>
              <w:snapToGrid w:val="0"/>
              <w:jc w:val="center"/>
              <w:rPr>
                <w:rFonts w:hint="default" w:ascii="Times New Roman" w:hAnsi="Times New Roman" w:cs="Times New Roman"/>
                <w:b/>
                <w:bCs/>
                <w:color w:val="auto"/>
                <w:kern w:val="0"/>
                <w:szCs w:val="21"/>
              </w:rPr>
            </w:pPr>
            <w:r>
              <w:rPr>
                <w:rFonts w:hint="default" w:ascii="Times New Roman" w:hAnsi="Times New Roman" w:cs="Times New Roman"/>
                <w:b/>
                <w:color w:val="auto"/>
                <w:szCs w:val="21"/>
              </w:rPr>
              <w:t>表4-1</w:t>
            </w:r>
            <w:r>
              <w:rPr>
                <w:rFonts w:hint="eastAsia" w:ascii="Times New Roman" w:hAnsi="Times New Roman" w:cs="Times New Roman"/>
                <w:b/>
                <w:color w:val="auto"/>
                <w:szCs w:val="21"/>
                <w:lang w:val="en-US" w:eastAsia="zh-CN"/>
              </w:rPr>
              <w:t>7</w:t>
            </w:r>
            <w:r>
              <w:rPr>
                <w:rFonts w:hint="default" w:ascii="Times New Roman" w:hAnsi="Times New Roman" w:cs="Times New Roman"/>
                <w:b/>
                <w:color w:val="auto"/>
                <w:szCs w:val="21"/>
              </w:rPr>
              <w:t xml:space="preserve">  </w:t>
            </w:r>
            <w:r>
              <w:rPr>
                <w:rFonts w:hint="default" w:ascii="Times New Roman" w:hAnsi="Times New Roman" w:cs="Times New Roman"/>
                <w:b/>
                <w:bCs/>
                <w:color w:val="auto"/>
                <w:kern w:val="0"/>
                <w:szCs w:val="21"/>
              </w:rPr>
              <w:t>危险物质统计表</w:t>
            </w:r>
          </w:p>
          <w:tbl>
            <w:tblPr>
              <w:tblStyle w:val="30"/>
              <w:tblW w:w="4996"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31"/>
              <w:gridCol w:w="724"/>
              <w:gridCol w:w="694"/>
              <w:gridCol w:w="808"/>
              <w:gridCol w:w="578"/>
              <w:gridCol w:w="969"/>
              <w:gridCol w:w="714"/>
              <w:gridCol w:w="714"/>
              <w:gridCol w:w="613"/>
              <w:gridCol w:w="603"/>
              <w:gridCol w:w="762"/>
            </w:tblGrid>
            <w:tr w14:paraId="0D5384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blHeader/>
                <w:jc w:val="center"/>
              </w:trPr>
              <w:tc>
                <w:tcPr>
                  <w:tcW w:w="462" w:type="pct"/>
                  <w:vMerge w:val="restart"/>
                  <w:noWrap w:val="0"/>
                  <w:vAlign w:val="center"/>
                </w:tcPr>
                <w:p w14:paraId="67B8ACC8">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物质名称</w:t>
                  </w:r>
                </w:p>
              </w:tc>
              <w:tc>
                <w:tcPr>
                  <w:tcW w:w="457" w:type="pct"/>
                  <w:vMerge w:val="restart"/>
                  <w:noWrap w:val="0"/>
                  <w:vAlign w:val="center"/>
                </w:tcPr>
                <w:p w14:paraId="19973BF7">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CAS号</w:t>
                  </w:r>
                </w:p>
              </w:tc>
              <w:tc>
                <w:tcPr>
                  <w:tcW w:w="438" w:type="pct"/>
                  <w:vMerge w:val="restart"/>
                  <w:noWrap w:val="0"/>
                  <w:vAlign w:val="center"/>
                </w:tcPr>
                <w:p w14:paraId="39F65C61">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分子式</w:t>
                  </w:r>
                </w:p>
              </w:tc>
              <w:tc>
                <w:tcPr>
                  <w:tcW w:w="510" w:type="pct"/>
                  <w:vMerge w:val="restart"/>
                  <w:noWrap w:val="0"/>
                  <w:vAlign w:val="center"/>
                </w:tcPr>
                <w:p w14:paraId="7FDC75D8">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外观或性状</w:t>
                  </w:r>
                </w:p>
              </w:tc>
              <w:tc>
                <w:tcPr>
                  <w:tcW w:w="365" w:type="pct"/>
                  <w:vMerge w:val="restart"/>
                  <w:noWrap w:val="0"/>
                  <w:vAlign w:val="center"/>
                </w:tcPr>
                <w:p w14:paraId="64D6CD43">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闪点</w:t>
                  </w:r>
                </w:p>
                <w:p w14:paraId="6C65886C">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12" w:type="pct"/>
                  <w:vMerge w:val="restart"/>
                  <w:noWrap w:val="0"/>
                  <w:vAlign w:val="center"/>
                </w:tcPr>
                <w:p w14:paraId="06D39BB1">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沸点</w:t>
                  </w:r>
                </w:p>
                <w:p w14:paraId="666979EF">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451" w:type="pct"/>
                  <w:vMerge w:val="restart"/>
                  <w:noWrap w:val="0"/>
                  <w:vAlign w:val="center"/>
                </w:tcPr>
                <w:p w14:paraId="11525217">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熔点</w:t>
                  </w:r>
                </w:p>
                <w:p w14:paraId="1A5CC981">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451" w:type="pct"/>
                  <w:vMerge w:val="restart"/>
                  <w:noWrap w:val="0"/>
                  <w:vAlign w:val="center"/>
                </w:tcPr>
                <w:p w14:paraId="0913F0A2">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燃烧性</w:t>
                  </w:r>
                </w:p>
              </w:tc>
              <w:tc>
                <w:tcPr>
                  <w:tcW w:w="768" w:type="pct"/>
                  <w:gridSpan w:val="2"/>
                  <w:noWrap w:val="0"/>
                  <w:vAlign w:val="center"/>
                </w:tcPr>
                <w:p w14:paraId="40AFF821">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爆炸极限（V%）</w:t>
                  </w:r>
                </w:p>
              </w:tc>
              <w:tc>
                <w:tcPr>
                  <w:tcW w:w="481" w:type="pct"/>
                  <w:vMerge w:val="restart"/>
                  <w:noWrap w:val="0"/>
                  <w:vAlign w:val="center"/>
                </w:tcPr>
                <w:p w14:paraId="0C314CA9">
                  <w:pPr>
                    <w:adjustRightInd w:val="0"/>
                    <w:snapToGrid w:val="0"/>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kern w:val="2"/>
                      <w:sz w:val="18"/>
                      <w:szCs w:val="18"/>
                      <w:lang w:val="en-US" w:eastAsia="zh-CN" w:bidi="ar-SA"/>
                    </w:rPr>
                    <w:t>危险特性</w:t>
                  </w:r>
                </w:p>
              </w:tc>
            </w:tr>
            <w:tr w14:paraId="247081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blHeader/>
                <w:jc w:val="center"/>
              </w:trPr>
              <w:tc>
                <w:tcPr>
                  <w:tcW w:w="462" w:type="pct"/>
                  <w:vMerge w:val="continue"/>
                  <w:noWrap w:val="0"/>
                  <w:vAlign w:val="center"/>
                </w:tcPr>
                <w:p w14:paraId="233EFB3F">
                  <w:pPr>
                    <w:adjustRightInd w:val="0"/>
                    <w:snapToGrid w:val="0"/>
                    <w:jc w:val="center"/>
                    <w:rPr>
                      <w:rFonts w:hint="default" w:ascii="Times New Roman" w:hAnsi="Times New Roman" w:cs="Times New Roman"/>
                      <w:color w:val="auto"/>
                      <w:sz w:val="18"/>
                      <w:szCs w:val="18"/>
                    </w:rPr>
                  </w:pPr>
                </w:p>
              </w:tc>
              <w:tc>
                <w:tcPr>
                  <w:tcW w:w="457" w:type="pct"/>
                  <w:vMerge w:val="continue"/>
                  <w:noWrap w:val="0"/>
                  <w:vAlign w:val="center"/>
                </w:tcPr>
                <w:p w14:paraId="0ECDC419">
                  <w:pPr>
                    <w:adjustRightInd w:val="0"/>
                    <w:snapToGrid w:val="0"/>
                    <w:jc w:val="center"/>
                    <w:rPr>
                      <w:rFonts w:hint="default" w:ascii="Times New Roman" w:hAnsi="Times New Roman" w:cs="Times New Roman"/>
                      <w:color w:val="auto"/>
                      <w:sz w:val="18"/>
                      <w:szCs w:val="18"/>
                    </w:rPr>
                  </w:pPr>
                </w:p>
              </w:tc>
              <w:tc>
                <w:tcPr>
                  <w:tcW w:w="438" w:type="pct"/>
                  <w:vMerge w:val="continue"/>
                  <w:noWrap w:val="0"/>
                  <w:vAlign w:val="center"/>
                </w:tcPr>
                <w:p w14:paraId="03E6789D">
                  <w:pPr>
                    <w:adjustRightInd w:val="0"/>
                    <w:snapToGrid w:val="0"/>
                    <w:jc w:val="center"/>
                    <w:rPr>
                      <w:rFonts w:hint="default" w:ascii="Times New Roman" w:hAnsi="Times New Roman" w:cs="Times New Roman"/>
                      <w:color w:val="auto"/>
                      <w:sz w:val="18"/>
                      <w:szCs w:val="18"/>
                    </w:rPr>
                  </w:pPr>
                </w:p>
              </w:tc>
              <w:tc>
                <w:tcPr>
                  <w:tcW w:w="510" w:type="pct"/>
                  <w:vMerge w:val="continue"/>
                  <w:noWrap w:val="0"/>
                  <w:vAlign w:val="center"/>
                </w:tcPr>
                <w:p w14:paraId="4660CD94">
                  <w:pPr>
                    <w:adjustRightInd w:val="0"/>
                    <w:snapToGrid w:val="0"/>
                    <w:jc w:val="center"/>
                    <w:rPr>
                      <w:rFonts w:hint="default" w:ascii="Times New Roman" w:hAnsi="Times New Roman" w:cs="Times New Roman"/>
                      <w:color w:val="auto"/>
                      <w:sz w:val="18"/>
                      <w:szCs w:val="18"/>
                    </w:rPr>
                  </w:pPr>
                </w:p>
              </w:tc>
              <w:tc>
                <w:tcPr>
                  <w:tcW w:w="365" w:type="pct"/>
                  <w:vMerge w:val="continue"/>
                  <w:noWrap w:val="0"/>
                  <w:vAlign w:val="center"/>
                </w:tcPr>
                <w:p w14:paraId="58A4B428">
                  <w:pPr>
                    <w:adjustRightInd w:val="0"/>
                    <w:snapToGrid w:val="0"/>
                    <w:jc w:val="center"/>
                    <w:rPr>
                      <w:rFonts w:hint="default" w:ascii="Times New Roman" w:hAnsi="Times New Roman" w:cs="Times New Roman"/>
                      <w:color w:val="auto"/>
                      <w:sz w:val="18"/>
                      <w:szCs w:val="18"/>
                    </w:rPr>
                  </w:pPr>
                </w:p>
              </w:tc>
              <w:tc>
                <w:tcPr>
                  <w:tcW w:w="612" w:type="pct"/>
                  <w:vMerge w:val="continue"/>
                  <w:noWrap w:val="0"/>
                  <w:vAlign w:val="center"/>
                </w:tcPr>
                <w:p w14:paraId="49241354">
                  <w:pPr>
                    <w:adjustRightInd w:val="0"/>
                    <w:snapToGrid w:val="0"/>
                    <w:jc w:val="center"/>
                    <w:rPr>
                      <w:rFonts w:hint="default" w:ascii="Times New Roman" w:hAnsi="Times New Roman" w:cs="Times New Roman"/>
                      <w:color w:val="auto"/>
                      <w:sz w:val="18"/>
                      <w:szCs w:val="18"/>
                    </w:rPr>
                  </w:pPr>
                </w:p>
              </w:tc>
              <w:tc>
                <w:tcPr>
                  <w:tcW w:w="451" w:type="pct"/>
                  <w:vMerge w:val="continue"/>
                  <w:noWrap w:val="0"/>
                  <w:vAlign w:val="center"/>
                </w:tcPr>
                <w:p w14:paraId="3B617412">
                  <w:pPr>
                    <w:adjustRightInd w:val="0"/>
                    <w:snapToGrid w:val="0"/>
                    <w:jc w:val="center"/>
                    <w:rPr>
                      <w:rFonts w:hint="default" w:ascii="Times New Roman" w:hAnsi="Times New Roman" w:cs="Times New Roman"/>
                      <w:color w:val="auto"/>
                      <w:sz w:val="18"/>
                      <w:szCs w:val="18"/>
                    </w:rPr>
                  </w:pPr>
                </w:p>
              </w:tc>
              <w:tc>
                <w:tcPr>
                  <w:tcW w:w="451" w:type="pct"/>
                  <w:vMerge w:val="continue"/>
                  <w:noWrap w:val="0"/>
                  <w:vAlign w:val="center"/>
                </w:tcPr>
                <w:p w14:paraId="5D60D6D7">
                  <w:pPr>
                    <w:adjustRightInd w:val="0"/>
                    <w:snapToGrid w:val="0"/>
                    <w:jc w:val="center"/>
                    <w:rPr>
                      <w:rFonts w:hint="default" w:ascii="Times New Roman" w:hAnsi="Times New Roman" w:cs="Times New Roman"/>
                      <w:color w:val="auto"/>
                      <w:sz w:val="18"/>
                      <w:szCs w:val="18"/>
                    </w:rPr>
                  </w:pPr>
                </w:p>
              </w:tc>
              <w:tc>
                <w:tcPr>
                  <w:tcW w:w="387" w:type="pct"/>
                  <w:noWrap w:val="0"/>
                  <w:vAlign w:val="center"/>
                </w:tcPr>
                <w:p w14:paraId="500D5F3E">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下限</w:t>
                  </w:r>
                </w:p>
              </w:tc>
              <w:tc>
                <w:tcPr>
                  <w:tcW w:w="380" w:type="pct"/>
                  <w:noWrap w:val="0"/>
                  <w:vAlign w:val="center"/>
                </w:tcPr>
                <w:p w14:paraId="76BFDCBA">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上限</w:t>
                  </w:r>
                </w:p>
              </w:tc>
              <w:tc>
                <w:tcPr>
                  <w:tcW w:w="481" w:type="pct"/>
                  <w:vMerge w:val="continue"/>
                  <w:noWrap w:val="0"/>
                  <w:vAlign w:val="center"/>
                </w:tcPr>
                <w:p w14:paraId="5C868AEE">
                  <w:pPr>
                    <w:adjustRightInd w:val="0"/>
                    <w:snapToGrid w:val="0"/>
                    <w:jc w:val="center"/>
                    <w:rPr>
                      <w:rFonts w:hint="default" w:ascii="Times New Roman" w:hAnsi="Times New Roman" w:cs="Times New Roman"/>
                      <w:color w:val="auto"/>
                      <w:sz w:val="18"/>
                      <w:szCs w:val="18"/>
                    </w:rPr>
                  </w:pPr>
                </w:p>
              </w:tc>
            </w:tr>
            <w:tr w14:paraId="6B0F0B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blHeader/>
                <w:jc w:val="center"/>
              </w:trPr>
              <w:tc>
                <w:tcPr>
                  <w:tcW w:w="462" w:type="pct"/>
                  <w:noWrap w:val="0"/>
                  <w:vAlign w:val="center"/>
                </w:tcPr>
                <w:p w14:paraId="40DFF10F">
                  <w:pPr>
                    <w:widowControl/>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bCs/>
                      <w:color w:val="auto"/>
                      <w:sz w:val="18"/>
                      <w:szCs w:val="18"/>
                    </w:rPr>
                    <w:t>润滑油</w:t>
                  </w:r>
                </w:p>
              </w:tc>
              <w:tc>
                <w:tcPr>
                  <w:tcW w:w="457" w:type="pct"/>
                  <w:noWrap w:val="0"/>
                  <w:vAlign w:val="center"/>
                </w:tcPr>
                <w:p w14:paraId="23297ED3">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438" w:type="pct"/>
                  <w:noWrap w:val="0"/>
                  <w:vAlign w:val="center"/>
                </w:tcPr>
                <w:p w14:paraId="1279E7B3">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510" w:type="pct"/>
                  <w:noWrap w:val="0"/>
                  <w:vAlign w:val="center"/>
                </w:tcPr>
                <w:p w14:paraId="6F71303C">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bCs/>
                      <w:color w:val="auto"/>
                      <w:sz w:val="18"/>
                      <w:szCs w:val="18"/>
                    </w:rPr>
                    <w:t>液体</w:t>
                  </w:r>
                </w:p>
              </w:tc>
              <w:tc>
                <w:tcPr>
                  <w:tcW w:w="365" w:type="pct"/>
                  <w:noWrap w:val="0"/>
                  <w:vAlign w:val="center"/>
                </w:tcPr>
                <w:p w14:paraId="30854894">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230</w:t>
                  </w:r>
                </w:p>
              </w:tc>
              <w:tc>
                <w:tcPr>
                  <w:tcW w:w="612" w:type="pct"/>
                  <w:noWrap w:val="0"/>
                  <w:vAlign w:val="center"/>
                </w:tcPr>
                <w:p w14:paraId="4323F3E4">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850</w:t>
                  </w:r>
                </w:p>
              </w:tc>
              <w:tc>
                <w:tcPr>
                  <w:tcW w:w="451" w:type="pct"/>
                  <w:noWrap w:val="0"/>
                  <w:vAlign w:val="center"/>
                </w:tcPr>
                <w:p w14:paraId="431BAA70">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-130</w:t>
                  </w:r>
                </w:p>
              </w:tc>
              <w:tc>
                <w:tcPr>
                  <w:tcW w:w="451" w:type="pct"/>
                  <w:noWrap w:val="0"/>
                  <w:vAlign w:val="center"/>
                </w:tcPr>
                <w:p w14:paraId="4FA552C6">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387" w:type="pct"/>
                  <w:noWrap w:val="0"/>
                  <w:vAlign w:val="center"/>
                </w:tcPr>
                <w:p w14:paraId="769B9AC3">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380" w:type="pct"/>
                  <w:noWrap w:val="0"/>
                  <w:vAlign w:val="center"/>
                </w:tcPr>
                <w:p w14:paraId="09A1874F">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481" w:type="pct"/>
                  <w:noWrap w:val="0"/>
                  <w:vAlign w:val="center"/>
                </w:tcPr>
                <w:p w14:paraId="2A96E605">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易燃易爆</w:t>
                  </w:r>
                </w:p>
              </w:tc>
            </w:tr>
            <w:tr w14:paraId="5D8DC9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blHeader/>
                <w:jc w:val="center"/>
              </w:trPr>
              <w:tc>
                <w:tcPr>
                  <w:tcW w:w="462" w:type="pct"/>
                  <w:noWrap w:val="0"/>
                  <w:vAlign w:val="center"/>
                </w:tcPr>
                <w:p w14:paraId="399B9F53">
                  <w:pPr>
                    <w:widowControl/>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液压油</w:t>
                  </w:r>
                </w:p>
              </w:tc>
              <w:tc>
                <w:tcPr>
                  <w:tcW w:w="457" w:type="pct"/>
                  <w:noWrap w:val="0"/>
                  <w:vAlign w:val="center"/>
                </w:tcPr>
                <w:p w14:paraId="1E886286">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438" w:type="pct"/>
                  <w:noWrap w:val="0"/>
                  <w:vAlign w:val="center"/>
                </w:tcPr>
                <w:p w14:paraId="435C8144">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510" w:type="pct"/>
                  <w:noWrap w:val="0"/>
                  <w:vAlign w:val="center"/>
                </w:tcPr>
                <w:p w14:paraId="6BC13D44">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bCs/>
                      <w:color w:val="auto"/>
                      <w:sz w:val="18"/>
                      <w:szCs w:val="18"/>
                    </w:rPr>
                    <w:t>液体</w:t>
                  </w:r>
                </w:p>
              </w:tc>
              <w:tc>
                <w:tcPr>
                  <w:tcW w:w="365" w:type="pct"/>
                  <w:noWrap w:val="0"/>
                  <w:vAlign w:val="center"/>
                </w:tcPr>
                <w:p w14:paraId="0872DAB5">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76</w:t>
                  </w:r>
                </w:p>
              </w:tc>
              <w:tc>
                <w:tcPr>
                  <w:tcW w:w="612" w:type="pct"/>
                  <w:noWrap w:val="0"/>
                  <w:vAlign w:val="center"/>
                </w:tcPr>
                <w:p w14:paraId="0CA057D0">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760</w:t>
                  </w:r>
                </w:p>
              </w:tc>
              <w:tc>
                <w:tcPr>
                  <w:tcW w:w="451" w:type="pct"/>
                  <w:noWrap w:val="0"/>
                  <w:vAlign w:val="center"/>
                </w:tcPr>
                <w:p w14:paraId="56312453">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-253</w:t>
                  </w:r>
                </w:p>
              </w:tc>
              <w:tc>
                <w:tcPr>
                  <w:tcW w:w="451" w:type="pct"/>
                  <w:noWrap w:val="0"/>
                  <w:vAlign w:val="center"/>
                </w:tcPr>
                <w:p w14:paraId="0729A4E4">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387" w:type="pct"/>
                  <w:noWrap w:val="0"/>
                  <w:vAlign w:val="center"/>
                </w:tcPr>
                <w:p w14:paraId="66131C6E">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380" w:type="pct"/>
                  <w:noWrap w:val="0"/>
                  <w:vAlign w:val="center"/>
                </w:tcPr>
                <w:p w14:paraId="1ADD9C82">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481" w:type="pct"/>
                  <w:noWrap w:val="0"/>
                  <w:vAlign w:val="center"/>
                </w:tcPr>
                <w:p w14:paraId="120031A1">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易燃易爆</w:t>
                  </w:r>
                </w:p>
              </w:tc>
            </w:tr>
            <w:tr w14:paraId="2D8285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blHeader/>
                <w:jc w:val="center"/>
              </w:trPr>
              <w:tc>
                <w:tcPr>
                  <w:tcW w:w="462" w:type="pct"/>
                  <w:noWrap w:val="0"/>
                  <w:vAlign w:val="center"/>
                </w:tcPr>
                <w:p w14:paraId="6DB2AD88">
                  <w:pPr>
                    <w:widowControl/>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废矿物油</w:t>
                  </w:r>
                </w:p>
              </w:tc>
              <w:tc>
                <w:tcPr>
                  <w:tcW w:w="457" w:type="pct"/>
                  <w:noWrap w:val="0"/>
                  <w:vAlign w:val="center"/>
                </w:tcPr>
                <w:p w14:paraId="11586835">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438" w:type="pct"/>
                  <w:noWrap w:val="0"/>
                  <w:vAlign w:val="center"/>
                </w:tcPr>
                <w:p w14:paraId="38608FEE">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510" w:type="pct"/>
                  <w:noWrap w:val="0"/>
                  <w:vAlign w:val="center"/>
                </w:tcPr>
                <w:p w14:paraId="1C64BD3D">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365" w:type="pct"/>
                  <w:noWrap w:val="0"/>
                  <w:vAlign w:val="center"/>
                </w:tcPr>
                <w:p w14:paraId="0DBEAA8B">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612" w:type="pct"/>
                  <w:noWrap w:val="0"/>
                  <w:vAlign w:val="center"/>
                </w:tcPr>
                <w:p w14:paraId="165EFB27">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451" w:type="pct"/>
                  <w:noWrap w:val="0"/>
                  <w:vAlign w:val="center"/>
                </w:tcPr>
                <w:p w14:paraId="5AB30F14">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451" w:type="pct"/>
                  <w:noWrap w:val="0"/>
                  <w:vAlign w:val="center"/>
                </w:tcPr>
                <w:p w14:paraId="3875AE2B">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387" w:type="pct"/>
                  <w:noWrap w:val="0"/>
                  <w:vAlign w:val="center"/>
                </w:tcPr>
                <w:p w14:paraId="3EE7000D">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380" w:type="pct"/>
                  <w:noWrap w:val="0"/>
                  <w:vAlign w:val="center"/>
                </w:tcPr>
                <w:p w14:paraId="273AAD1A">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481" w:type="pct"/>
                  <w:noWrap w:val="0"/>
                  <w:vAlign w:val="center"/>
                </w:tcPr>
                <w:p w14:paraId="532D42C0">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lang w:val="en-US" w:eastAsia="zh-CN"/>
                    </w:rPr>
                    <w:t>易燃易爆</w:t>
                  </w:r>
                </w:p>
              </w:tc>
            </w:tr>
            <w:tr w14:paraId="5AE656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blHeader/>
                <w:jc w:val="center"/>
              </w:trPr>
              <w:tc>
                <w:tcPr>
                  <w:tcW w:w="462" w:type="pct"/>
                  <w:noWrap w:val="0"/>
                  <w:vAlign w:val="center"/>
                </w:tcPr>
                <w:p w14:paraId="31D832EB">
                  <w:pPr>
                    <w:widowControl/>
                    <w:snapToGrid w:val="0"/>
                    <w:jc w:val="center"/>
                    <w:rPr>
                      <w:rFonts w:hint="default" w:ascii="Times New Roman" w:hAnsi="Times New Roman"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空压机含油冷凝液</w:t>
                  </w:r>
                </w:p>
              </w:tc>
              <w:tc>
                <w:tcPr>
                  <w:tcW w:w="724" w:type="dxa"/>
                  <w:noWrap w:val="0"/>
                  <w:vAlign w:val="center"/>
                </w:tcPr>
                <w:p w14:paraId="3A05BDE6">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94" w:type="dxa"/>
                  <w:noWrap w:val="0"/>
                  <w:vAlign w:val="center"/>
                </w:tcPr>
                <w:p w14:paraId="1D365159">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808" w:type="dxa"/>
                  <w:noWrap w:val="0"/>
                  <w:vAlign w:val="center"/>
                </w:tcPr>
                <w:p w14:paraId="78AF8E4B">
                  <w:pPr>
                    <w:adjustRightInd w:val="0"/>
                    <w:snapToGrid w:val="0"/>
                    <w:jc w:val="center"/>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液体</w:t>
                  </w:r>
                </w:p>
              </w:tc>
              <w:tc>
                <w:tcPr>
                  <w:tcW w:w="578" w:type="dxa"/>
                  <w:noWrap w:val="0"/>
                  <w:vAlign w:val="center"/>
                </w:tcPr>
                <w:p w14:paraId="4B8CEFB5">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969" w:type="dxa"/>
                  <w:noWrap w:val="0"/>
                  <w:vAlign w:val="center"/>
                </w:tcPr>
                <w:p w14:paraId="0D2961A9">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714" w:type="dxa"/>
                  <w:noWrap w:val="0"/>
                  <w:vAlign w:val="center"/>
                </w:tcPr>
                <w:p w14:paraId="1A9518A2">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714" w:type="dxa"/>
                  <w:noWrap w:val="0"/>
                  <w:vAlign w:val="center"/>
                </w:tcPr>
                <w:p w14:paraId="2EEC3AB6">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13" w:type="dxa"/>
                  <w:noWrap w:val="0"/>
                  <w:vAlign w:val="center"/>
                </w:tcPr>
                <w:p w14:paraId="7202173D">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603" w:type="dxa"/>
                  <w:noWrap w:val="0"/>
                  <w:vAlign w:val="center"/>
                </w:tcPr>
                <w:p w14:paraId="036CBFAC">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762" w:type="dxa"/>
                  <w:noWrap w:val="0"/>
                  <w:vAlign w:val="center"/>
                </w:tcPr>
                <w:p w14:paraId="77BC643A">
                  <w:pPr>
                    <w:adjustRightInd w:val="0"/>
                    <w:snapToGrid w:val="0"/>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有毒有害</w:t>
                  </w:r>
                </w:p>
              </w:tc>
            </w:tr>
          </w:tbl>
          <w:p w14:paraId="0F600988">
            <w:pPr>
              <w:tabs>
                <w:tab w:val="left" w:pos="3960"/>
                <w:tab w:val="left" w:pos="4500"/>
              </w:tabs>
              <w:spacing w:line="500" w:lineRule="exact"/>
              <w:ind w:firstLine="422" w:firstLineChars="200"/>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表4-1</w:t>
            </w:r>
            <w:r>
              <w:rPr>
                <w:rFonts w:hint="eastAsia" w:ascii="Times New Roman" w:hAnsi="Times New Roman" w:cs="Times New Roman"/>
                <w:b/>
                <w:color w:val="auto"/>
                <w:szCs w:val="21"/>
                <w:lang w:val="en-US" w:eastAsia="zh-CN"/>
              </w:rPr>
              <w:t>8</w:t>
            </w:r>
            <w:r>
              <w:rPr>
                <w:rFonts w:hint="default" w:ascii="Times New Roman" w:hAnsi="Times New Roman" w:cs="Times New Roman"/>
                <w:b/>
                <w:color w:val="auto"/>
                <w:szCs w:val="21"/>
              </w:rPr>
              <w:t xml:space="preserve">  危险物质统计表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03"/>
              <w:gridCol w:w="1851"/>
              <w:gridCol w:w="1395"/>
              <w:gridCol w:w="1196"/>
              <w:gridCol w:w="1606"/>
              <w:gridCol w:w="1262"/>
            </w:tblGrid>
            <w:tr w14:paraId="398D6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5" w:hRule="atLeast"/>
                <w:tblHeader/>
                <w:jc w:val="center"/>
              </w:trPr>
              <w:tc>
                <w:tcPr>
                  <w:tcW w:w="381" w:type="pct"/>
                  <w:noWrap w:val="0"/>
                  <w:vAlign w:val="center"/>
                </w:tcPr>
                <w:p w14:paraId="01DD8899">
                  <w:pPr>
                    <w:adjustRightInd w:val="0"/>
                    <w:snapToGrid w:val="0"/>
                    <w:spacing w:line="24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序号</w:t>
                  </w:r>
                </w:p>
              </w:tc>
              <w:tc>
                <w:tcPr>
                  <w:tcW w:w="1169" w:type="pct"/>
                  <w:noWrap w:val="0"/>
                  <w:vAlign w:val="center"/>
                </w:tcPr>
                <w:p w14:paraId="382DE1EF">
                  <w:pPr>
                    <w:tabs>
                      <w:tab w:val="center" w:pos="4153"/>
                      <w:tab w:val="right" w:pos="8306"/>
                    </w:tabs>
                    <w:adjustRightInd w:val="0"/>
                    <w:snapToGrid w:val="0"/>
                    <w:spacing w:line="24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名称</w:t>
                  </w:r>
                </w:p>
              </w:tc>
              <w:tc>
                <w:tcPr>
                  <w:tcW w:w="881" w:type="pct"/>
                  <w:noWrap w:val="0"/>
                  <w:vAlign w:val="center"/>
                </w:tcPr>
                <w:p w14:paraId="3E72C6F6">
                  <w:pPr>
                    <w:adjustRightInd w:val="0"/>
                    <w:snapToGrid w:val="0"/>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储存位置</w:t>
                  </w:r>
                </w:p>
              </w:tc>
              <w:tc>
                <w:tcPr>
                  <w:tcW w:w="755" w:type="pct"/>
                  <w:noWrap w:val="0"/>
                  <w:vAlign w:val="center"/>
                </w:tcPr>
                <w:p w14:paraId="2FB38ADE">
                  <w:pPr>
                    <w:adjustRightInd w:val="0"/>
                    <w:snapToGrid w:val="0"/>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储存方式</w:t>
                  </w:r>
                </w:p>
              </w:tc>
              <w:tc>
                <w:tcPr>
                  <w:tcW w:w="1014" w:type="pct"/>
                  <w:noWrap w:val="0"/>
                  <w:vAlign w:val="center"/>
                </w:tcPr>
                <w:p w14:paraId="5A56AE7C">
                  <w:pPr>
                    <w:adjustRightInd w:val="0"/>
                    <w:snapToGrid w:val="0"/>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最大储存量（t）</w:t>
                  </w:r>
                </w:p>
              </w:tc>
              <w:tc>
                <w:tcPr>
                  <w:tcW w:w="797" w:type="pct"/>
                  <w:noWrap w:val="0"/>
                  <w:vAlign w:val="center"/>
                </w:tcPr>
                <w:p w14:paraId="3DFC9D95">
                  <w:pPr>
                    <w:adjustRightInd w:val="0"/>
                    <w:snapToGrid w:val="0"/>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储存周期</w:t>
                  </w:r>
                </w:p>
              </w:tc>
            </w:tr>
            <w:tr w14:paraId="758CA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0" w:hRule="atLeast"/>
                <w:tblHeader/>
                <w:jc w:val="center"/>
              </w:trPr>
              <w:tc>
                <w:tcPr>
                  <w:tcW w:w="381" w:type="pct"/>
                  <w:noWrap w:val="0"/>
                  <w:vAlign w:val="center"/>
                </w:tcPr>
                <w:p w14:paraId="7061FC18">
                  <w:pPr>
                    <w:numPr>
                      <w:ilvl w:val="0"/>
                      <w:numId w:val="2"/>
                    </w:numPr>
                    <w:adjustRightInd w:val="0"/>
                    <w:snapToGrid w:val="0"/>
                    <w:spacing w:line="240" w:lineRule="exact"/>
                    <w:jc w:val="center"/>
                    <w:rPr>
                      <w:rFonts w:hint="default" w:ascii="Times New Roman" w:hAnsi="Times New Roman" w:cs="Times New Roman"/>
                      <w:bCs/>
                      <w:color w:val="auto"/>
                      <w:sz w:val="18"/>
                      <w:szCs w:val="18"/>
                    </w:rPr>
                  </w:pPr>
                </w:p>
              </w:tc>
              <w:tc>
                <w:tcPr>
                  <w:tcW w:w="1169" w:type="pct"/>
                  <w:noWrap w:val="0"/>
                  <w:vAlign w:val="center"/>
                </w:tcPr>
                <w:p w14:paraId="18014CC5">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润滑油</w:t>
                  </w:r>
                </w:p>
              </w:tc>
              <w:tc>
                <w:tcPr>
                  <w:tcW w:w="881" w:type="pct"/>
                  <w:vMerge w:val="restart"/>
                  <w:noWrap w:val="0"/>
                  <w:vAlign w:val="center"/>
                </w:tcPr>
                <w:p w14:paraId="45B46051">
                  <w:pPr>
                    <w:adjustRightInd w:val="0"/>
                    <w:snapToGrid w:val="0"/>
                    <w:spacing w:line="240" w:lineRule="exact"/>
                    <w:jc w:val="center"/>
                    <w:rPr>
                      <w:rFonts w:hint="default"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液体物料暂存区</w:t>
                  </w:r>
                </w:p>
              </w:tc>
              <w:tc>
                <w:tcPr>
                  <w:tcW w:w="755" w:type="pct"/>
                  <w:noWrap w:val="0"/>
                  <w:vAlign w:val="center"/>
                </w:tcPr>
                <w:p w14:paraId="7517B89B">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桶装</w:t>
                  </w:r>
                </w:p>
              </w:tc>
              <w:tc>
                <w:tcPr>
                  <w:tcW w:w="1014" w:type="pct"/>
                  <w:noWrap w:val="0"/>
                  <w:vAlign w:val="center"/>
                </w:tcPr>
                <w:p w14:paraId="7CA76F70">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0.18</w:t>
                  </w:r>
                </w:p>
              </w:tc>
              <w:tc>
                <w:tcPr>
                  <w:tcW w:w="797" w:type="pct"/>
                  <w:noWrap w:val="0"/>
                  <w:vAlign w:val="center"/>
                </w:tcPr>
                <w:p w14:paraId="41A32918">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3个月</w:t>
                  </w:r>
                </w:p>
              </w:tc>
            </w:tr>
            <w:tr w14:paraId="41BD5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0" w:hRule="atLeast"/>
                <w:tblHeader/>
                <w:jc w:val="center"/>
              </w:trPr>
              <w:tc>
                <w:tcPr>
                  <w:tcW w:w="381" w:type="pct"/>
                  <w:noWrap w:val="0"/>
                  <w:vAlign w:val="center"/>
                </w:tcPr>
                <w:p w14:paraId="6CCCE98A">
                  <w:pPr>
                    <w:numPr>
                      <w:ilvl w:val="0"/>
                      <w:numId w:val="2"/>
                    </w:numPr>
                    <w:adjustRightInd w:val="0"/>
                    <w:snapToGrid w:val="0"/>
                    <w:spacing w:line="240" w:lineRule="exact"/>
                    <w:jc w:val="center"/>
                    <w:rPr>
                      <w:rFonts w:hint="default" w:ascii="Times New Roman" w:hAnsi="Times New Roman" w:cs="Times New Roman"/>
                      <w:bCs/>
                      <w:color w:val="auto"/>
                      <w:sz w:val="18"/>
                      <w:szCs w:val="18"/>
                    </w:rPr>
                  </w:pPr>
                </w:p>
              </w:tc>
              <w:tc>
                <w:tcPr>
                  <w:tcW w:w="1169" w:type="pct"/>
                  <w:noWrap w:val="0"/>
                  <w:vAlign w:val="center"/>
                </w:tcPr>
                <w:p w14:paraId="67BA5F14">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液压油</w:t>
                  </w:r>
                </w:p>
              </w:tc>
              <w:tc>
                <w:tcPr>
                  <w:tcW w:w="881" w:type="pct"/>
                  <w:vMerge w:val="continue"/>
                  <w:noWrap w:val="0"/>
                  <w:vAlign w:val="center"/>
                </w:tcPr>
                <w:p w14:paraId="1DF689C0">
                  <w:pPr>
                    <w:adjustRightInd w:val="0"/>
                    <w:snapToGrid w:val="0"/>
                    <w:spacing w:line="240" w:lineRule="exact"/>
                    <w:jc w:val="center"/>
                    <w:rPr>
                      <w:rFonts w:hint="default" w:ascii="Times New Roman" w:hAnsi="Times New Roman" w:eastAsia="宋体" w:cs="Times New Roman"/>
                      <w:color w:val="auto"/>
                      <w:sz w:val="18"/>
                      <w:szCs w:val="18"/>
                      <w:lang w:eastAsia="zh-CN"/>
                    </w:rPr>
                  </w:pPr>
                </w:p>
              </w:tc>
              <w:tc>
                <w:tcPr>
                  <w:tcW w:w="755" w:type="pct"/>
                  <w:noWrap w:val="0"/>
                  <w:vAlign w:val="center"/>
                </w:tcPr>
                <w:p w14:paraId="121A7FB4">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桶装</w:t>
                  </w:r>
                </w:p>
              </w:tc>
              <w:tc>
                <w:tcPr>
                  <w:tcW w:w="1014" w:type="pct"/>
                  <w:noWrap w:val="0"/>
                  <w:vAlign w:val="center"/>
                </w:tcPr>
                <w:p w14:paraId="044C9CD7">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0.18</w:t>
                  </w:r>
                </w:p>
              </w:tc>
              <w:tc>
                <w:tcPr>
                  <w:tcW w:w="797" w:type="pct"/>
                  <w:noWrap w:val="0"/>
                  <w:vAlign w:val="center"/>
                </w:tcPr>
                <w:p w14:paraId="41294EC9">
                  <w:pPr>
                    <w:adjustRightInd w:val="0"/>
                    <w:snapToGrid w:val="0"/>
                    <w:spacing w:line="240" w:lineRule="exact"/>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3个月</w:t>
                  </w:r>
                </w:p>
              </w:tc>
            </w:tr>
            <w:tr w14:paraId="100EDE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6" w:hRule="atLeast"/>
                <w:tblHeader/>
                <w:jc w:val="center"/>
              </w:trPr>
              <w:tc>
                <w:tcPr>
                  <w:tcW w:w="381" w:type="pct"/>
                  <w:noWrap w:val="0"/>
                  <w:vAlign w:val="center"/>
                </w:tcPr>
                <w:p w14:paraId="34B7997D">
                  <w:pPr>
                    <w:numPr>
                      <w:ilvl w:val="0"/>
                      <w:numId w:val="2"/>
                    </w:numPr>
                    <w:adjustRightInd w:val="0"/>
                    <w:snapToGrid w:val="0"/>
                    <w:spacing w:line="240" w:lineRule="exact"/>
                    <w:jc w:val="center"/>
                    <w:rPr>
                      <w:rFonts w:hint="default" w:ascii="Times New Roman" w:hAnsi="Times New Roman" w:cs="Times New Roman"/>
                      <w:bCs/>
                      <w:color w:val="auto"/>
                      <w:sz w:val="18"/>
                      <w:szCs w:val="18"/>
                    </w:rPr>
                  </w:pPr>
                </w:p>
              </w:tc>
              <w:tc>
                <w:tcPr>
                  <w:tcW w:w="1169" w:type="pct"/>
                  <w:noWrap w:val="0"/>
                  <w:vAlign w:val="center"/>
                </w:tcPr>
                <w:p w14:paraId="5FA8A1F8">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废矿物油</w:t>
                  </w:r>
                </w:p>
              </w:tc>
              <w:tc>
                <w:tcPr>
                  <w:tcW w:w="881" w:type="pct"/>
                  <w:vMerge w:val="restart"/>
                  <w:noWrap w:val="0"/>
                  <w:vAlign w:val="center"/>
                </w:tcPr>
                <w:p w14:paraId="1F072015">
                  <w:pPr>
                    <w:adjustRightInd w:val="0"/>
                    <w:snapToGrid w:val="0"/>
                    <w:spacing w:line="240" w:lineRule="exact"/>
                    <w:jc w:val="center"/>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eastAsia="zh-CN"/>
                    </w:rPr>
                    <w:t>危险废物贮存库</w:t>
                  </w:r>
                </w:p>
              </w:tc>
              <w:tc>
                <w:tcPr>
                  <w:tcW w:w="755" w:type="pct"/>
                  <w:noWrap w:val="0"/>
                  <w:vAlign w:val="center"/>
                </w:tcPr>
                <w:p w14:paraId="76BCED21">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桶装</w:t>
                  </w:r>
                </w:p>
              </w:tc>
              <w:tc>
                <w:tcPr>
                  <w:tcW w:w="1014" w:type="pct"/>
                  <w:noWrap w:val="0"/>
                  <w:vAlign w:val="center"/>
                </w:tcPr>
                <w:p w14:paraId="38DBA739">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0.74</w:t>
                  </w:r>
                </w:p>
              </w:tc>
              <w:tc>
                <w:tcPr>
                  <w:tcW w:w="797" w:type="pct"/>
                  <w:noWrap w:val="0"/>
                  <w:vAlign w:val="center"/>
                </w:tcPr>
                <w:p w14:paraId="40CDDEE9">
                  <w:pPr>
                    <w:adjustRightInd w:val="0"/>
                    <w:snapToGrid w:val="0"/>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6个月</w:t>
                  </w:r>
                </w:p>
              </w:tc>
            </w:tr>
            <w:tr w14:paraId="45BAE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6" w:hRule="atLeast"/>
                <w:tblHeader/>
                <w:jc w:val="center"/>
              </w:trPr>
              <w:tc>
                <w:tcPr>
                  <w:tcW w:w="381" w:type="pct"/>
                  <w:noWrap w:val="0"/>
                  <w:vAlign w:val="center"/>
                </w:tcPr>
                <w:p w14:paraId="36DFC22A">
                  <w:pPr>
                    <w:numPr>
                      <w:ilvl w:val="0"/>
                      <w:numId w:val="2"/>
                    </w:numPr>
                    <w:adjustRightInd w:val="0"/>
                    <w:snapToGrid w:val="0"/>
                    <w:spacing w:line="240" w:lineRule="exact"/>
                    <w:jc w:val="center"/>
                    <w:rPr>
                      <w:rFonts w:hint="default" w:ascii="Times New Roman" w:hAnsi="Times New Roman" w:cs="Times New Roman"/>
                      <w:bCs/>
                      <w:color w:val="auto"/>
                      <w:sz w:val="18"/>
                      <w:szCs w:val="18"/>
                    </w:rPr>
                  </w:pPr>
                </w:p>
              </w:tc>
              <w:tc>
                <w:tcPr>
                  <w:tcW w:w="1169" w:type="pct"/>
                  <w:noWrap w:val="0"/>
                  <w:vAlign w:val="center"/>
                </w:tcPr>
                <w:p w14:paraId="708534D3">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kern w:val="2"/>
                      <w:sz w:val="18"/>
                      <w:szCs w:val="18"/>
                      <w:lang w:val="en-US" w:eastAsia="zh-CN" w:bidi="ar-SA"/>
                    </w:rPr>
                    <w:t>空压机含油冷凝液</w:t>
                  </w:r>
                </w:p>
              </w:tc>
              <w:tc>
                <w:tcPr>
                  <w:tcW w:w="881" w:type="pct"/>
                  <w:vMerge w:val="continue"/>
                  <w:noWrap w:val="0"/>
                  <w:vAlign w:val="center"/>
                </w:tcPr>
                <w:p w14:paraId="50D5FB8D">
                  <w:pPr>
                    <w:adjustRightInd w:val="0"/>
                    <w:snapToGrid w:val="0"/>
                    <w:spacing w:line="240" w:lineRule="exact"/>
                    <w:jc w:val="center"/>
                    <w:rPr>
                      <w:rFonts w:hint="eastAsia" w:ascii="Times New Roman" w:hAnsi="Times New Roman" w:cs="Times New Roman"/>
                      <w:color w:val="auto"/>
                      <w:sz w:val="18"/>
                      <w:szCs w:val="18"/>
                      <w:lang w:eastAsia="zh-CN"/>
                    </w:rPr>
                  </w:pPr>
                </w:p>
              </w:tc>
              <w:tc>
                <w:tcPr>
                  <w:tcW w:w="755" w:type="pct"/>
                  <w:noWrap w:val="0"/>
                  <w:vAlign w:val="center"/>
                </w:tcPr>
                <w:p w14:paraId="77B64519">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桶装</w:t>
                  </w:r>
                </w:p>
              </w:tc>
              <w:tc>
                <w:tcPr>
                  <w:tcW w:w="1014" w:type="pct"/>
                  <w:noWrap w:val="0"/>
                  <w:vAlign w:val="center"/>
                </w:tcPr>
                <w:p w14:paraId="1483B38A">
                  <w:pPr>
                    <w:spacing w:line="240" w:lineRule="exact"/>
                    <w:jc w:val="center"/>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0.05</w:t>
                  </w:r>
                </w:p>
              </w:tc>
              <w:tc>
                <w:tcPr>
                  <w:tcW w:w="797" w:type="pct"/>
                  <w:noWrap w:val="0"/>
                  <w:vAlign w:val="center"/>
                </w:tcPr>
                <w:p w14:paraId="1B2F0399">
                  <w:pPr>
                    <w:adjustRightInd w:val="0"/>
                    <w:snapToGrid w:val="0"/>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3个月</w:t>
                  </w:r>
                </w:p>
              </w:tc>
            </w:tr>
          </w:tbl>
          <w:p w14:paraId="25AB8EC2">
            <w:pPr>
              <w:pStyle w:val="97"/>
              <w:snapToGrid/>
              <w:spacing w:line="360" w:lineRule="auto"/>
              <w:ind w:firstLine="422"/>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（2）Q值判定</w:t>
            </w:r>
          </w:p>
          <w:p w14:paraId="0AC664BF">
            <w:pPr>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当只涉及一种危险物质时，计算该物质的总量与其临界量比值，即为</w:t>
            </w:r>
            <w:r>
              <w:rPr>
                <w:rFonts w:hint="default" w:ascii="Times New Roman" w:hAnsi="Times New Roman" w:cs="Times New Roman"/>
                <w:bCs/>
                <w:color w:val="auto"/>
                <w:szCs w:val="21"/>
              </w:rPr>
              <w:t>Q；</w:t>
            </w:r>
          </w:p>
          <w:p w14:paraId="129E4FAE">
            <w:pPr>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当存在多种危险物质时，按下式计算物质总量与其临界量比值</w:t>
            </w:r>
            <w:r>
              <w:rPr>
                <w:rFonts w:hint="default" w:ascii="Times New Roman" w:hAnsi="Times New Roman" w:cs="Times New Roman"/>
                <w:bCs/>
                <w:color w:val="auto"/>
                <w:szCs w:val="21"/>
              </w:rPr>
              <w:t>（Q）</w:t>
            </w:r>
            <w:r>
              <w:rPr>
                <w:rFonts w:hint="default" w:ascii="Times New Roman" w:hAnsi="Times New Roman" w:cs="Times New Roman"/>
                <w:color w:val="auto"/>
                <w:szCs w:val="21"/>
              </w:rPr>
              <w:t>：</w:t>
            </w:r>
          </w:p>
          <w:p w14:paraId="23814FBE">
            <w:pPr>
              <w:spacing w:line="360" w:lineRule="auto"/>
              <w:ind w:firstLine="420" w:firstLineChars="200"/>
              <w:jc w:val="center"/>
              <w:rPr>
                <w:rFonts w:hint="default" w:ascii="Times New Roman" w:hAnsi="Times New Roman" w:cs="Times New Roman"/>
                <w:color w:val="auto"/>
                <w:szCs w:val="21"/>
              </w:rPr>
            </w:pPr>
            <w:r>
              <w:rPr>
                <w:rFonts w:hint="default" w:ascii="Times New Roman" w:hAnsi="Times New Roman" w:cs="Times New Roman"/>
                <w:color w:val="auto"/>
                <w:position w:val="-30"/>
                <w:szCs w:val="21"/>
              </w:rPr>
              <w:object>
                <v:shape id="_x0000_i1036" o:spt="75" type="#_x0000_t75" style="height:38.95pt;width:124.5pt;" o:ole="t" filled="f" o:preferrelative="t" stroked="f" coordsize="21600,21600">
                  <v:path/>
                  <v:fill on="f" focussize="0,0"/>
                  <v:stroke on="f" joinstyle="miter"/>
                  <v:imagedata r:id="rId37" o:title=""/>
                  <o:lock v:ext="edit" aspectratio="t"/>
                  <w10:wrap type="none"/>
                  <w10:anchorlock/>
                </v:shape>
                <o:OLEObject Type="Embed" ProgID="Equation.3" ShapeID="_x0000_i1036" DrawAspect="Content" ObjectID="_1468075736" r:id="rId36">
                  <o:LockedField>false</o:LockedField>
                </o:OLEObject>
              </w:object>
            </w:r>
          </w:p>
          <w:p w14:paraId="73F28A18">
            <w:pPr>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式中：q</w:t>
            </w:r>
            <w:r>
              <w:rPr>
                <w:rFonts w:hint="default" w:ascii="Times New Roman" w:hAnsi="Times New Roman" w:cs="Times New Roman"/>
                <w:color w:val="auto"/>
                <w:szCs w:val="21"/>
                <w:vertAlign w:val="subscript"/>
              </w:rPr>
              <w:t>1</w:t>
            </w:r>
            <w:r>
              <w:rPr>
                <w:rFonts w:hint="default" w:ascii="Times New Roman" w:hAnsi="Times New Roman" w:cs="Times New Roman"/>
                <w:color w:val="auto"/>
                <w:szCs w:val="21"/>
              </w:rPr>
              <w:t>，q</w:t>
            </w:r>
            <w:r>
              <w:rPr>
                <w:rFonts w:hint="default" w:ascii="Times New Roman" w:hAnsi="Times New Roman" w:cs="Times New Roman"/>
                <w:color w:val="auto"/>
                <w:szCs w:val="21"/>
                <w:vertAlign w:val="subscript"/>
              </w:rPr>
              <w:t>2</w:t>
            </w:r>
            <w:r>
              <w:rPr>
                <w:rFonts w:hint="default" w:ascii="Times New Roman" w:hAnsi="Times New Roman" w:cs="Times New Roman"/>
                <w:color w:val="auto"/>
                <w:szCs w:val="21"/>
              </w:rPr>
              <w:t>……q</w:t>
            </w:r>
            <w:r>
              <w:rPr>
                <w:rFonts w:hint="default" w:ascii="Times New Roman" w:hAnsi="Times New Roman" w:cs="Times New Roman"/>
                <w:color w:val="auto"/>
                <w:szCs w:val="21"/>
                <w:vertAlign w:val="subscript"/>
              </w:rPr>
              <w:t>n</w:t>
            </w:r>
            <w:r>
              <w:rPr>
                <w:rFonts w:hint="default" w:ascii="Times New Roman" w:hAnsi="Times New Roman" w:cs="Times New Roman"/>
                <w:color w:val="auto"/>
                <w:szCs w:val="21"/>
              </w:rPr>
              <w:t>——每种危险物质的最大存在总量，t；</w:t>
            </w:r>
          </w:p>
          <w:p w14:paraId="431B8024">
            <w:pPr>
              <w:spacing w:line="360" w:lineRule="auto"/>
              <w:ind w:firstLine="1050" w:firstLineChars="500"/>
              <w:rPr>
                <w:rFonts w:hint="default" w:ascii="Times New Roman" w:hAnsi="Times New Roman" w:cs="Times New Roman"/>
                <w:color w:val="auto"/>
                <w:szCs w:val="21"/>
              </w:rPr>
            </w:pPr>
            <w:r>
              <w:rPr>
                <w:rFonts w:hint="default" w:ascii="Times New Roman" w:hAnsi="Times New Roman" w:cs="Times New Roman"/>
                <w:color w:val="auto"/>
                <w:szCs w:val="21"/>
              </w:rPr>
              <w:t>Q</w:t>
            </w:r>
            <w:r>
              <w:rPr>
                <w:rFonts w:hint="default" w:ascii="Times New Roman" w:hAnsi="Times New Roman" w:cs="Times New Roman"/>
                <w:color w:val="auto"/>
                <w:szCs w:val="21"/>
                <w:vertAlign w:val="subscript"/>
              </w:rPr>
              <w:t>1</w:t>
            </w:r>
            <w:r>
              <w:rPr>
                <w:rFonts w:hint="default" w:ascii="Times New Roman" w:hAnsi="Times New Roman" w:cs="Times New Roman"/>
                <w:color w:val="auto"/>
                <w:szCs w:val="21"/>
              </w:rPr>
              <w:t>，Q</w:t>
            </w:r>
            <w:r>
              <w:rPr>
                <w:rFonts w:hint="default" w:ascii="Times New Roman" w:hAnsi="Times New Roman" w:cs="Times New Roman"/>
                <w:color w:val="auto"/>
                <w:szCs w:val="21"/>
                <w:vertAlign w:val="subscript"/>
              </w:rPr>
              <w:t>2</w:t>
            </w:r>
            <w:r>
              <w:rPr>
                <w:rFonts w:hint="default" w:ascii="Times New Roman" w:hAnsi="Times New Roman" w:cs="Times New Roman"/>
                <w:color w:val="auto"/>
                <w:szCs w:val="21"/>
              </w:rPr>
              <w:t>……Q</w:t>
            </w:r>
            <w:r>
              <w:rPr>
                <w:rFonts w:hint="default" w:ascii="Times New Roman" w:hAnsi="Times New Roman" w:cs="Times New Roman"/>
                <w:color w:val="auto"/>
                <w:szCs w:val="21"/>
                <w:vertAlign w:val="subscript"/>
              </w:rPr>
              <w:t>n</w:t>
            </w:r>
            <w:r>
              <w:rPr>
                <w:rFonts w:hint="default" w:ascii="Times New Roman" w:hAnsi="Times New Roman" w:cs="Times New Roman"/>
                <w:color w:val="auto"/>
                <w:szCs w:val="21"/>
              </w:rPr>
              <w:t>——每种危险物质的临界量，t。</w:t>
            </w:r>
          </w:p>
          <w:p w14:paraId="2FB64A8B">
            <w:pPr>
              <w:spacing w:line="360" w:lineRule="auto"/>
              <w:ind w:firstLine="1050" w:firstLineChars="500"/>
              <w:rPr>
                <w:rFonts w:hint="default" w:ascii="Times New Roman" w:hAnsi="Times New Roman" w:cs="Times New Roman"/>
                <w:color w:val="auto"/>
                <w:szCs w:val="21"/>
              </w:rPr>
            </w:pPr>
            <w:r>
              <w:rPr>
                <w:rFonts w:hint="default" w:ascii="Times New Roman" w:hAnsi="Times New Roman" w:cs="Times New Roman"/>
                <w:color w:val="auto"/>
                <w:szCs w:val="21"/>
              </w:rPr>
              <w:t>当Q&lt;1，该项目环境风险潜势为І；</w:t>
            </w:r>
          </w:p>
          <w:p w14:paraId="197127F4">
            <w:pPr>
              <w:spacing w:line="360" w:lineRule="auto"/>
              <w:ind w:firstLine="1050" w:firstLineChars="500"/>
              <w:rPr>
                <w:rFonts w:hint="default" w:ascii="Times New Roman" w:hAnsi="Times New Roman" w:cs="Times New Roman"/>
                <w:color w:val="auto"/>
                <w:szCs w:val="21"/>
              </w:rPr>
            </w:pPr>
            <w:r>
              <w:rPr>
                <w:rFonts w:hint="default" w:ascii="Times New Roman" w:hAnsi="Times New Roman" w:cs="Times New Roman"/>
                <w:color w:val="auto"/>
                <w:szCs w:val="21"/>
              </w:rPr>
              <w:t>当Q≥1时，将Q值划分为：（1）1≤Q&lt;10；（2）10≤Q&lt;100；（3）Q≥100。</w:t>
            </w:r>
          </w:p>
          <w:p w14:paraId="68397614">
            <w:pPr>
              <w:spacing w:line="36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本项目危险物质与其临界量比值结果，见下表。</w:t>
            </w:r>
          </w:p>
          <w:p w14:paraId="2EA7FF69">
            <w:pPr>
              <w:widowControl/>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表</w:t>
            </w:r>
            <w:r>
              <w:rPr>
                <w:rFonts w:hint="default" w:ascii="Times New Roman" w:hAnsi="Times New Roman" w:cs="Times New Roman"/>
                <w:b/>
                <w:color w:val="auto"/>
                <w:szCs w:val="21"/>
              </w:rPr>
              <w:t>4-</w:t>
            </w:r>
            <w:r>
              <w:rPr>
                <w:rFonts w:hint="eastAsia" w:ascii="Times New Roman" w:hAnsi="Times New Roman" w:cs="Times New Roman"/>
                <w:b/>
                <w:color w:val="auto"/>
                <w:szCs w:val="21"/>
                <w:lang w:val="en-US" w:eastAsia="zh-CN"/>
              </w:rPr>
              <w:t>19</w:t>
            </w:r>
            <w:r>
              <w:rPr>
                <w:rFonts w:hint="default" w:ascii="Times New Roman" w:hAnsi="Times New Roman" w:cs="Times New Roman"/>
                <w:b/>
                <w:bCs/>
                <w:color w:val="auto"/>
                <w:kern w:val="0"/>
                <w:szCs w:val="21"/>
              </w:rPr>
              <w:t xml:space="preserve">  建设项目Q值确定表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03"/>
              <w:gridCol w:w="1371"/>
              <w:gridCol w:w="869"/>
              <w:gridCol w:w="869"/>
              <w:gridCol w:w="1233"/>
              <w:gridCol w:w="1264"/>
              <w:gridCol w:w="1704"/>
            </w:tblGrid>
            <w:tr w14:paraId="635CE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381" w:type="pct"/>
                  <w:noWrap w:val="0"/>
                  <w:vAlign w:val="center"/>
                </w:tcPr>
                <w:p w14:paraId="756CB1E9">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序号</w:t>
                  </w:r>
                </w:p>
              </w:tc>
              <w:tc>
                <w:tcPr>
                  <w:tcW w:w="866" w:type="pct"/>
                  <w:noWrap w:val="0"/>
                  <w:vAlign w:val="center"/>
                </w:tcPr>
                <w:p w14:paraId="423A0539">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危险物质名称</w:t>
                  </w:r>
                </w:p>
              </w:tc>
              <w:tc>
                <w:tcPr>
                  <w:tcW w:w="549" w:type="pct"/>
                  <w:noWrap w:val="0"/>
                  <w:vAlign w:val="center"/>
                </w:tcPr>
                <w:p w14:paraId="389D2048">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CAS号</w:t>
                  </w:r>
                </w:p>
              </w:tc>
              <w:tc>
                <w:tcPr>
                  <w:tcW w:w="549" w:type="pct"/>
                  <w:noWrap w:val="0"/>
                  <w:vAlign w:val="center"/>
                </w:tcPr>
                <w:p w14:paraId="754975BD">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风险物质成分</w:t>
                  </w:r>
                </w:p>
              </w:tc>
              <w:tc>
                <w:tcPr>
                  <w:tcW w:w="779" w:type="pct"/>
                  <w:noWrap w:val="0"/>
                  <w:vAlign w:val="center"/>
                </w:tcPr>
                <w:p w14:paraId="54553B12">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最大存在总量q</w:t>
                  </w:r>
                  <w:r>
                    <w:rPr>
                      <w:rFonts w:hint="default" w:ascii="Times New Roman" w:hAnsi="Times New Roman" w:cs="Times New Roman"/>
                      <w:color w:val="auto"/>
                      <w:sz w:val="18"/>
                      <w:szCs w:val="18"/>
                      <w:vertAlign w:val="subscript"/>
                    </w:rPr>
                    <w:t>n</w:t>
                  </w:r>
                  <w:r>
                    <w:rPr>
                      <w:rFonts w:hint="default" w:ascii="Times New Roman" w:hAnsi="Times New Roman" w:cs="Times New Roman"/>
                      <w:color w:val="auto"/>
                      <w:sz w:val="18"/>
                      <w:szCs w:val="18"/>
                    </w:rPr>
                    <w:t>/t</w:t>
                  </w:r>
                </w:p>
              </w:tc>
              <w:tc>
                <w:tcPr>
                  <w:tcW w:w="798" w:type="pct"/>
                  <w:noWrap w:val="0"/>
                  <w:vAlign w:val="center"/>
                </w:tcPr>
                <w:p w14:paraId="7DD1E2B0">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临界量Q</w:t>
                  </w:r>
                  <w:r>
                    <w:rPr>
                      <w:rFonts w:hint="default" w:ascii="Times New Roman" w:hAnsi="Times New Roman" w:cs="Times New Roman"/>
                      <w:color w:val="auto"/>
                      <w:sz w:val="18"/>
                      <w:szCs w:val="18"/>
                      <w:vertAlign w:val="subscript"/>
                    </w:rPr>
                    <w:t>n</w:t>
                  </w:r>
                  <w:r>
                    <w:rPr>
                      <w:rFonts w:hint="default" w:ascii="Times New Roman" w:hAnsi="Times New Roman" w:cs="Times New Roman"/>
                      <w:color w:val="auto"/>
                      <w:sz w:val="18"/>
                      <w:szCs w:val="18"/>
                    </w:rPr>
                    <w:t>/t</w:t>
                  </w:r>
                </w:p>
              </w:tc>
              <w:tc>
                <w:tcPr>
                  <w:tcW w:w="1076" w:type="pct"/>
                  <w:noWrap w:val="0"/>
                  <w:vAlign w:val="center"/>
                </w:tcPr>
                <w:p w14:paraId="41DAEF21">
                  <w:pPr>
                    <w:widowControl/>
                    <w:jc w:val="center"/>
                    <w:rPr>
                      <w:rFonts w:hint="default" w:ascii="Times New Roman" w:hAnsi="Times New Roman" w:cs="Times New Roman"/>
                      <w:color w:val="auto"/>
                      <w:kern w:val="0"/>
                      <w:sz w:val="18"/>
                      <w:szCs w:val="18"/>
                    </w:rPr>
                  </w:pPr>
                  <w:r>
                    <w:rPr>
                      <w:rFonts w:hint="default" w:ascii="Times New Roman" w:hAnsi="Times New Roman" w:cs="Times New Roman"/>
                      <w:color w:val="auto"/>
                      <w:kern w:val="0"/>
                      <w:sz w:val="18"/>
                      <w:szCs w:val="18"/>
                    </w:rPr>
                    <w:t>该种危险物质Q值</w:t>
                  </w:r>
                </w:p>
              </w:tc>
            </w:tr>
            <w:tr w14:paraId="273D0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381" w:type="pct"/>
                  <w:noWrap w:val="0"/>
                  <w:vAlign w:val="center"/>
                </w:tcPr>
                <w:p w14:paraId="252EBA52">
                  <w:pPr>
                    <w:snapToGrid w:val="0"/>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1</w:t>
                  </w:r>
                </w:p>
              </w:tc>
              <w:tc>
                <w:tcPr>
                  <w:tcW w:w="866" w:type="pct"/>
                  <w:noWrap w:val="0"/>
                  <w:vAlign w:val="center"/>
                </w:tcPr>
                <w:p w14:paraId="6957B7CB">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润滑油</w:t>
                  </w:r>
                </w:p>
              </w:tc>
              <w:tc>
                <w:tcPr>
                  <w:tcW w:w="549" w:type="pct"/>
                  <w:noWrap w:val="0"/>
                  <w:vAlign w:val="center"/>
                </w:tcPr>
                <w:p w14:paraId="396B0A1D">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549" w:type="pct"/>
                  <w:noWrap w:val="0"/>
                  <w:vAlign w:val="center"/>
                </w:tcPr>
                <w:p w14:paraId="5D3180E0">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矿物油</w:t>
                  </w:r>
                </w:p>
              </w:tc>
              <w:tc>
                <w:tcPr>
                  <w:tcW w:w="779" w:type="pct"/>
                  <w:noWrap w:val="0"/>
                  <w:vAlign w:val="center"/>
                </w:tcPr>
                <w:p w14:paraId="2E2A78FE">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0.18</w:t>
                  </w:r>
                </w:p>
              </w:tc>
              <w:tc>
                <w:tcPr>
                  <w:tcW w:w="798" w:type="pct"/>
                  <w:noWrap w:val="0"/>
                  <w:vAlign w:val="top"/>
                </w:tcPr>
                <w:p w14:paraId="3428607D">
                  <w:pPr>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sz w:val="18"/>
                      <w:szCs w:val="18"/>
                    </w:rPr>
                    <w:t>2500</w:t>
                  </w:r>
                </w:p>
              </w:tc>
              <w:tc>
                <w:tcPr>
                  <w:tcW w:w="1704" w:type="dxa"/>
                  <w:noWrap w:val="0"/>
                  <w:vAlign w:val="center"/>
                </w:tcPr>
                <w:p w14:paraId="585E29E6">
                  <w:pPr>
                    <w:spacing w:line="240" w:lineRule="exact"/>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0.000072</w:t>
                  </w:r>
                </w:p>
              </w:tc>
            </w:tr>
            <w:tr w14:paraId="7C1D4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381" w:type="pct"/>
                  <w:noWrap w:val="0"/>
                  <w:vAlign w:val="center"/>
                </w:tcPr>
                <w:p w14:paraId="0E0FEB3D">
                  <w:pPr>
                    <w:snapToGrid w:val="0"/>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2</w:t>
                  </w:r>
                </w:p>
              </w:tc>
              <w:tc>
                <w:tcPr>
                  <w:tcW w:w="866" w:type="pct"/>
                  <w:noWrap w:val="0"/>
                  <w:vAlign w:val="center"/>
                </w:tcPr>
                <w:p w14:paraId="4DF39F54">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液压油</w:t>
                  </w:r>
                </w:p>
              </w:tc>
              <w:tc>
                <w:tcPr>
                  <w:tcW w:w="549" w:type="pct"/>
                  <w:noWrap w:val="0"/>
                  <w:vAlign w:val="center"/>
                </w:tcPr>
                <w:p w14:paraId="665E9C8C">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549" w:type="pct"/>
                  <w:noWrap w:val="0"/>
                  <w:vAlign w:val="center"/>
                </w:tcPr>
                <w:p w14:paraId="4CC871BC">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矿物油</w:t>
                  </w:r>
                </w:p>
              </w:tc>
              <w:tc>
                <w:tcPr>
                  <w:tcW w:w="779" w:type="pct"/>
                  <w:noWrap w:val="0"/>
                  <w:vAlign w:val="center"/>
                </w:tcPr>
                <w:p w14:paraId="0A3C215B">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0.18</w:t>
                  </w:r>
                </w:p>
              </w:tc>
              <w:tc>
                <w:tcPr>
                  <w:tcW w:w="798" w:type="pct"/>
                  <w:noWrap w:val="0"/>
                  <w:vAlign w:val="top"/>
                </w:tcPr>
                <w:p w14:paraId="7AA741C5">
                  <w:pPr>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sz w:val="18"/>
                      <w:szCs w:val="18"/>
                    </w:rPr>
                    <w:t>2500</w:t>
                  </w:r>
                </w:p>
              </w:tc>
              <w:tc>
                <w:tcPr>
                  <w:tcW w:w="1704" w:type="dxa"/>
                  <w:noWrap w:val="0"/>
                  <w:vAlign w:val="center"/>
                </w:tcPr>
                <w:p w14:paraId="6CE83A88">
                  <w:pPr>
                    <w:spacing w:line="240" w:lineRule="exact"/>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0.000072</w:t>
                  </w:r>
                </w:p>
              </w:tc>
            </w:tr>
            <w:tr w14:paraId="41761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 w:hRule="atLeast"/>
                <w:jc w:val="center"/>
              </w:trPr>
              <w:tc>
                <w:tcPr>
                  <w:tcW w:w="381" w:type="pct"/>
                  <w:noWrap w:val="0"/>
                  <w:vAlign w:val="center"/>
                </w:tcPr>
                <w:p w14:paraId="69B88AF1">
                  <w:pPr>
                    <w:snapToGrid w:val="0"/>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3</w:t>
                  </w:r>
                </w:p>
              </w:tc>
              <w:tc>
                <w:tcPr>
                  <w:tcW w:w="866" w:type="pct"/>
                  <w:noWrap w:val="0"/>
                  <w:vAlign w:val="center"/>
                </w:tcPr>
                <w:p w14:paraId="7FF43F83">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废矿物油</w:t>
                  </w:r>
                </w:p>
              </w:tc>
              <w:tc>
                <w:tcPr>
                  <w:tcW w:w="549" w:type="pct"/>
                  <w:noWrap w:val="0"/>
                  <w:vAlign w:val="center"/>
                </w:tcPr>
                <w:p w14:paraId="0FA0D2D1">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w:t>
                  </w:r>
                </w:p>
              </w:tc>
              <w:tc>
                <w:tcPr>
                  <w:tcW w:w="549" w:type="pct"/>
                  <w:noWrap w:val="0"/>
                  <w:vAlign w:val="center"/>
                </w:tcPr>
                <w:p w14:paraId="43869729">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矿物油</w:t>
                  </w:r>
                </w:p>
              </w:tc>
              <w:tc>
                <w:tcPr>
                  <w:tcW w:w="779" w:type="pct"/>
                  <w:noWrap w:val="0"/>
                  <w:vAlign w:val="center"/>
                </w:tcPr>
                <w:p w14:paraId="601F08C9">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0.74</w:t>
                  </w:r>
                </w:p>
              </w:tc>
              <w:tc>
                <w:tcPr>
                  <w:tcW w:w="798" w:type="pct"/>
                  <w:noWrap w:val="0"/>
                  <w:vAlign w:val="center"/>
                </w:tcPr>
                <w:p w14:paraId="17B48FCF">
                  <w:pPr>
                    <w:jc w:val="center"/>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cs="Times New Roman"/>
                      <w:color w:val="auto"/>
                      <w:kern w:val="0"/>
                      <w:sz w:val="18"/>
                      <w:szCs w:val="18"/>
                    </w:rPr>
                    <w:t>2500</w:t>
                  </w:r>
                </w:p>
              </w:tc>
              <w:tc>
                <w:tcPr>
                  <w:tcW w:w="1704" w:type="dxa"/>
                  <w:noWrap w:val="0"/>
                  <w:vAlign w:val="center"/>
                </w:tcPr>
                <w:p w14:paraId="66529906">
                  <w:pPr>
                    <w:spacing w:line="240" w:lineRule="exact"/>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0.000296</w:t>
                  </w:r>
                </w:p>
              </w:tc>
            </w:tr>
            <w:tr w14:paraId="1A572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 w:hRule="atLeast"/>
                <w:jc w:val="center"/>
              </w:trPr>
              <w:tc>
                <w:tcPr>
                  <w:tcW w:w="381" w:type="pct"/>
                  <w:noWrap w:val="0"/>
                  <w:vAlign w:val="center"/>
                </w:tcPr>
                <w:p w14:paraId="558F43D4">
                  <w:pPr>
                    <w:snapToGrid w:val="0"/>
                    <w:jc w:val="center"/>
                    <w:rPr>
                      <w:rFonts w:hint="default" w:ascii="Times New Roman" w:hAnsi="Times New Roman" w:eastAsia="宋体" w:cs="Times New Roman"/>
                      <w:bCs/>
                      <w:color w:val="auto"/>
                      <w:sz w:val="18"/>
                      <w:szCs w:val="18"/>
                      <w:lang w:val="en-US" w:eastAsia="zh-CN"/>
                    </w:rPr>
                  </w:pPr>
                  <w:r>
                    <w:rPr>
                      <w:rFonts w:hint="default" w:ascii="Times New Roman" w:hAnsi="Times New Roman" w:cs="Times New Roman"/>
                      <w:bCs/>
                      <w:color w:val="auto"/>
                      <w:sz w:val="18"/>
                      <w:szCs w:val="18"/>
                      <w:lang w:val="en-US" w:eastAsia="zh-CN"/>
                    </w:rPr>
                    <w:t>4</w:t>
                  </w:r>
                </w:p>
              </w:tc>
              <w:tc>
                <w:tcPr>
                  <w:tcW w:w="866" w:type="pct"/>
                  <w:noWrap w:val="0"/>
                  <w:vAlign w:val="center"/>
                </w:tcPr>
                <w:p w14:paraId="198E0B6D">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2"/>
                      <w:sz w:val="18"/>
                      <w:szCs w:val="18"/>
                      <w:lang w:val="en-US" w:eastAsia="zh-CN" w:bidi="ar-SA"/>
                    </w:rPr>
                    <w:t>空压机含油冷凝液</w:t>
                  </w:r>
                </w:p>
              </w:tc>
              <w:tc>
                <w:tcPr>
                  <w:tcW w:w="549" w:type="pct"/>
                  <w:noWrap w:val="0"/>
                  <w:vAlign w:val="center"/>
                </w:tcPr>
                <w:p w14:paraId="741F13D9">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549" w:type="pct"/>
                  <w:noWrap w:val="0"/>
                  <w:vAlign w:val="center"/>
                </w:tcPr>
                <w:p w14:paraId="6887941B">
                  <w:pPr>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矿物油</w:t>
                  </w:r>
                </w:p>
              </w:tc>
              <w:tc>
                <w:tcPr>
                  <w:tcW w:w="779" w:type="pct"/>
                  <w:noWrap w:val="0"/>
                  <w:vAlign w:val="center"/>
                </w:tcPr>
                <w:p w14:paraId="2B012D84">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0.05</w:t>
                  </w:r>
                </w:p>
              </w:tc>
              <w:tc>
                <w:tcPr>
                  <w:tcW w:w="798" w:type="pct"/>
                  <w:noWrap w:val="0"/>
                  <w:vAlign w:val="center"/>
                </w:tcPr>
                <w:p w14:paraId="1FC6415F">
                  <w:pPr>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cs="Times New Roman"/>
                      <w:color w:val="auto"/>
                      <w:kern w:val="0"/>
                      <w:sz w:val="18"/>
                      <w:szCs w:val="18"/>
                      <w:lang w:val="en-US" w:eastAsia="zh-CN" w:bidi="ar-SA"/>
                    </w:rPr>
                    <w:t>2500</w:t>
                  </w:r>
                </w:p>
              </w:tc>
              <w:tc>
                <w:tcPr>
                  <w:tcW w:w="1704" w:type="dxa"/>
                  <w:noWrap w:val="0"/>
                  <w:vAlign w:val="center"/>
                </w:tcPr>
                <w:p w14:paraId="0E4A4A81">
                  <w:pPr>
                    <w:spacing w:line="240" w:lineRule="exact"/>
                    <w:jc w:val="center"/>
                    <w:rPr>
                      <w:rFonts w:hint="default" w:ascii="Times New Roman" w:hAnsi="Times New Roman" w:eastAsia="宋体" w:cs="Times New Roman"/>
                      <w:color w:val="auto"/>
                      <w:kern w:val="0"/>
                      <w:sz w:val="18"/>
                      <w:szCs w:val="18"/>
                      <w:lang w:val="en-US" w:eastAsia="zh-CN"/>
                    </w:rPr>
                  </w:pPr>
                  <w:r>
                    <w:rPr>
                      <w:rFonts w:hint="eastAsia" w:ascii="Times New Roman" w:hAnsi="Times New Roman" w:eastAsia="宋体" w:cs="Times New Roman"/>
                      <w:color w:val="auto"/>
                      <w:kern w:val="2"/>
                      <w:sz w:val="18"/>
                      <w:szCs w:val="18"/>
                      <w:lang w:val="en-US" w:eastAsia="zh-CN" w:bidi="ar-SA"/>
                    </w:rPr>
                    <w:t>0.00002</w:t>
                  </w:r>
                </w:p>
              </w:tc>
            </w:tr>
            <w:tr w14:paraId="1C4C4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 w:hRule="atLeast"/>
                <w:jc w:val="center"/>
              </w:trPr>
              <w:tc>
                <w:tcPr>
                  <w:tcW w:w="3923" w:type="pct"/>
                  <w:gridSpan w:val="6"/>
                  <w:noWrap w:val="0"/>
                  <w:vAlign w:val="center"/>
                </w:tcPr>
                <w:p w14:paraId="30AEBAB7">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项目Q值Σ</w:t>
                  </w:r>
                </w:p>
              </w:tc>
              <w:tc>
                <w:tcPr>
                  <w:tcW w:w="1704" w:type="dxa"/>
                  <w:noWrap w:val="0"/>
                  <w:vAlign w:val="center"/>
                </w:tcPr>
                <w:p w14:paraId="3F4B7409">
                  <w:pPr>
                    <w:spacing w:line="240" w:lineRule="exact"/>
                    <w:jc w:val="center"/>
                    <w:rPr>
                      <w:rFonts w:hint="default" w:ascii="Times New Roman" w:hAnsi="Times New Roman" w:eastAsia="宋体" w:cs="Times New Roman"/>
                      <w:color w:val="auto"/>
                      <w:kern w:val="0"/>
                      <w:sz w:val="18"/>
                      <w:szCs w:val="18"/>
                    </w:rPr>
                  </w:pPr>
                  <w:r>
                    <w:rPr>
                      <w:rFonts w:hint="eastAsia" w:ascii="Times New Roman" w:hAnsi="Times New Roman" w:eastAsia="宋体" w:cs="Times New Roman"/>
                      <w:b/>
                      <w:bCs/>
                      <w:color w:val="auto"/>
                      <w:kern w:val="2"/>
                      <w:sz w:val="18"/>
                      <w:szCs w:val="18"/>
                      <w:lang w:val="en-US" w:eastAsia="zh-CN" w:bidi="ar-SA"/>
                    </w:rPr>
                    <w:t>0.00046</w:t>
                  </w:r>
                </w:p>
              </w:tc>
            </w:tr>
            <w:tr w14:paraId="7311A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3" w:hRule="atLeast"/>
                <w:jc w:val="center"/>
              </w:trPr>
              <w:tc>
                <w:tcPr>
                  <w:tcW w:w="5000" w:type="pct"/>
                  <w:gridSpan w:val="7"/>
                  <w:noWrap w:val="0"/>
                  <w:vAlign w:val="center"/>
                </w:tcPr>
                <w:p w14:paraId="3E829638">
                  <w:pPr>
                    <w:widowControl/>
                    <w:textAlignment w:val="center"/>
                    <w:rPr>
                      <w:rFonts w:hint="default" w:ascii="Times New Roman" w:hAnsi="Times New Roman" w:cs="Times New Roman"/>
                      <w:color w:val="auto"/>
                      <w:kern w:val="0"/>
                      <w:sz w:val="18"/>
                      <w:szCs w:val="18"/>
                    </w:rPr>
                  </w:pPr>
                  <w:r>
                    <w:rPr>
                      <w:rFonts w:hint="default" w:ascii="Times New Roman" w:hAnsi="Times New Roman" w:cs="Times New Roman"/>
                      <w:bCs/>
                      <w:color w:val="auto"/>
                      <w:kern w:val="0"/>
                      <w:sz w:val="18"/>
                      <w:szCs w:val="18"/>
                      <w:lang w:val="en-US" w:eastAsia="zh-CN"/>
                    </w:rPr>
                    <w:t>①</w:t>
                  </w:r>
                  <w:r>
                    <w:rPr>
                      <w:rFonts w:hint="default" w:ascii="Times New Roman" w:hAnsi="Times New Roman" w:cs="Times New Roman"/>
                      <w:bCs/>
                      <w:color w:val="auto"/>
                      <w:kern w:val="0"/>
                      <w:sz w:val="18"/>
                      <w:szCs w:val="18"/>
                    </w:rPr>
                    <w:t>根据（HJ169-2018）附录B：油类物质临界量2500t</w:t>
                  </w:r>
                </w:p>
              </w:tc>
            </w:tr>
          </w:tbl>
          <w:p w14:paraId="44C45990">
            <w:pPr>
              <w:spacing w:line="360" w:lineRule="auto"/>
              <w:ind w:firstLine="480"/>
              <w:rPr>
                <w:rFonts w:hint="default" w:ascii="Times New Roman" w:hAnsi="Times New Roman" w:cs="Times New Roman"/>
                <w:color w:val="auto"/>
                <w:szCs w:val="21"/>
              </w:rPr>
            </w:pPr>
            <w:r>
              <w:rPr>
                <w:rFonts w:hint="default" w:ascii="Times New Roman" w:hAnsi="Times New Roman" w:cs="Times New Roman"/>
                <w:bCs/>
                <w:color w:val="auto"/>
                <w:kern w:val="0"/>
                <w:szCs w:val="21"/>
              </w:rPr>
              <w:t>根据表4-</w:t>
            </w:r>
            <w:r>
              <w:rPr>
                <w:rFonts w:hint="eastAsia" w:ascii="Times New Roman" w:hAnsi="Times New Roman" w:cs="Times New Roman"/>
                <w:bCs/>
                <w:color w:val="auto"/>
                <w:kern w:val="0"/>
                <w:szCs w:val="21"/>
                <w:lang w:val="en-US" w:eastAsia="zh-CN"/>
              </w:rPr>
              <w:t>19</w:t>
            </w:r>
            <w:r>
              <w:rPr>
                <w:rFonts w:hint="default" w:ascii="Times New Roman" w:hAnsi="Times New Roman" w:cs="Times New Roman"/>
                <w:bCs/>
                <w:color w:val="auto"/>
                <w:kern w:val="0"/>
                <w:szCs w:val="21"/>
              </w:rPr>
              <w:t>可知，</w:t>
            </w:r>
            <w:r>
              <w:rPr>
                <w:rFonts w:hint="default" w:ascii="Times New Roman" w:hAnsi="Times New Roman" w:cs="Times New Roman"/>
                <w:color w:val="auto"/>
                <w:szCs w:val="21"/>
              </w:rPr>
              <w:t>本项目Q=</w:t>
            </w:r>
            <w:r>
              <w:rPr>
                <w:rFonts w:hint="eastAsia" w:ascii="Times New Roman" w:hAnsi="Times New Roman" w:cs="Times New Roman"/>
                <w:color w:val="auto"/>
                <w:kern w:val="0"/>
                <w:szCs w:val="21"/>
                <w:lang w:eastAsia="zh-CN"/>
              </w:rPr>
              <w:t>0.000</w:t>
            </w:r>
            <w:r>
              <w:rPr>
                <w:rFonts w:hint="eastAsia" w:ascii="Times New Roman" w:hAnsi="Times New Roman" w:cs="Times New Roman"/>
                <w:color w:val="auto"/>
                <w:kern w:val="0"/>
                <w:szCs w:val="21"/>
                <w:lang w:val="en-US" w:eastAsia="zh-CN"/>
              </w:rPr>
              <w:t>6</w:t>
            </w:r>
            <w:r>
              <w:rPr>
                <w:rFonts w:hint="default" w:ascii="Times New Roman" w:hAnsi="Times New Roman" w:cs="Times New Roman"/>
                <w:color w:val="auto"/>
                <w:szCs w:val="21"/>
              </w:rPr>
              <w:t>（Q＜1），故本项目储存的环境风险物质未超过临界量。</w:t>
            </w:r>
          </w:p>
          <w:p w14:paraId="55B4A654">
            <w:pPr>
              <w:spacing w:line="360" w:lineRule="auto"/>
              <w:ind w:firstLine="422" w:firstLineChars="200"/>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（3）风险防范措施</w:t>
            </w:r>
          </w:p>
          <w:p w14:paraId="163A5A7E">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w:t>
            </w:r>
            <w:r>
              <w:rPr>
                <w:rFonts w:hint="eastAsia" w:ascii="Times New Roman" w:hAnsi="Times New Roman" w:cs="Times New Roman"/>
                <w:color w:val="auto"/>
                <w:sz w:val="21"/>
                <w:szCs w:val="21"/>
                <w:lang w:val="en-US" w:eastAsia="zh-CN"/>
              </w:rPr>
              <w:t>液压油、润滑油</w:t>
            </w:r>
            <w:r>
              <w:rPr>
                <w:rFonts w:hint="default" w:ascii="Times New Roman" w:hAnsi="Times New Roman" w:cs="Times New Roman"/>
                <w:color w:val="auto"/>
                <w:sz w:val="21"/>
                <w:szCs w:val="21"/>
                <w:lang w:eastAsia="zh-CN"/>
              </w:rPr>
              <w:t>等</w:t>
            </w:r>
            <w:r>
              <w:rPr>
                <w:rFonts w:hint="default" w:ascii="Times New Roman" w:hAnsi="Times New Roman" w:eastAsia="宋体" w:cs="Times New Roman"/>
                <w:color w:val="auto"/>
                <w:sz w:val="21"/>
                <w:szCs w:val="21"/>
              </w:rPr>
              <w:t>液体物料分类存储在密闭的容器中，0-40℃室内贮存，避免极端低温、日光</w:t>
            </w:r>
            <w:r>
              <w:rPr>
                <w:rFonts w:hint="default" w:ascii="Times New Roman" w:hAnsi="Times New Roman" w:eastAsia="宋体" w:cs="Times New Roman"/>
                <w:color w:val="auto"/>
                <w:sz w:val="21"/>
                <w:szCs w:val="21"/>
                <w:lang w:eastAsia="zh-CN"/>
              </w:rPr>
              <w:t>暴晒</w:t>
            </w:r>
            <w:r>
              <w:rPr>
                <w:rFonts w:hint="default" w:ascii="Times New Roman" w:hAnsi="Times New Roman" w:eastAsia="宋体" w:cs="Times New Roman"/>
                <w:color w:val="auto"/>
                <w:sz w:val="21"/>
                <w:szCs w:val="21"/>
              </w:rPr>
              <w:t>和雨淋，远离热源和火源。搬运过程中防止跌落或碰撞。</w:t>
            </w:r>
          </w:p>
          <w:p w14:paraId="205A3CA4">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②</w:t>
            </w:r>
            <w:r>
              <w:rPr>
                <w:rFonts w:hint="eastAsia" w:ascii="Times New Roman" w:hAnsi="Times New Roman" w:cs="Times New Roman"/>
                <w:color w:val="auto"/>
                <w:sz w:val="21"/>
                <w:szCs w:val="21"/>
                <w:lang w:eastAsia="zh-CN"/>
              </w:rPr>
              <w:t>液体物料暂存区</w:t>
            </w:r>
            <w:r>
              <w:rPr>
                <w:rFonts w:hint="default" w:ascii="Times New Roman" w:hAnsi="Times New Roman" w:eastAsia="宋体" w:cs="Times New Roman"/>
                <w:color w:val="auto"/>
                <w:sz w:val="21"/>
                <w:szCs w:val="21"/>
              </w:rPr>
              <w:t>及</w:t>
            </w:r>
            <w:r>
              <w:rPr>
                <w:rFonts w:hint="eastAsia" w:ascii="Times New Roman" w:hAnsi="Times New Roman" w:cs="Times New Roman"/>
                <w:color w:val="auto"/>
                <w:sz w:val="21"/>
                <w:szCs w:val="21"/>
                <w:lang w:eastAsia="zh-CN"/>
              </w:rPr>
              <w:t>危险废物贮存库</w:t>
            </w:r>
            <w:r>
              <w:rPr>
                <w:rFonts w:hint="default" w:ascii="Times New Roman" w:hAnsi="Times New Roman" w:eastAsia="宋体" w:cs="Times New Roman"/>
                <w:color w:val="auto"/>
                <w:sz w:val="21"/>
                <w:szCs w:val="21"/>
              </w:rPr>
              <w:t>地面与裙脚用坚固、防腐防渗材料建造，且各自设置围堰或</w:t>
            </w:r>
            <w:r>
              <w:rPr>
                <w:rFonts w:hint="default" w:ascii="Times New Roman" w:hAnsi="Times New Roman" w:eastAsia="宋体" w:cs="Times New Roman"/>
                <w:color w:val="auto"/>
                <w:sz w:val="21"/>
                <w:szCs w:val="21"/>
                <w:highlight w:val="none"/>
              </w:rPr>
              <w:t>托盘</w:t>
            </w:r>
            <w:r>
              <w:rPr>
                <w:rFonts w:hint="default" w:ascii="Times New Roman" w:hAnsi="Times New Roman" w:eastAsia="宋体" w:cs="Times New Roman"/>
                <w:color w:val="auto"/>
                <w:sz w:val="21"/>
                <w:szCs w:val="21"/>
              </w:rPr>
              <w:t>。</w:t>
            </w:r>
          </w:p>
          <w:p w14:paraId="49B6CD06">
            <w:pPr>
              <w:spacing w:line="360" w:lineRule="auto"/>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③</w:t>
            </w:r>
            <w:r>
              <w:rPr>
                <w:rFonts w:hint="eastAsia" w:ascii="Times New Roman" w:hAnsi="Times New Roman" w:cs="Times New Roman"/>
                <w:color w:val="auto"/>
                <w:sz w:val="21"/>
                <w:szCs w:val="21"/>
                <w:lang w:eastAsia="zh-CN"/>
              </w:rPr>
              <w:t>液体物料暂存区</w:t>
            </w:r>
            <w:r>
              <w:rPr>
                <w:rFonts w:hint="default" w:ascii="Times New Roman" w:hAnsi="Times New Roman" w:eastAsia="宋体" w:cs="Times New Roman"/>
                <w:color w:val="auto"/>
                <w:sz w:val="21"/>
                <w:szCs w:val="21"/>
              </w:rPr>
              <w:t>及</w:t>
            </w:r>
            <w:r>
              <w:rPr>
                <w:rFonts w:hint="eastAsia" w:ascii="Times New Roman" w:hAnsi="Times New Roman" w:cs="Times New Roman"/>
                <w:color w:val="auto"/>
                <w:sz w:val="21"/>
                <w:szCs w:val="21"/>
                <w:lang w:eastAsia="zh-CN"/>
              </w:rPr>
              <w:t>危险废物贮存库</w:t>
            </w:r>
            <w:r>
              <w:rPr>
                <w:rFonts w:hint="default" w:ascii="Times New Roman" w:hAnsi="Times New Roman" w:eastAsia="宋体" w:cs="Times New Roman"/>
                <w:color w:val="auto"/>
                <w:sz w:val="21"/>
                <w:szCs w:val="21"/>
              </w:rPr>
              <w:t>应配备消防物品如</w:t>
            </w:r>
            <w:r>
              <w:rPr>
                <w:rFonts w:hint="default" w:ascii="Times New Roman" w:hAnsi="Times New Roman" w:eastAsia="宋体" w:cs="Times New Roman"/>
                <w:color w:val="auto"/>
                <w:sz w:val="21"/>
                <w:szCs w:val="21"/>
                <w:highlight w:val="none"/>
                <w:lang w:eastAsia="zh-CN"/>
              </w:rPr>
              <w:t>沙子</w:t>
            </w:r>
            <w:r>
              <w:rPr>
                <w:rFonts w:hint="default" w:ascii="Times New Roman" w:hAnsi="Times New Roman" w:eastAsia="宋体" w:cs="Times New Roman"/>
                <w:color w:val="auto"/>
                <w:sz w:val="21"/>
                <w:szCs w:val="21"/>
              </w:rPr>
              <w:t>、棉纱等，少量泄漏的场合可吸附泄漏物。</w:t>
            </w:r>
          </w:p>
          <w:p w14:paraId="13114651">
            <w:pPr>
              <w:adjustRightInd w:val="0"/>
              <w:snapToGrid w:val="0"/>
              <w:spacing w:line="360" w:lineRule="auto"/>
              <w:ind w:firstLine="420" w:firstLineChars="200"/>
              <w:rPr>
                <w:rFonts w:hint="default" w:ascii="Times New Roman" w:hAnsi="Times New Roman" w:cs="Times New Roman"/>
                <w:color w:val="auto"/>
                <w:szCs w:val="21"/>
              </w:rPr>
            </w:pPr>
            <w:r>
              <w:rPr>
                <w:rFonts w:hint="default" w:ascii="Times New Roman" w:hAnsi="Times New Roman" w:eastAsia="宋体" w:cs="Times New Roman"/>
                <w:color w:val="auto"/>
                <w:sz w:val="21"/>
                <w:szCs w:val="21"/>
              </w:rPr>
              <w:t>④建立完善的安全生产管理制度、操作规范，加强生产工人安全环境意识教育，实行持证上岗。建立环境风险应急预案，明确人员责任。加强巡查，发现物料出现泄漏时，</w:t>
            </w:r>
            <w:r>
              <w:rPr>
                <w:rFonts w:hint="default" w:ascii="Times New Roman" w:hAnsi="Times New Roman" w:eastAsia="宋体" w:cs="Times New Roman"/>
                <w:color w:val="auto"/>
                <w:sz w:val="21"/>
                <w:szCs w:val="21"/>
                <w:lang w:eastAsia="zh-CN"/>
              </w:rPr>
              <w:t>应立即</w:t>
            </w:r>
            <w:r>
              <w:rPr>
                <w:rFonts w:hint="default" w:ascii="Times New Roman" w:hAnsi="Times New Roman" w:eastAsia="宋体" w:cs="Times New Roman"/>
                <w:color w:val="auto"/>
                <w:sz w:val="21"/>
                <w:szCs w:val="21"/>
              </w:rPr>
              <w:t>停止生产，及时补漏。</w:t>
            </w:r>
          </w:p>
        </w:tc>
      </w:tr>
    </w:tbl>
    <w:p w14:paraId="63327E02">
      <w:pPr>
        <w:pStyle w:val="26"/>
        <w:outlineLvl w:val="0"/>
        <w:rPr>
          <w:rFonts w:hint="default" w:ascii="Times New Roman" w:hAnsi="Times New Roman" w:cs="Times New Roman"/>
          <w:snapToGrid w:val="0"/>
          <w:color w:val="auto"/>
          <w:sz w:val="30"/>
          <w:szCs w:val="30"/>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547B822A">
      <w:pPr>
        <w:pStyle w:val="26"/>
        <w:jc w:val="center"/>
        <w:outlineLvl w:val="0"/>
        <w:rPr>
          <w:rFonts w:hint="default" w:ascii="Times New Roman" w:hAnsi="Times New Roman" w:cs="Times New Roman"/>
          <w:snapToGrid w:val="0"/>
          <w:color w:val="auto"/>
          <w:sz w:val="30"/>
          <w:szCs w:val="30"/>
        </w:rPr>
      </w:pPr>
      <w:r>
        <w:rPr>
          <w:rFonts w:hint="default" w:ascii="Times New Roman" w:hAnsi="Times New Roman" w:cs="Times New Roman"/>
          <w:snapToGrid w:val="0"/>
          <w:color w:val="auto"/>
          <w:sz w:val="30"/>
          <w:szCs w:val="30"/>
        </w:rPr>
        <w:t>五、</w:t>
      </w:r>
      <w:bookmarkStart w:id="57" w:name="_Hlk54167917"/>
      <w:r>
        <w:rPr>
          <w:rFonts w:hint="default" w:ascii="Times New Roman" w:hAnsi="Times New Roman" w:cs="Times New Roman"/>
          <w:snapToGrid w:val="0"/>
          <w:color w:val="auto"/>
          <w:sz w:val="30"/>
          <w:szCs w:val="30"/>
        </w:rPr>
        <w:t>环境保护措施监督检查清单</w:t>
      </w:r>
      <w:bookmarkEnd w:id="57"/>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2"/>
        <w:gridCol w:w="627"/>
        <w:gridCol w:w="723"/>
        <w:gridCol w:w="1391"/>
        <w:gridCol w:w="2959"/>
        <w:gridCol w:w="2208"/>
      </w:tblGrid>
      <w:tr w14:paraId="33211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2" w:type="dxa"/>
            <w:tcBorders>
              <w:tl2br w:val="single" w:color="auto" w:sz="4" w:space="0"/>
            </w:tcBorders>
            <w:noWrap w:val="0"/>
            <w:vAlign w:val="top"/>
          </w:tcPr>
          <w:p w14:paraId="63DDBC7A">
            <w:pPr>
              <w:adjustRightInd w:val="0"/>
              <w:snapToGrid w:val="0"/>
              <w:jc w:val="righ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内容</w:t>
            </w:r>
          </w:p>
          <w:p w14:paraId="462AEB90">
            <w:pPr>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要素</w:t>
            </w:r>
          </w:p>
        </w:tc>
        <w:tc>
          <w:tcPr>
            <w:tcW w:w="1350" w:type="dxa"/>
            <w:gridSpan w:val="2"/>
            <w:noWrap w:val="0"/>
            <w:vAlign w:val="center"/>
          </w:tcPr>
          <w:p w14:paraId="478843A1">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排放口（编号、名称）/污染源</w:t>
            </w:r>
          </w:p>
        </w:tc>
        <w:tc>
          <w:tcPr>
            <w:tcW w:w="1391" w:type="dxa"/>
            <w:noWrap w:val="0"/>
            <w:vAlign w:val="center"/>
          </w:tcPr>
          <w:p w14:paraId="10650AD8">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污染物项目</w:t>
            </w:r>
          </w:p>
        </w:tc>
        <w:tc>
          <w:tcPr>
            <w:tcW w:w="2959" w:type="dxa"/>
            <w:noWrap w:val="0"/>
            <w:vAlign w:val="center"/>
          </w:tcPr>
          <w:p w14:paraId="27B2C780">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环境保护措施</w:t>
            </w:r>
          </w:p>
        </w:tc>
        <w:tc>
          <w:tcPr>
            <w:tcW w:w="2208" w:type="dxa"/>
            <w:noWrap w:val="0"/>
            <w:vAlign w:val="center"/>
          </w:tcPr>
          <w:p w14:paraId="148A4A3C">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执行标准</w:t>
            </w:r>
          </w:p>
        </w:tc>
      </w:tr>
      <w:tr w14:paraId="4F324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2" w:type="dxa"/>
            <w:vMerge w:val="restart"/>
            <w:noWrap w:val="0"/>
            <w:vAlign w:val="center"/>
          </w:tcPr>
          <w:p w14:paraId="0CD759ED">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大气环境</w:t>
            </w:r>
          </w:p>
        </w:tc>
        <w:tc>
          <w:tcPr>
            <w:tcW w:w="627" w:type="dxa"/>
            <w:noWrap w:val="0"/>
            <w:vAlign w:val="center"/>
          </w:tcPr>
          <w:p w14:paraId="2F1FCAF4">
            <w:pPr>
              <w:pStyle w:val="68"/>
              <w:adjustRightInd/>
              <w:snapToGrid/>
              <w:spacing w:line="240" w:lineRule="auto"/>
              <w:rPr>
                <w:rFonts w:hint="default" w:ascii="Times New Roman" w:hAnsi="Times New Roman" w:eastAsia="宋体" w:cs="Times New Roman"/>
                <w:bCs/>
                <w:color w:val="auto"/>
                <w:sz w:val="18"/>
                <w:szCs w:val="18"/>
                <w:lang w:eastAsia="zh-CN"/>
              </w:rPr>
            </w:pPr>
            <w:r>
              <w:rPr>
                <w:rFonts w:hint="default" w:ascii="Times New Roman" w:hAnsi="Times New Roman" w:cs="Times New Roman"/>
                <w:bCs/>
                <w:color w:val="auto"/>
                <w:sz w:val="18"/>
                <w:szCs w:val="18"/>
                <w:lang w:val="en-US" w:eastAsia="zh-CN"/>
              </w:rPr>
              <w:t>有组织</w:t>
            </w:r>
          </w:p>
        </w:tc>
        <w:tc>
          <w:tcPr>
            <w:tcW w:w="723" w:type="dxa"/>
            <w:noWrap w:val="0"/>
            <w:vAlign w:val="center"/>
          </w:tcPr>
          <w:p w14:paraId="1F6BA742">
            <w:pPr>
              <w:adjustRightInd w:val="0"/>
              <w:snapToGrid w:val="0"/>
              <w:spacing w:beforeLines="10" w:afterLines="10" w:line="259" w:lineRule="auto"/>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kern w:val="0"/>
                <w:sz w:val="18"/>
                <w:szCs w:val="18"/>
                <w:lang w:val="en-US" w:eastAsia="zh-CN"/>
              </w:rPr>
              <w:t>注塑废气排放口</w:t>
            </w:r>
          </w:p>
        </w:tc>
        <w:tc>
          <w:tcPr>
            <w:tcW w:w="1391" w:type="dxa"/>
            <w:noWrap w:val="0"/>
            <w:vAlign w:val="center"/>
          </w:tcPr>
          <w:p w14:paraId="7EDE76F8">
            <w:pPr>
              <w:pStyle w:val="26"/>
              <w:adjustRightInd w:val="0"/>
              <w:snapToGrid w:val="0"/>
              <w:spacing w:before="0" w:beforeAutospacing="0" w:after="0" w:afterAutospacing="0" w:line="240" w:lineRule="auto"/>
              <w:jc w:val="both"/>
              <w:outlineLvl w:val="0"/>
              <w:rPr>
                <w:rFonts w:hint="default" w:ascii="Times New Roman" w:hAnsi="Times New Roman" w:eastAsia="宋体" w:cs="Times New Roman"/>
                <w:b w:val="0"/>
                <w:bCs/>
                <w:snapToGrid w:val="0"/>
                <w:color w:val="auto"/>
                <w:kern w:val="0"/>
                <w:sz w:val="18"/>
                <w:szCs w:val="18"/>
                <w:vertAlign w:val="baseline"/>
                <w:lang w:val="en-US" w:eastAsia="zh-CN" w:bidi="ar-SA"/>
              </w:rPr>
            </w:pPr>
            <w:r>
              <w:rPr>
                <w:rFonts w:hint="default" w:ascii="Times New Roman" w:hAnsi="Times New Roman" w:eastAsia="宋体" w:cs="Times New Roman"/>
                <w:b w:val="0"/>
                <w:bCs/>
                <w:snapToGrid w:val="0"/>
                <w:color w:val="auto"/>
                <w:kern w:val="0"/>
                <w:sz w:val="18"/>
                <w:szCs w:val="18"/>
                <w:vertAlign w:val="baseline"/>
                <w:lang w:val="en-US" w:eastAsia="zh-CN" w:bidi="ar-SA"/>
              </w:rPr>
              <w:t>非甲烷总烃</w:t>
            </w:r>
            <w:r>
              <w:rPr>
                <w:rFonts w:hint="eastAsia" w:ascii="Times New Roman" w:hAnsi="Times New Roman" w:eastAsia="宋体" w:cs="Times New Roman"/>
                <w:b w:val="0"/>
                <w:bCs/>
                <w:snapToGrid w:val="0"/>
                <w:color w:val="auto"/>
                <w:kern w:val="0"/>
                <w:sz w:val="18"/>
                <w:szCs w:val="18"/>
                <w:vertAlign w:val="baseline"/>
                <w:lang w:val="en-US" w:eastAsia="zh-CN" w:bidi="ar-SA"/>
              </w:rPr>
              <w:t>、颗粒物、</w:t>
            </w:r>
            <w:r>
              <w:rPr>
                <w:rFonts w:hint="default" w:ascii="Times New Roman" w:hAnsi="Times New Roman" w:eastAsia="宋体" w:cs="Times New Roman"/>
                <w:b w:val="0"/>
                <w:bCs/>
                <w:snapToGrid w:val="0"/>
                <w:color w:val="auto"/>
                <w:kern w:val="0"/>
                <w:sz w:val="18"/>
                <w:szCs w:val="18"/>
                <w:vertAlign w:val="baseline"/>
                <w:lang w:val="en-US" w:eastAsia="zh-CN" w:bidi="ar-SA"/>
              </w:rPr>
              <w:t>苯乙烯、丙烯腈、乙苯、甲苯</w:t>
            </w:r>
            <w:r>
              <w:rPr>
                <w:rFonts w:hint="eastAsia" w:ascii="Times New Roman" w:hAnsi="Times New Roman" w:eastAsia="宋体" w:cs="Times New Roman"/>
                <w:b w:val="0"/>
                <w:bCs/>
                <w:snapToGrid w:val="0"/>
                <w:color w:val="auto"/>
                <w:kern w:val="0"/>
                <w:sz w:val="18"/>
                <w:szCs w:val="18"/>
                <w:vertAlign w:val="baseline"/>
                <w:lang w:val="en-US" w:eastAsia="zh-CN" w:bidi="ar-SA"/>
              </w:rPr>
              <w:t>、</w:t>
            </w:r>
            <w:r>
              <w:rPr>
                <w:rFonts w:hint="default" w:ascii="Times New Roman" w:hAnsi="Times New Roman" w:eastAsia="宋体" w:cs="Times New Roman"/>
                <w:b w:val="0"/>
                <w:bCs/>
                <w:snapToGrid w:val="0"/>
                <w:color w:val="auto"/>
                <w:kern w:val="0"/>
                <w:sz w:val="18"/>
                <w:szCs w:val="18"/>
                <w:vertAlign w:val="baseline"/>
                <w:lang w:val="en-US" w:eastAsia="zh-CN" w:bidi="ar-SA"/>
              </w:rPr>
              <w:t>1,3-丁二烯</w:t>
            </w:r>
          </w:p>
        </w:tc>
        <w:tc>
          <w:tcPr>
            <w:tcW w:w="2959" w:type="dxa"/>
            <w:noWrap w:val="0"/>
            <w:vAlign w:val="center"/>
          </w:tcPr>
          <w:p w14:paraId="1AD03079">
            <w:pPr>
              <w:adjustRightInd w:val="0"/>
              <w:snapToGrid w:val="0"/>
              <w:jc w:val="left"/>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rPr>
              <w:t>拟在</w:t>
            </w:r>
            <w:r>
              <w:rPr>
                <w:rFonts w:hint="default" w:ascii="Times New Roman" w:hAnsi="Times New Roman" w:cs="Times New Roman"/>
                <w:color w:val="auto"/>
                <w:sz w:val="18"/>
                <w:szCs w:val="18"/>
                <w:lang w:val="en-US" w:eastAsia="zh-CN"/>
              </w:rPr>
              <w:t>注塑机</w:t>
            </w:r>
            <w:r>
              <w:rPr>
                <w:rFonts w:hint="default" w:ascii="Times New Roman" w:hAnsi="Times New Roman" w:cs="Times New Roman"/>
                <w:color w:val="auto"/>
                <w:sz w:val="18"/>
                <w:szCs w:val="18"/>
              </w:rPr>
              <w:t>上方设置集气罩收集</w:t>
            </w:r>
            <w:r>
              <w:rPr>
                <w:rFonts w:hint="default" w:ascii="Times New Roman" w:hAnsi="Times New Roman" w:cs="Times New Roman"/>
                <w:color w:val="auto"/>
                <w:sz w:val="18"/>
                <w:szCs w:val="18"/>
                <w:lang w:val="en-US" w:eastAsia="zh-CN"/>
              </w:rPr>
              <w:t>注塑过程中产生的</w:t>
            </w:r>
            <w:r>
              <w:rPr>
                <w:rFonts w:hint="default" w:ascii="Times New Roman" w:hAnsi="Times New Roman" w:cs="Times New Roman"/>
                <w:color w:val="auto"/>
                <w:sz w:val="18"/>
                <w:szCs w:val="18"/>
                <w:lang w:eastAsia="zh-CN"/>
              </w:rPr>
              <w:t>废气</w:t>
            </w:r>
            <w:r>
              <w:rPr>
                <w:rFonts w:hint="default" w:ascii="Times New Roman" w:hAnsi="Times New Roman" w:cs="Times New Roman"/>
                <w:color w:val="auto"/>
                <w:sz w:val="18"/>
                <w:szCs w:val="18"/>
              </w:rPr>
              <w:t>，</w:t>
            </w:r>
            <w:r>
              <w:rPr>
                <w:rFonts w:hint="default" w:ascii="Times New Roman" w:hAnsi="Times New Roman" w:cs="Times New Roman"/>
                <w:color w:val="auto"/>
                <w:sz w:val="18"/>
                <w:szCs w:val="18"/>
                <w:lang w:val="en-US" w:eastAsia="zh-CN"/>
              </w:rPr>
              <w:t>废气收集后经过滤棉+两级活性炭处理最后经</w:t>
            </w:r>
            <w:r>
              <w:rPr>
                <w:rFonts w:hint="eastAsia" w:ascii="Times New Roman" w:hAnsi="Times New Roman" w:cs="Times New Roman"/>
                <w:color w:val="auto"/>
                <w:sz w:val="18"/>
                <w:szCs w:val="18"/>
                <w:lang w:val="en-US" w:eastAsia="zh-CN"/>
              </w:rPr>
              <w:t>25m</w:t>
            </w:r>
            <w:r>
              <w:rPr>
                <w:rFonts w:hint="default" w:ascii="Times New Roman" w:hAnsi="Times New Roman" w:cs="Times New Roman"/>
                <w:color w:val="auto"/>
                <w:sz w:val="18"/>
                <w:szCs w:val="18"/>
                <w:lang w:val="en-US" w:eastAsia="zh-CN"/>
              </w:rPr>
              <w:t>高排气筒引至楼顶排放</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kern w:val="0"/>
                <w:sz w:val="18"/>
                <w:szCs w:val="18"/>
                <w:lang w:val="en-US" w:eastAsia="zh-CN"/>
              </w:rPr>
              <w:t>风机风量为</w:t>
            </w:r>
            <w:r>
              <w:rPr>
                <w:rFonts w:hint="eastAsia" w:ascii="Times New Roman" w:hAnsi="Times New Roman" w:cs="Times New Roman"/>
                <w:color w:val="auto"/>
                <w:kern w:val="0"/>
                <w:sz w:val="18"/>
                <w:szCs w:val="18"/>
                <w:lang w:val="en-US" w:eastAsia="zh-CN"/>
              </w:rPr>
              <w:t>14000</w:t>
            </w:r>
            <w:r>
              <w:rPr>
                <w:rFonts w:hint="default" w:ascii="Times New Roman" w:hAnsi="Times New Roman" w:cs="Times New Roman"/>
                <w:color w:val="auto"/>
                <w:sz w:val="18"/>
                <w:szCs w:val="18"/>
              </w:rPr>
              <w:t>m</w:t>
            </w:r>
            <w:r>
              <w:rPr>
                <w:rFonts w:hint="default" w:ascii="Times New Roman" w:hAnsi="Times New Roman" w:cs="Times New Roman"/>
                <w:color w:val="auto"/>
                <w:sz w:val="18"/>
                <w:szCs w:val="18"/>
                <w:vertAlign w:val="superscript"/>
              </w:rPr>
              <w:t>3</w:t>
            </w:r>
            <w:r>
              <w:rPr>
                <w:rFonts w:hint="default" w:ascii="Times New Roman" w:hAnsi="Times New Roman" w:cs="Times New Roman"/>
                <w:color w:val="auto"/>
                <w:sz w:val="18"/>
                <w:szCs w:val="18"/>
              </w:rPr>
              <w:t>/h</w:t>
            </w:r>
          </w:p>
        </w:tc>
        <w:tc>
          <w:tcPr>
            <w:tcW w:w="2208" w:type="dxa"/>
            <w:noWrap w:val="0"/>
            <w:vAlign w:val="center"/>
          </w:tcPr>
          <w:p w14:paraId="6705376B">
            <w:pPr>
              <w:pStyle w:val="63"/>
              <w:spacing w:line="240" w:lineRule="auto"/>
              <w:ind w:firstLine="0" w:firstLineChars="0"/>
              <w:jc w:val="center"/>
              <w:rPr>
                <w:rFonts w:hint="default" w:ascii="Times New Roman" w:hAnsi="Times New Roman" w:cs="Times New Roman"/>
                <w:color w:val="auto"/>
                <w:sz w:val="18"/>
                <w:szCs w:val="18"/>
                <w:highlight w:val="none"/>
                <w:lang w:val="en-US" w:eastAsia="zh-CN"/>
              </w:rPr>
            </w:pPr>
            <w:r>
              <w:rPr>
                <w:rFonts w:hint="default" w:ascii="Times New Roman" w:hAnsi="Times New Roman" w:eastAsia="宋体" w:cs="Times New Roman"/>
                <w:color w:val="auto"/>
                <w:kern w:val="2"/>
                <w:sz w:val="18"/>
                <w:szCs w:val="18"/>
                <w:highlight w:val="none"/>
                <w:lang w:val="en-US" w:eastAsia="zh-CN" w:bidi="ar-SA"/>
              </w:rPr>
              <w:t>《</w:t>
            </w:r>
            <w:r>
              <w:rPr>
                <w:rFonts w:hint="default" w:ascii="Times New Roman" w:hAnsi="Times New Roman" w:eastAsia="宋体" w:cs="Times New Roman"/>
                <w:color w:val="auto"/>
                <w:sz w:val="18"/>
                <w:szCs w:val="18"/>
                <w:highlight w:val="none"/>
                <w:lang w:val="en-US" w:eastAsia="zh-CN"/>
              </w:rPr>
              <w:t>合成树脂工业污染物排放标准》</w:t>
            </w:r>
            <w:r>
              <w:rPr>
                <w:rFonts w:hint="eastAsia" w:cs="Times New Roman"/>
                <w:color w:val="auto"/>
                <w:sz w:val="18"/>
                <w:szCs w:val="18"/>
                <w:highlight w:val="none"/>
                <w:lang w:val="en-US" w:eastAsia="zh-CN"/>
              </w:rPr>
              <w:t>（GB 31572-2015），含2024年修改单）</w:t>
            </w:r>
          </w:p>
          <w:p w14:paraId="49D07B55">
            <w:pPr>
              <w:pStyle w:val="63"/>
              <w:spacing w:line="240" w:lineRule="auto"/>
              <w:ind w:firstLine="0" w:firstLineChars="0"/>
              <w:jc w:val="center"/>
              <w:rPr>
                <w:rFonts w:hint="default" w:ascii="Times New Roman" w:hAnsi="Times New Roman" w:eastAsia="宋体" w:cs="Times New Roman"/>
                <w:bCs/>
                <w:color w:val="auto"/>
                <w:spacing w:val="-10"/>
                <w:kern w:val="2"/>
                <w:sz w:val="18"/>
                <w:szCs w:val="18"/>
                <w:lang w:val="en-US" w:eastAsia="zh-CN" w:bidi="ar-SA"/>
              </w:rPr>
            </w:pPr>
            <w:r>
              <w:rPr>
                <w:rFonts w:hint="default" w:ascii="Times New Roman" w:hAnsi="Times New Roman" w:cs="Times New Roman"/>
                <w:color w:val="auto"/>
                <w:sz w:val="18"/>
                <w:szCs w:val="18"/>
                <w:highlight w:val="none"/>
                <w:lang w:val="en-US" w:eastAsia="zh-CN"/>
              </w:rPr>
              <w:t>注：1,3-丁二烯待监测待国家污染物监测方法标准发布后实施</w:t>
            </w:r>
          </w:p>
        </w:tc>
      </w:tr>
      <w:tr w14:paraId="7FC0F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92" w:type="dxa"/>
            <w:vMerge w:val="continue"/>
            <w:noWrap w:val="0"/>
            <w:vAlign w:val="center"/>
          </w:tcPr>
          <w:p w14:paraId="44D7D310">
            <w:pPr>
              <w:adjustRightInd w:val="0"/>
              <w:snapToGrid w:val="0"/>
              <w:jc w:val="center"/>
              <w:rPr>
                <w:rFonts w:hint="default" w:ascii="Times New Roman" w:hAnsi="Times New Roman" w:cs="Times New Roman"/>
                <w:color w:val="auto"/>
                <w:sz w:val="18"/>
                <w:szCs w:val="18"/>
              </w:rPr>
            </w:pPr>
          </w:p>
        </w:tc>
        <w:tc>
          <w:tcPr>
            <w:tcW w:w="627" w:type="dxa"/>
            <w:vMerge w:val="restart"/>
            <w:noWrap w:val="0"/>
            <w:vAlign w:val="center"/>
          </w:tcPr>
          <w:p w14:paraId="7B5B3E56">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无组织</w:t>
            </w:r>
          </w:p>
        </w:tc>
        <w:tc>
          <w:tcPr>
            <w:tcW w:w="723" w:type="dxa"/>
            <w:noWrap w:val="0"/>
            <w:vAlign w:val="center"/>
          </w:tcPr>
          <w:p w14:paraId="53AB518C">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厂界</w:t>
            </w:r>
          </w:p>
        </w:tc>
        <w:tc>
          <w:tcPr>
            <w:tcW w:w="1391" w:type="dxa"/>
            <w:noWrap w:val="0"/>
            <w:vAlign w:val="center"/>
          </w:tcPr>
          <w:p w14:paraId="50A2DC37">
            <w:pPr>
              <w:pStyle w:val="115"/>
              <w:spacing w:line="240" w:lineRule="auto"/>
              <w:ind w:firstLine="0" w:firstLineChars="0"/>
              <w:jc w:val="center"/>
              <w:rPr>
                <w:rFonts w:hint="default" w:ascii="Times New Roman" w:hAnsi="Times New Roman" w:eastAsia="宋体" w:cs="Times New Roman"/>
                <w:color w:val="auto"/>
                <w:kern w:val="2"/>
                <w:sz w:val="18"/>
                <w:szCs w:val="18"/>
                <w:lang w:val="en-US" w:eastAsia="zh-CN"/>
              </w:rPr>
            </w:pPr>
            <w:r>
              <w:rPr>
                <w:rFonts w:hint="default" w:ascii="Times New Roman" w:hAnsi="Times New Roman" w:eastAsia="宋体" w:cs="Times New Roman"/>
                <w:color w:val="auto"/>
                <w:kern w:val="2"/>
                <w:sz w:val="18"/>
                <w:szCs w:val="18"/>
                <w:lang w:val="en-US" w:eastAsia="zh-CN"/>
              </w:rPr>
              <w:t>非甲烷总烃</w:t>
            </w:r>
          </w:p>
          <w:p w14:paraId="5F741EDC">
            <w:pPr>
              <w:pStyle w:val="115"/>
              <w:spacing w:line="240" w:lineRule="auto"/>
              <w:ind w:firstLine="0" w:firstLineChars="0"/>
              <w:jc w:val="center"/>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rPr>
              <w:t>颗粒物</w:t>
            </w:r>
          </w:p>
          <w:p w14:paraId="31898707">
            <w:pPr>
              <w:pStyle w:val="115"/>
              <w:spacing w:line="240" w:lineRule="auto"/>
              <w:ind w:firstLine="0" w:firstLineChars="0"/>
              <w:jc w:val="center"/>
              <w:rPr>
                <w:rFonts w:hint="default" w:ascii="Times New Roman" w:hAnsi="Times New Roman" w:eastAsia="宋体" w:cs="Times New Roman"/>
                <w:snapToGrid w:val="0"/>
                <w:color w:val="auto"/>
                <w:kern w:val="0"/>
                <w:sz w:val="18"/>
                <w:szCs w:val="18"/>
                <w:lang w:val="en-US" w:eastAsia="zh-CN" w:bidi="ar-SA"/>
              </w:rPr>
            </w:pPr>
            <w:r>
              <w:rPr>
                <w:rFonts w:hint="default" w:ascii="Times New Roman" w:hAnsi="Times New Roman" w:eastAsia="宋体" w:cs="Times New Roman"/>
                <w:color w:val="auto"/>
                <w:kern w:val="2"/>
                <w:sz w:val="18"/>
                <w:szCs w:val="18"/>
                <w:lang w:val="en-US" w:eastAsia="zh-CN"/>
              </w:rPr>
              <w:t>甲苯</w:t>
            </w:r>
          </w:p>
          <w:p w14:paraId="18F04B4F">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rPr>
              <w:t>臭气浓度</w:t>
            </w:r>
          </w:p>
        </w:tc>
        <w:tc>
          <w:tcPr>
            <w:tcW w:w="2959" w:type="dxa"/>
            <w:vMerge w:val="restart"/>
            <w:noWrap w:val="0"/>
            <w:vAlign w:val="center"/>
          </w:tcPr>
          <w:p w14:paraId="5C7E4ECA">
            <w:pPr>
              <w:adjustRightInd w:val="0"/>
              <w:snapToGrid w:val="0"/>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加强室内通风，最后在车间内无组织排放</w:t>
            </w:r>
          </w:p>
        </w:tc>
        <w:tc>
          <w:tcPr>
            <w:tcW w:w="2208" w:type="dxa"/>
            <w:noWrap w:val="0"/>
            <w:vAlign w:val="center"/>
          </w:tcPr>
          <w:p w14:paraId="766622D3">
            <w:pPr>
              <w:adjustRightInd w:val="0"/>
              <w:snapToGrid w:val="0"/>
              <w:jc w:val="center"/>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sz w:val="18"/>
                <w:szCs w:val="18"/>
                <w:lang w:val="en-US" w:eastAsia="zh-CN"/>
              </w:rPr>
              <w:t>《合成树脂工业污染物排放标准》</w:t>
            </w:r>
            <w:r>
              <w:rPr>
                <w:rFonts w:hint="eastAsia" w:cs="Times New Roman"/>
                <w:color w:val="auto"/>
                <w:sz w:val="18"/>
                <w:szCs w:val="18"/>
                <w:lang w:val="en-US" w:eastAsia="zh-CN"/>
              </w:rPr>
              <w:t>（GB 31572-2015），含2024年修改单）</w:t>
            </w:r>
            <w:r>
              <w:rPr>
                <w:rFonts w:hint="default" w:ascii="Times New Roman" w:hAnsi="Times New Roman" w:eastAsia="宋体" w:cs="Times New Roman"/>
                <w:color w:val="auto"/>
                <w:sz w:val="18"/>
                <w:szCs w:val="18"/>
                <w:lang w:val="en-US" w:eastAsia="zh-CN"/>
              </w:rPr>
              <w:t>表9标准</w:t>
            </w:r>
            <w:r>
              <w:rPr>
                <w:rFonts w:hint="default" w:ascii="Times New Roman" w:hAnsi="Times New Roman" w:eastAsia="宋体" w:cs="Times New Roman"/>
                <w:color w:val="auto"/>
                <w:kern w:val="2"/>
                <w:sz w:val="18"/>
                <w:szCs w:val="18"/>
                <w:lang w:val="en-US" w:eastAsia="zh-CN" w:bidi="ar-SA"/>
              </w:rPr>
              <w:t>、</w:t>
            </w:r>
            <w:r>
              <w:rPr>
                <w:rFonts w:hint="default" w:ascii="Times New Roman" w:hAnsi="Times New Roman" w:eastAsia="宋体" w:cs="Times New Roman"/>
                <w:color w:val="auto"/>
                <w:sz w:val="18"/>
                <w:szCs w:val="18"/>
              </w:rPr>
              <w:t>《恶臭污染物排放标准》（</w:t>
            </w:r>
            <w:r>
              <w:rPr>
                <w:rFonts w:hint="eastAsia" w:cs="Times New Roman"/>
                <w:color w:val="auto"/>
                <w:sz w:val="18"/>
                <w:szCs w:val="18"/>
                <w:lang w:eastAsia="zh-CN"/>
              </w:rPr>
              <w:t>GB 1455</w:t>
            </w:r>
            <w:r>
              <w:rPr>
                <w:rFonts w:hint="default" w:ascii="Times New Roman" w:hAnsi="Times New Roman" w:eastAsia="宋体" w:cs="Times New Roman"/>
                <w:color w:val="auto"/>
                <w:sz w:val="18"/>
                <w:szCs w:val="18"/>
              </w:rPr>
              <w:t>4-93）表1标准</w:t>
            </w:r>
          </w:p>
        </w:tc>
      </w:tr>
      <w:tr w14:paraId="2F449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92" w:type="dxa"/>
            <w:vMerge w:val="continue"/>
            <w:noWrap w:val="0"/>
            <w:vAlign w:val="center"/>
          </w:tcPr>
          <w:p w14:paraId="4E5442C3">
            <w:pPr>
              <w:adjustRightInd w:val="0"/>
              <w:snapToGrid w:val="0"/>
              <w:jc w:val="center"/>
              <w:rPr>
                <w:rFonts w:hint="default" w:ascii="Times New Roman" w:hAnsi="Times New Roman" w:cs="Times New Roman"/>
                <w:color w:val="auto"/>
                <w:sz w:val="18"/>
                <w:szCs w:val="18"/>
              </w:rPr>
            </w:pPr>
          </w:p>
        </w:tc>
        <w:tc>
          <w:tcPr>
            <w:tcW w:w="627" w:type="dxa"/>
            <w:vMerge w:val="continue"/>
            <w:noWrap w:val="0"/>
            <w:vAlign w:val="center"/>
          </w:tcPr>
          <w:p w14:paraId="4FDF242E">
            <w:pPr>
              <w:adjustRightInd w:val="0"/>
              <w:snapToGrid w:val="0"/>
              <w:jc w:val="center"/>
              <w:rPr>
                <w:rFonts w:hint="default" w:ascii="Times New Roman" w:hAnsi="Times New Roman" w:cs="Times New Roman"/>
                <w:color w:val="auto"/>
                <w:sz w:val="18"/>
                <w:szCs w:val="18"/>
              </w:rPr>
            </w:pPr>
          </w:p>
        </w:tc>
        <w:tc>
          <w:tcPr>
            <w:tcW w:w="723" w:type="dxa"/>
            <w:noWrap w:val="0"/>
            <w:vAlign w:val="center"/>
          </w:tcPr>
          <w:p w14:paraId="62A09028">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厂房外1m处</w:t>
            </w:r>
          </w:p>
        </w:tc>
        <w:tc>
          <w:tcPr>
            <w:tcW w:w="1391" w:type="dxa"/>
            <w:noWrap w:val="0"/>
            <w:vAlign w:val="center"/>
          </w:tcPr>
          <w:p w14:paraId="1FDA163D">
            <w:pPr>
              <w:ind w:left="-113" w:right="-113"/>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非甲烷总烃</w:t>
            </w:r>
          </w:p>
        </w:tc>
        <w:tc>
          <w:tcPr>
            <w:tcW w:w="2959" w:type="dxa"/>
            <w:vMerge w:val="continue"/>
            <w:noWrap w:val="0"/>
            <w:vAlign w:val="center"/>
          </w:tcPr>
          <w:p w14:paraId="7833FAF3">
            <w:pPr>
              <w:adjustRightInd w:val="0"/>
              <w:snapToGrid w:val="0"/>
              <w:jc w:val="left"/>
              <w:rPr>
                <w:rFonts w:hint="default" w:ascii="Times New Roman" w:hAnsi="Times New Roman" w:cs="Times New Roman"/>
                <w:color w:val="auto"/>
                <w:sz w:val="18"/>
                <w:szCs w:val="18"/>
              </w:rPr>
            </w:pPr>
          </w:p>
        </w:tc>
        <w:tc>
          <w:tcPr>
            <w:tcW w:w="2208" w:type="dxa"/>
            <w:noWrap w:val="0"/>
            <w:vAlign w:val="center"/>
          </w:tcPr>
          <w:p w14:paraId="76D09436">
            <w:pPr>
              <w:pStyle w:val="63"/>
              <w:spacing w:line="240" w:lineRule="auto"/>
              <w:ind w:firstLine="0" w:firstLineChars="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《挥发性有机物无组织排放控制标准》（</w:t>
            </w:r>
            <w:r>
              <w:rPr>
                <w:rFonts w:hint="eastAsia" w:cs="Times New Roman"/>
                <w:color w:val="auto"/>
                <w:sz w:val="18"/>
                <w:szCs w:val="18"/>
                <w:lang w:eastAsia="zh-CN"/>
              </w:rPr>
              <w:t>GB 37822</w:t>
            </w:r>
            <w:r>
              <w:rPr>
                <w:rFonts w:hint="default" w:ascii="Times New Roman" w:hAnsi="Times New Roman" w:cs="Times New Roman"/>
                <w:color w:val="auto"/>
                <w:sz w:val="18"/>
                <w:szCs w:val="18"/>
              </w:rPr>
              <w:t>-2019）表A.1标准</w:t>
            </w:r>
          </w:p>
        </w:tc>
      </w:tr>
      <w:tr w14:paraId="0B5C0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92" w:type="dxa"/>
            <w:noWrap w:val="0"/>
            <w:vAlign w:val="center"/>
          </w:tcPr>
          <w:p w14:paraId="768847DD">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地表水</w:t>
            </w:r>
          </w:p>
          <w:p w14:paraId="4863ADFC">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环境</w:t>
            </w:r>
          </w:p>
        </w:tc>
        <w:tc>
          <w:tcPr>
            <w:tcW w:w="1350" w:type="dxa"/>
            <w:gridSpan w:val="2"/>
            <w:noWrap w:val="0"/>
            <w:vAlign w:val="center"/>
          </w:tcPr>
          <w:p w14:paraId="3907CD20">
            <w:pPr>
              <w:adjustRightInd w:val="0"/>
              <w:snapToGrid w:val="0"/>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rPr>
              <w:t>生活污水</w:t>
            </w:r>
          </w:p>
        </w:tc>
        <w:tc>
          <w:tcPr>
            <w:tcW w:w="1391" w:type="dxa"/>
            <w:noWrap w:val="0"/>
            <w:vAlign w:val="center"/>
          </w:tcPr>
          <w:p w14:paraId="15D72808">
            <w:pPr>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pH</w:t>
            </w:r>
          </w:p>
          <w:p w14:paraId="7EBA7476">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COD</w:t>
            </w:r>
          </w:p>
          <w:p w14:paraId="711C9304">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BOD</w:t>
            </w:r>
            <w:r>
              <w:rPr>
                <w:rFonts w:hint="default" w:ascii="Times New Roman" w:hAnsi="Times New Roman" w:eastAsia="宋体" w:cs="Times New Roman"/>
                <w:color w:val="auto"/>
                <w:sz w:val="18"/>
                <w:szCs w:val="18"/>
                <w:vertAlign w:val="subscript"/>
              </w:rPr>
              <w:t>5</w:t>
            </w:r>
          </w:p>
          <w:p w14:paraId="25110A0F">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SS</w:t>
            </w:r>
          </w:p>
          <w:p w14:paraId="7F14F85D">
            <w:pPr>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NH</w:t>
            </w:r>
            <w:r>
              <w:rPr>
                <w:rFonts w:hint="default" w:ascii="Times New Roman" w:hAnsi="Times New Roman" w:eastAsia="宋体" w:cs="Times New Roman"/>
                <w:color w:val="auto"/>
                <w:sz w:val="18"/>
                <w:szCs w:val="18"/>
                <w:vertAlign w:val="subscript"/>
              </w:rPr>
              <w:t>3</w:t>
            </w:r>
            <w:r>
              <w:rPr>
                <w:rFonts w:hint="default" w:ascii="Times New Roman" w:hAnsi="Times New Roman" w:eastAsia="宋体" w:cs="Times New Roman"/>
                <w:color w:val="auto"/>
                <w:sz w:val="18"/>
                <w:szCs w:val="18"/>
              </w:rPr>
              <w:t>-N</w:t>
            </w:r>
          </w:p>
          <w:p w14:paraId="32A9C163">
            <w:pPr>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lang w:eastAsia="zh-CN"/>
              </w:rPr>
              <w:t>石油类</w:t>
            </w:r>
          </w:p>
        </w:tc>
        <w:tc>
          <w:tcPr>
            <w:tcW w:w="2959" w:type="dxa"/>
            <w:noWrap w:val="0"/>
            <w:vAlign w:val="center"/>
          </w:tcPr>
          <w:p w14:paraId="2513DA8C">
            <w:pPr>
              <w:adjustRightInd w:val="0"/>
              <w:snapToGrid w:val="0"/>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rPr>
              <w:t>本项目营运期产生的</w:t>
            </w:r>
            <w:r>
              <w:rPr>
                <w:rFonts w:hint="eastAsia" w:ascii="Times New Roman" w:hAnsi="Times New Roman" w:cs="Times New Roman"/>
                <w:color w:val="auto"/>
                <w:sz w:val="18"/>
                <w:szCs w:val="18"/>
                <w:lang w:val="en-US" w:eastAsia="zh-CN"/>
              </w:rPr>
              <w:t>地面清洁废水与生活污水</w:t>
            </w:r>
            <w:r>
              <w:rPr>
                <w:rFonts w:hint="default" w:ascii="Times New Roman" w:hAnsi="Times New Roman" w:eastAsia="宋体" w:cs="Times New Roman"/>
                <w:color w:val="auto"/>
                <w:sz w:val="18"/>
                <w:szCs w:val="18"/>
                <w:lang w:val="en-US" w:eastAsia="zh-CN"/>
              </w:rPr>
              <w:t>一起</w:t>
            </w:r>
            <w:r>
              <w:rPr>
                <w:rFonts w:hint="eastAsia" w:ascii="Times New Roman" w:hAnsi="Times New Roman" w:cs="Times New Roman"/>
                <w:color w:val="auto"/>
                <w:sz w:val="18"/>
                <w:szCs w:val="18"/>
                <w:lang w:val="en-US" w:eastAsia="zh-CN"/>
              </w:rPr>
              <w:t>排入重庆三花门业现有生化池处理达</w:t>
            </w:r>
            <w:r>
              <w:rPr>
                <w:rFonts w:hint="default" w:ascii="Times New Roman" w:hAnsi="Times New Roman" w:eastAsia="宋体" w:cs="Times New Roman"/>
                <w:color w:val="auto"/>
                <w:sz w:val="18"/>
                <w:szCs w:val="18"/>
              </w:rPr>
              <w:t>《污水综合排放标准》（GB8978-1996）三级标准后</w:t>
            </w:r>
            <w:r>
              <w:rPr>
                <w:rFonts w:hint="default" w:ascii="Times New Roman" w:hAnsi="Times New Roman" w:eastAsia="宋体" w:cs="Times New Roman"/>
                <w:color w:val="auto"/>
                <w:sz w:val="18"/>
                <w:szCs w:val="18"/>
                <w:lang w:eastAsia="zh-CN"/>
              </w:rPr>
              <w:t>排</w:t>
            </w:r>
            <w:r>
              <w:rPr>
                <w:rFonts w:hint="default" w:ascii="Times New Roman" w:hAnsi="Times New Roman" w:eastAsia="宋体" w:cs="Times New Roman"/>
                <w:color w:val="auto"/>
                <w:sz w:val="18"/>
                <w:szCs w:val="18"/>
              </w:rPr>
              <w:t>入</w:t>
            </w:r>
            <w:r>
              <w:rPr>
                <w:rFonts w:hint="default" w:ascii="Times New Roman" w:hAnsi="Times New Roman" w:eastAsia="宋体" w:cs="Times New Roman"/>
                <w:color w:val="auto"/>
                <w:sz w:val="18"/>
                <w:szCs w:val="18"/>
                <w:lang w:eastAsia="zh-CN"/>
              </w:rPr>
              <w:t>园区</w:t>
            </w:r>
            <w:r>
              <w:rPr>
                <w:rFonts w:hint="default" w:ascii="Times New Roman" w:hAnsi="Times New Roman" w:eastAsia="宋体" w:cs="Times New Roman"/>
                <w:color w:val="auto"/>
                <w:sz w:val="18"/>
                <w:szCs w:val="18"/>
              </w:rPr>
              <w:t>污水管网</w:t>
            </w:r>
            <w:r>
              <w:rPr>
                <w:rFonts w:hint="default" w:ascii="Times New Roman" w:hAnsi="Times New Roman" w:eastAsia="宋体" w:cs="Times New Roman"/>
                <w:color w:val="auto"/>
                <w:sz w:val="18"/>
                <w:szCs w:val="18"/>
                <w:lang w:eastAsia="zh-CN"/>
              </w:rPr>
              <w:t>，最后</w:t>
            </w:r>
            <w:r>
              <w:rPr>
                <w:rFonts w:hint="default" w:ascii="Times New Roman" w:hAnsi="Times New Roman" w:eastAsia="宋体" w:cs="Times New Roman"/>
                <w:color w:val="auto"/>
                <w:sz w:val="18"/>
                <w:szCs w:val="18"/>
              </w:rPr>
              <w:t>进入</w:t>
            </w:r>
            <w:r>
              <w:rPr>
                <w:rFonts w:hint="eastAsia" w:ascii="Times New Roman" w:hAnsi="Times New Roman" w:cs="Times New Roman"/>
                <w:color w:val="auto"/>
                <w:sz w:val="18"/>
                <w:szCs w:val="18"/>
                <w:lang w:eastAsia="zh-CN"/>
              </w:rPr>
              <w:t>南溪组团A区污水处理厂</w:t>
            </w:r>
            <w:r>
              <w:rPr>
                <w:rFonts w:hint="default" w:ascii="Times New Roman" w:hAnsi="Times New Roman" w:eastAsia="宋体" w:cs="Times New Roman"/>
                <w:color w:val="auto"/>
                <w:sz w:val="18"/>
                <w:szCs w:val="18"/>
              </w:rPr>
              <w:t>进一步处理</w:t>
            </w:r>
            <w:r>
              <w:rPr>
                <w:rFonts w:hint="eastAsia" w:ascii="Times New Roman" w:hAnsi="Times New Roman" w:cs="Times New Roman"/>
                <w:color w:val="auto"/>
                <w:sz w:val="18"/>
                <w:szCs w:val="18"/>
                <w:lang w:eastAsia="zh-CN"/>
              </w:rPr>
              <w:t>达《城镇污水处理厂污染物排放标准》（GB18918-2002）一级B标后排入建梁河，最后汇入嘉陵江</w:t>
            </w:r>
            <w:r>
              <w:rPr>
                <w:rFonts w:hint="default" w:ascii="Times New Roman" w:hAnsi="Times New Roman" w:eastAsia="宋体" w:cs="Times New Roman"/>
                <w:color w:val="auto"/>
                <w:sz w:val="18"/>
                <w:szCs w:val="18"/>
              </w:rPr>
              <w:t>。</w:t>
            </w:r>
          </w:p>
        </w:tc>
        <w:tc>
          <w:tcPr>
            <w:tcW w:w="2208" w:type="dxa"/>
            <w:noWrap w:val="0"/>
            <w:vAlign w:val="center"/>
          </w:tcPr>
          <w:p w14:paraId="2558110C">
            <w:pPr>
              <w:adjustRightInd w:val="0"/>
              <w:snapToGrid w:val="0"/>
              <w:jc w:val="center"/>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rPr>
              <w:t>《污水综合排放标准》（GB8978-1996）三级标准</w:t>
            </w:r>
          </w:p>
        </w:tc>
      </w:tr>
      <w:tr w14:paraId="6C3CAB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2" w:type="dxa"/>
            <w:noWrap w:val="0"/>
            <w:vAlign w:val="center"/>
          </w:tcPr>
          <w:p w14:paraId="4A62B212">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声环境</w:t>
            </w:r>
          </w:p>
        </w:tc>
        <w:tc>
          <w:tcPr>
            <w:tcW w:w="1350" w:type="dxa"/>
            <w:gridSpan w:val="2"/>
            <w:noWrap w:val="0"/>
            <w:vAlign w:val="center"/>
          </w:tcPr>
          <w:p w14:paraId="637090E4">
            <w:pPr>
              <w:adjustRightInd w:val="0"/>
              <w:snapToGrid w:val="0"/>
              <w:jc w:val="center"/>
              <w:rPr>
                <w:rFonts w:hint="default" w:ascii="Times New Roman" w:hAnsi="Times New Roman" w:cs="Times New Roman"/>
                <w:bCs/>
                <w:color w:val="auto"/>
                <w:spacing w:val="-10"/>
                <w:sz w:val="18"/>
                <w:szCs w:val="18"/>
              </w:rPr>
            </w:pPr>
            <w:r>
              <w:rPr>
                <w:rFonts w:hint="default" w:ascii="Times New Roman" w:hAnsi="Times New Roman" w:cs="Times New Roman"/>
                <w:bCs/>
                <w:color w:val="auto"/>
                <w:spacing w:val="-10"/>
                <w:sz w:val="18"/>
                <w:szCs w:val="18"/>
              </w:rPr>
              <w:t>生产设备</w:t>
            </w:r>
          </w:p>
        </w:tc>
        <w:tc>
          <w:tcPr>
            <w:tcW w:w="1391" w:type="dxa"/>
            <w:noWrap w:val="0"/>
            <w:vAlign w:val="center"/>
          </w:tcPr>
          <w:p w14:paraId="334CEB1D">
            <w:pPr>
              <w:adjustRightInd w:val="0"/>
              <w:snapToGrid w:val="0"/>
              <w:jc w:val="center"/>
              <w:rPr>
                <w:rFonts w:hint="default" w:ascii="Times New Roman" w:hAnsi="Times New Roman" w:cs="Times New Roman"/>
                <w:bCs/>
                <w:color w:val="auto"/>
                <w:spacing w:val="-10"/>
                <w:sz w:val="18"/>
                <w:szCs w:val="18"/>
              </w:rPr>
            </w:pPr>
            <w:r>
              <w:rPr>
                <w:rFonts w:hint="default" w:ascii="Times New Roman" w:hAnsi="Times New Roman" w:cs="Times New Roman"/>
                <w:bCs/>
                <w:color w:val="auto"/>
                <w:spacing w:val="-10"/>
                <w:sz w:val="18"/>
                <w:szCs w:val="18"/>
              </w:rPr>
              <w:t>噪声</w:t>
            </w:r>
          </w:p>
        </w:tc>
        <w:tc>
          <w:tcPr>
            <w:tcW w:w="2959" w:type="dxa"/>
            <w:noWrap w:val="0"/>
            <w:vAlign w:val="center"/>
          </w:tcPr>
          <w:p w14:paraId="07F418C0">
            <w:pPr>
              <w:adjustRightInd w:val="0"/>
              <w:snapToGrid w:val="0"/>
              <w:jc w:val="center"/>
              <w:rPr>
                <w:rFonts w:hint="default" w:ascii="Times New Roman" w:hAnsi="Times New Roman" w:cs="Times New Roman"/>
                <w:bCs/>
                <w:color w:val="auto"/>
                <w:spacing w:val="-10"/>
                <w:sz w:val="18"/>
                <w:szCs w:val="18"/>
              </w:rPr>
            </w:pPr>
            <w:r>
              <w:rPr>
                <w:rFonts w:hint="default" w:ascii="Times New Roman" w:hAnsi="Times New Roman" w:cs="Times New Roman"/>
                <w:bCs/>
                <w:color w:val="auto"/>
                <w:spacing w:val="-10"/>
                <w:sz w:val="18"/>
                <w:szCs w:val="18"/>
              </w:rPr>
              <w:t>基础减振、消音、厂房隔声</w:t>
            </w:r>
          </w:p>
        </w:tc>
        <w:tc>
          <w:tcPr>
            <w:tcW w:w="2208" w:type="dxa"/>
            <w:noWrap w:val="0"/>
            <w:vAlign w:val="center"/>
          </w:tcPr>
          <w:p w14:paraId="135639BE">
            <w:pPr>
              <w:adjustRightInd w:val="0"/>
              <w:snapToGrid w:val="0"/>
              <w:jc w:val="center"/>
              <w:rPr>
                <w:rFonts w:hint="default" w:ascii="Times New Roman" w:hAnsi="Times New Roman" w:cs="Times New Roman"/>
                <w:bCs/>
                <w:color w:val="auto"/>
                <w:spacing w:val="-10"/>
                <w:sz w:val="18"/>
                <w:szCs w:val="18"/>
              </w:rPr>
            </w:pPr>
            <w:r>
              <w:rPr>
                <w:rFonts w:hint="default" w:ascii="Times New Roman" w:hAnsi="Times New Roman" w:cs="Times New Roman"/>
                <w:bCs/>
                <w:color w:val="auto"/>
                <w:spacing w:val="-10"/>
                <w:sz w:val="18"/>
                <w:szCs w:val="18"/>
              </w:rPr>
              <w:t>《工业企业厂界环境噪声排放标准》（GB12348-2008）中3类标准</w:t>
            </w:r>
          </w:p>
        </w:tc>
      </w:tr>
      <w:tr w14:paraId="2DEFF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92" w:type="dxa"/>
            <w:noWrap w:val="0"/>
            <w:vAlign w:val="center"/>
          </w:tcPr>
          <w:p w14:paraId="0EEFC66D">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电磁辐射</w:t>
            </w:r>
          </w:p>
        </w:tc>
        <w:tc>
          <w:tcPr>
            <w:tcW w:w="1350" w:type="dxa"/>
            <w:gridSpan w:val="2"/>
            <w:noWrap w:val="0"/>
            <w:vAlign w:val="center"/>
          </w:tcPr>
          <w:p w14:paraId="645B2DD3">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1391" w:type="dxa"/>
            <w:noWrap w:val="0"/>
            <w:vAlign w:val="center"/>
          </w:tcPr>
          <w:p w14:paraId="46D10C53">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2959" w:type="dxa"/>
            <w:noWrap w:val="0"/>
            <w:vAlign w:val="center"/>
          </w:tcPr>
          <w:p w14:paraId="24E785C3">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c>
          <w:tcPr>
            <w:tcW w:w="2208" w:type="dxa"/>
            <w:noWrap w:val="0"/>
            <w:vAlign w:val="center"/>
          </w:tcPr>
          <w:p w14:paraId="7EB03F99">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14:paraId="52803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892" w:type="dxa"/>
            <w:noWrap w:val="0"/>
            <w:vAlign w:val="center"/>
          </w:tcPr>
          <w:p w14:paraId="74545F3D">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固体废物</w:t>
            </w:r>
          </w:p>
        </w:tc>
        <w:tc>
          <w:tcPr>
            <w:tcW w:w="7908" w:type="dxa"/>
            <w:gridSpan w:val="5"/>
            <w:noWrap w:val="0"/>
            <w:vAlign w:val="center"/>
          </w:tcPr>
          <w:p w14:paraId="6E71DFD5">
            <w:pPr>
              <w:spacing w:line="240" w:lineRule="auto"/>
              <w:rPr>
                <w:rFonts w:hint="default" w:ascii="Times New Roman" w:hAnsi="Times New Roman" w:cs="Times New Roman"/>
                <w:snapToGrid w:val="0"/>
                <w:color w:val="auto"/>
                <w:kern w:val="0"/>
                <w:sz w:val="18"/>
                <w:szCs w:val="18"/>
              </w:rPr>
            </w:pPr>
            <w:r>
              <w:rPr>
                <w:rFonts w:hint="default" w:ascii="Times New Roman" w:hAnsi="Times New Roman" w:cs="Times New Roman"/>
                <w:b/>
                <w:color w:val="auto"/>
                <w:sz w:val="18"/>
                <w:szCs w:val="18"/>
              </w:rPr>
              <w:t>①一般工业固体废物：</w:t>
            </w:r>
            <w:r>
              <w:rPr>
                <w:rFonts w:hint="default" w:ascii="Times New Roman" w:hAnsi="Times New Roman" w:cs="Times New Roman"/>
                <w:color w:val="auto"/>
                <w:sz w:val="18"/>
                <w:szCs w:val="18"/>
              </w:rPr>
              <w:t>一般工业固体废物</w:t>
            </w:r>
            <w:r>
              <w:rPr>
                <w:rFonts w:hint="default" w:ascii="Times New Roman" w:hAnsi="Times New Roman" w:cs="Times New Roman"/>
                <w:color w:val="auto"/>
                <w:sz w:val="18"/>
                <w:szCs w:val="18"/>
                <w:lang w:eastAsia="zh-CN"/>
              </w:rPr>
              <w:t>主要为</w:t>
            </w:r>
            <w:r>
              <w:rPr>
                <w:rFonts w:hint="eastAsia" w:ascii="Times New Roman" w:hAnsi="Times New Roman" w:cs="Times New Roman"/>
                <w:color w:val="auto"/>
                <w:sz w:val="18"/>
                <w:szCs w:val="18"/>
                <w:lang w:eastAsia="zh-CN"/>
              </w:rPr>
              <w:t>废包装材料、废边角料、不合格品</w:t>
            </w:r>
            <w:r>
              <w:rPr>
                <w:rFonts w:hint="default" w:ascii="Times New Roman" w:hAnsi="Times New Roman" w:cs="Times New Roman"/>
                <w:color w:val="auto"/>
                <w:sz w:val="18"/>
                <w:szCs w:val="18"/>
              </w:rPr>
              <w:t>，</w:t>
            </w:r>
            <w:r>
              <w:rPr>
                <w:rFonts w:hint="eastAsia" w:ascii="Times New Roman" w:hAnsi="Times New Roman" w:cs="Times New Roman"/>
                <w:color w:val="auto"/>
                <w:sz w:val="18"/>
                <w:szCs w:val="18"/>
                <w:lang w:eastAsia="zh-CN"/>
              </w:rPr>
              <w:t>废包装材料</w:t>
            </w:r>
            <w:r>
              <w:rPr>
                <w:rFonts w:hint="default" w:ascii="Times New Roman" w:hAnsi="Times New Roman" w:cs="Times New Roman"/>
                <w:color w:val="auto"/>
                <w:sz w:val="18"/>
                <w:szCs w:val="18"/>
                <w:lang w:eastAsia="zh-CN"/>
              </w:rPr>
              <w:t>集中收集后交由废品回收单位处理，</w:t>
            </w:r>
            <w:r>
              <w:rPr>
                <w:rFonts w:hint="eastAsia" w:ascii="Times New Roman" w:hAnsi="Times New Roman" w:cs="Times New Roman"/>
                <w:color w:val="auto"/>
                <w:sz w:val="18"/>
                <w:szCs w:val="18"/>
                <w:lang w:eastAsia="zh-CN"/>
              </w:rPr>
              <w:t>废边角料及不合格产品破</w:t>
            </w:r>
            <w:r>
              <w:rPr>
                <w:rFonts w:hint="default" w:ascii="Times New Roman" w:hAnsi="Times New Roman" w:cs="Times New Roman"/>
                <w:color w:val="auto"/>
                <w:sz w:val="18"/>
                <w:szCs w:val="18"/>
                <w:lang w:eastAsia="zh-CN"/>
              </w:rPr>
              <w:t>碎后回用于生产线</w:t>
            </w:r>
            <w:r>
              <w:rPr>
                <w:rFonts w:hint="default" w:ascii="Times New Roman" w:hAnsi="Times New Roman" w:cs="Times New Roman"/>
                <w:color w:val="auto"/>
                <w:sz w:val="18"/>
                <w:szCs w:val="18"/>
              </w:rPr>
              <w:t>，</w:t>
            </w:r>
            <w:r>
              <w:rPr>
                <w:rFonts w:hint="default" w:ascii="Times New Roman" w:hAnsi="Times New Roman" w:eastAsia="宋体" w:cs="Times New Roman"/>
                <w:color w:val="auto"/>
                <w:sz w:val="18"/>
                <w:szCs w:val="18"/>
              </w:rPr>
              <w:t>设一般固废暂存点，</w:t>
            </w:r>
            <w:r>
              <w:rPr>
                <w:rFonts w:hint="eastAsia" w:ascii="Times New Roman" w:hAnsi="Times New Roman" w:cs="Times New Roman"/>
                <w:color w:val="auto"/>
                <w:sz w:val="18"/>
                <w:szCs w:val="18"/>
                <w:lang w:eastAsia="zh-CN"/>
              </w:rPr>
              <w:t>位于厂区外南侧</w:t>
            </w:r>
            <w:r>
              <w:rPr>
                <w:rFonts w:hint="default" w:ascii="Times New Roman" w:hAnsi="Times New Roman" w:eastAsia="宋体" w:cs="Times New Roman"/>
                <w:color w:val="auto"/>
                <w:sz w:val="18"/>
                <w:szCs w:val="18"/>
              </w:rPr>
              <w:t>，约</w:t>
            </w:r>
            <w:r>
              <w:rPr>
                <w:rFonts w:hint="eastAsia" w:ascii="Times New Roman" w:hAnsi="Times New Roman" w:cs="Times New Roman"/>
                <w:color w:val="auto"/>
                <w:sz w:val="18"/>
                <w:szCs w:val="18"/>
                <w:lang w:val="en-US" w:eastAsia="zh-CN"/>
              </w:rPr>
              <w:t>5</w:t>
            </w:r>
            <w:r>
              <w:rPr>
                <w:rFonts w:hint="default" w:ascii="Times New Roman" w:hAnsi="Times New Roman" w:eastAsia="宋体" w:cs="Times New Roman"/>
                <w:color w:val="auto"/>
                <w:sz w:val="18"/>
                <w:szCs w:val="18"/>
              </w:rPr>
              <w:t>m</w:t>
            </w:r>
            <w:r>
              <w:rPr>
                <w:rFonts w:hint="default" w:ascii="Times New Roman" w:hAnsi="Times New Roman" w:eastAsia="宋体" w:cs="Times New Roman"/>
                <w:color w:val="auto"/>
                <w:sz w:val="18"/>
                <w:szCs w:val="18"/>
                <w:vertAlign w:val="superscript"/>
              </w:rPr>
              <w:t>2</w:t>
            </w:r>
            <w:r>
              <w:rPr>
                <w:rFonts w:hint="default" w:ascii="Times New Roman" w:hAnsi="Times New Roman" w:eastAsia="宋体" w:cs="Times New Roman"/>
                <w:color w:val="auto"/>
                <w:sz w:val="18"/>
                <w:szCs w:val="18"/>
              </w:rPr>
              <w:t>，设标识牌</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并做好防渗漏、防雨淋、防扬尘措施。</w:t>
            </w:r>
          </w:p>
          <w:p w14:paraId="6FEBD133">
            <w:pPr>
              <w:spacing w:line="240" w:lineRule="auto"/>
              <w:rPr>
                <w:rFonts w:hint="default" w:ascii="Times New Roman" w:hAnsi="Times New Roman" w:cs="Times New Roman"/>
                <w:bCs/>
                <w:color w:val="auto"/>
                <w:sz w:val="18"/>
                <w:szCs w:val="18"/>
                <w:lang w:eastAsia="zh-CN"/>
              </w:rPr>
            </w:pPr>
            <w:r>
              <w:rPr>
                <w:rFonts w:hint="default" w:ascii="Times New Roman" w:hAnsi="Times New Roman" w:cs="Times New Roman"/>
                <w:b/>
                <w:color w:val="auto"/>
                <w:sz w:val="18"/>
                <w:szCs w:val="18"/>
              </w:rPr>
              <w:t>②危险废物：</w:t>
            </w:r>
            <w:r>
              <w:rPr>
                <w:rFonts w:hint="default" w:ascii="Times New Roman" w:hAnsi="Times New Roman" w:cs="Times New Roman"/>
                <w:color w:val="auto"/>
                <w:sz w:val="18"/>
                <w:szCs w:val="18"/>
              </w:rPr>
              <w:t>主要为</w:t>
            </w:r>
            <w:r>
              <w:rPr>
                <w:rFonts w:hint="eastAsia" w:cs="Times New Roman"/>
                <w:color w:val="auto"/>
                <w:sz w:val="18"/>
                <w:szCs w:val="18"/>
                <w:lang w:eastAsia="zh-CN"/>
              </w:rPr>
              <w:t>废油桶</w:t>
            </w:r>
            <w:r>
              <w:rPr>
                <w:rFonts w:hint="eastAsia" w:ascii="Times New Roman" w:hAnsi="Times New Roman" w:cs="Times New Roman"/>
                <w:color w:val="auto"/>
                <w:sz w:val="18"/>
                <w:szCs w:val="18"/>
                <w:lang w:eastAsia="zh-CN"/>
              </w:rPr>
              <w:t>、废矿物油、废含油棉纱和手套、废活性炭、废过滤棉、空压机含油冷凝液</w:t>
            </w:r>
            <w:r>
              <w:rPr>
                <w:rFonts w:hint="default" w:ascii="Times New Roman" w:hAnsi="Times New Roman" w:cs="Times New Roman"/>
                <w:color w:val="auto"/>
                <w:sz w:val="18"/>
                <w:szCs w:val="18"/>
              </w:rPr>
              <w:t>，分类收集后暂存于</w:t>
            </w:r>
            <w:r>
              <w:rPr>
                <w:rFonts w:hint="eastAsia" w:ascii="Times New Roman" w:hAnsi="Times New Roman" w:cs="Times New Roman"/>
                <w:color w:val="auto"/>
                <w:sz w:val="18"/>
                <w:szCs w:val="18"/>
                <w:lang w:eastAsia="zh-CN"/>
              </w:rPr>
              <w:t>危险废物贮存库</w:t>
            </w:r>
            <w:r>
              <w:rPr>
                <w:rFonts w:hint="default" w:ascii="Times New Roman" w:hAnsi="Times New Roman" w:cs="Times New Roman"/>
                <w:color w:val="auto"/>
                <w:sz w:val="18"/>
                <w:szCs w:val="18"/>
              </w:rPr>
              <w:t>，定期交有资质单位处置。</w:t>
            </w:r>
            <w:r>
              <w:rPr>
                <w:rFonts w:hint="default" w:ascii="Times New Roman" w:hAnsi="Times New Roman" w:eastAsia="宋体" w:cs="Times New Roman"/>
                <w:b w:val="0"/>
                <w:bCs w:val="0"/>
                <w:snapToGrid w:val="0"/>
                <w:color w:val="auto"/>
                <w:kern w:val="0"/>
                <w:sz w:val="18"/>
                <w:szCs w:val="18"/>
              </w:rPr>
              <w:t>设置一个</w:t>
            </w:r>
            <w:r>
              <w:rPr>
                <w:rFonts w:hint="eastAsia" w:ascii="Times New Roman" w:hAnsi="Times New Roman" w:cs="Times New Roman"/>
                <w:b w:val="0"/>
                <w:bCs w:val="0"/>
                <w:snapToGrid w:val="0"/>
                <w:color w:val="auto"/>
                <w:kern w:val="0"/>
                <w:sz w:val="18"/>
                <w:szCs w:val="18"/>
                <w:lang w:eastAsia="zh-CN"/>
              </w:rPr>
              <w:t>危险废物贮存库</w:t>
            </w:r>
            <w:r>
              <w:rPr>
                <w:rFonts w:hint="default" w:ascii="Times New Roman" w:hAnsi="Times New Roman" w:eastAsia="宋体" w:cs="Times New Roman"/>
                <w:b w:val="0"/>
                <w:bCs w:val="0"/>
                <w:snapToGrid w:val="0"/>
                <w:color w:val="auto"/>
                <w:kern w:val="0"/>
                <w:sz w:val="18"/>
                <w:szCs w:val="18"/>
              </w:rPr>
              <w:t>，约</w:t>
            </w:r>
            <w:r>
              <w:rPr>
                <w:rFonts w:hint="default" w:ascii="Times New Roman" w:hAnsi="Times New Roman" w:cs="Times New Roman"/>
                <w:b w:val="0"/>
                <w:bCs w:val="0"/>
                <w:snapToGrid w:val="0"/>
                <w:color w:val="auto"/>
                <w:kern w:val="0"/>
                <w:sz w:val="18"/>
                <w:szCs w:val="18"/>
                <w:lang w:val="en-US" w:eastAsia="zh-CN"/>
              </w:rPr>
              <w:t>5</w:t>
            </w:r>
            <w:r>
              <w:rPr>
                <w:rFonts w:hint="default" w:ascii="Times New Roman" w:hAnsi="Times New Roman" w:eastAsia="宋体" w:cs="Times New Roman"/>
                <w:b w:val="0"/>
                <w:bCs w:val="0"/>
                <w:snapToGrid w:val="0"/>
                <w:color w:val="auto"/>
                <w:kern w:val="0"/>
                <w:sz w:val="18"/>
                <w:szCs w:val="18"/>
                <w:lang w:val="en-US" w:eastAsia="zh-CN"/>
              </w:rPr>
              <w:t>m</w:t>
            </w:r>
            <w:r>
              <w:rPr>
                <w:rFonts w:hint="default" w:ascii="Times New Roman" w:hAnsi="Times New Roman" w:eastAsia="宋体" w:cs="Times New Roman"/>
                <w:b w:val="0"/>
                <w:bCs w:val="0"/>
                <w:snapToGrid w:val="0"/>
                <w:color w:val="auto"/>
                <w:kern w:val="0"/>
                <w:sz w:val="18"/>
                <w:szCs w:val="18"/>
                <w:vertAlign w:val="superscript"/>
              </w:rPr>
              <w:t>2</w:t>
            </w:r>
            <w:r>
              <w:rPr>
                <w:rFonts w:hint="default" w:ascii="Times New Roman" w:hAnsi="Times New Roman" w:eastAsia="宋体" w:cs="Times New Roman"/>
                <w:b w:val="0"/>
                <w:bCs w:val="0"/>
                <w:snapToGrid w:val="0"/>
                <w:color w:val="auto"/>
                <w:kern w:val="0"/>
                <w:sz w:val="18"/>
                <w:szCs w:val="18"/>
              </w:rPr>
              <w:t>，</w:t>
            </w:r>
            <w:r>
              <w:rPr>
                <w:rFonts w:hint="eastAsia" w:ascii="Times New Roman" w:hAnsi="Times New Roman" w:cs="Times New Roman"/>
                <w:color w:val="auto"/>
                <w:sz w:val="18"/>
                <w:szCs w:val="18"/>
                <w:lang w:eastAsia="zh-CN"/>
              </w:rPr>
              <w:t>位于厂区外南侧</w:t>
            </w:r>
            <w:r>
              <w:rPr>
                <w:rFonts w:hint="default"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设标识牌</w:t>
            </w: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rPr>
              <w:t>并做好</w:t>
            </w:r>
            <w:r>
              <w:rPr>
                <w:rFonts w:hint="default" w:ascii="Times New Roman" w:hAnsi="Times New Roman" w:cs="Times New Roman"/>
                <w:bCs/>
                <w:color w:val="auto"/>
                <w:sz w:val="18"/>
                <w:szCs w:val="18"/>
              </w:rPr>
              <w:t>防风、防晒、防雨、防漏、防渗、防腐以及其他环境污染防治措施</w:t>
            </w:r>
            <w:r>
              <w:rPr>
                <w:rFonts w:hint="default" w:ascii="Times New Roman" w:hAnsi="Times New Roman" w:cs="Times New Roman"/>
                <w:bCs/>
                <w:color w:val="auto"/>
                <w:sz w:val="18"/>
                <w:szCs w:val="18"/>
                <w:lang w:eastAsia="zh-CN"/>
              </w:rPr>
              <w:t>。</w:t>
            </w:r>
          </w:p>
          <w:p w14:paraId="13E9602C">
            <w:pPr>
              <w:spacing w:line="240" w:lineRule="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b/>
                <w:color w:val="auto"/>
                <w:sz w:val="18"/>
                <w:szCs w:val="18"/>
              </w:rPr>
              <w:t>③生活垃圾：</w:t>
            </w:r>
            <w:r>
              <w:rPr>
                <w:rFonts w:hint="default" w:ascii="Times New Roman" w:hAnsi="Times New Roman" w:eastAsia="宋体" w:cs="Times New Roman"/>
                <w:color w:val="auto"/>
                <w:sz w:val="18"/>
                <w:szCs w:val="18"/>
              </w:rPr>
              <w:t>集中收集后交由环卫部门统一收集处理。</w:t>
            </w:r>
          </w:p>
        </w:tc>
      </w:tr>
      <w:tr w14:paraId="074FC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892" w:type="dxa"/>
            <w:noWrap w:val="0"/>
            <w:vAlign w:val="center"/>
          </w:tcPr>
          <w:p w14:paraId="57991553">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土壤及地下水污染防治措施</w:t>
            </w:r>
          </w:p>
        </w:tc>
        <w:tc>
          <w:tcPr>
            <w:tcW w:w="7908" w:type="dxa"/>
            <w:gridSpan w:val="5"/>
            <w:noWrap w:val="0"/>
            <w:vAlign w:val="center"/>
          </w:tcPr>
          <w:p w14:paraId="52F60274">
            <w:pPr>
              <w:adjustRightInd w:val="0"/>
              <w:snapToGrid w:val="0"/>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①</w:t>
            </w:r>
            <w:r>
              <w:rPr>
                <w:rFonts w:hint="default" w:ascii="Times New Roman" w:hAnsi="Times New Roman" w:eastAsia="宋体" w:cs="Times New Roman"/>
                <w:color w:val="auto"/>
                <w:sz w:val="18"/>
                <w:szCs w:val="18"/>
                <w:lang w:eastAsia="zh-CN"/>
              </w:rPr>
              <w:t>原材料</w:t>
            </w:r>
            <w:r>
              <w:rPr>
                <w:rFonts w:hint="default" w:ascii="Times New Roman" w:hAnsi="Times New Roman" w:eastAsia="宋体" w:cs="Times New Roman"/>
                <w:color w:val="auto"/>
                <w:sz w:val="18"/>
                <w:szCs w:val="18"/>
              </w:rPr>
              <w:t>库房</w:t>
            </w:r>
            <w:r>
              <w:rPr>
                <w:rFonts w:hint="default" w:ascii="Times New Roman" w:hAnsi="Times New Roman" w:eastAsia="宋体" w:cs="Times New Roman"/>
                <w:color w:val="auto"/>
                <w:sz w:val="18"/>
                <w:szCs w:val="18"/>
                <w:lang w:eastAsia="zh-CN"/>
              </w:rPr>
              <w:t>的</w:t>
            </w:r>
            <w:r>
              <w:rPr>
                <w:rFonts w:hint="eastAsia" w:ascii="Times New Roman" w:hAnsi="Times New Roman" w:cs="Times New Roman"/>
                <w:color w:val="auto"/>
                <w:sz w:val="18"/>
                <w:szCs w:val="18"/>
                <w:lang w:eastAsia="zh-CN"/>
              </w:rPr>
              <w:t>液体物料暂存区</w:t>
            </w:r>
            <w:r>
              <w:rPr>
                <w:rFonts w:hint="default" w:ascii="Times New Roman" w:hAnsi="Times New Roman" w:eastAsia="宋体" w:cs="Times New Roman"/>
                <w:color w:val="auto"/>
                <w:sz w:val="18"/>
                <w:szCs w:val="18"/>
              </w:rPr>
              <w:t>以及</w:t>
            </w:r>
            <w:r>
              <w:rPr>
                <w:rFonts w:hint="eastAsia" w:ascii="Times New Roman" w:hAnsi="Times New Roman" w:cs="Times New Roman"/>
                <w:color w:val="auto"/>
                <w:sz w:val="18"/>
                <w:szCs w:val="18"/>
                <w:lang w:eastAsia="zh-CN"/>
              </w:rPr>
              <w:t>危险废物贮存库</w:t>
            </w:r>
            <w:r>
              <w:rPr>
                <w:rFonts w:hint="default" w:ascii="Times New Roman" w:hAnsi="Times New Roman" w:eastAsia="宋体" w:cs="Times New Roman"/>
                <w:color w:val="auto"/>
                <w:sz w:val="18"/>
                <w:szCs w:val="18"/>
                <w:lang w:eastAsia="zh-CN"/>
              </w:rPr>
              <w:t>存放液体物料的区域</w:t>
            </w:r>
            <w:r>
              <w:rPr>
                <w:rFonts w:hint="default" w:ascii="Times New Roman" w:hAnsi="Times New Roman" w:eastAsia="宋体" w:cs="Times New Roman"/>
                <w:color w:val="auto"/>
                <w:sz w:val="18"/>
                <w:szCs w:val="18"/>
              </w:rPr>
              <w:t>按照《危险废物贮存污染控制标准》（GB18597-2023）的要求，地面采用坚固、防渗、耐腐蚀的钢筋混凝土材料铺设，同时设置托盘或围堰。</w:t>
            </w:r>
          </w:p>
          <w:p w14:paraId="61408B64">
            <w:pPr>
              <w:adjustRightInd w:val="0"/>
              <w:snapToGrid w:val="0"/>
              <w:rPr>
                <w:rFonts w:hint="default" w:ascii="Times New Roman" w:hAnsi="Times New Roman" w:cs="Times New Roman"/>
                <w:color w:val="auto"/>
                <w:sz w:val="18"/>
                <w:szCs w:val="18"/>
              </w:rPr>
            </w:pPr>
            <w:r>
              <w:rPr>
                <w:rFonts w:hint="default" w:ascii="Times New Roman" w:hAnsi="Times New Roman" w:eastAsia="宋体" w:cs="Times New Roman"/>
                <w:color w:val="auto"/>
                <w:sz w:val="18"/>
                <w:szCs w:val="18"/>
              </w:rPr>
              <w:t>②工作人员应加强场地的检修、加固，防止渗漏，对地下水造成污染。</w:t>
            </w:r>
          </w:p>
        </w:tc>
      </w:tr>
      <w:tr w14:paraId="00AF6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92" w:type="dxa"/>
            <w:noWrap w:val="0"/>
            <w:vAlign w:val="center"/>
          </w:tcPr>
          <w:p w14:paraId="3D5468A5">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生态保护措施</w:t>
            </w:r>
          </w:p>
        </w:tc>
        <w:tc>
          <w:tcPr>
            <w:tcW w:w="7908" w:type="dxa"/>
            <w:gridSpan w:val="5"/>
            <w:noWrap w:val="0"/>
            <w:vAlign w:val="center"/>
          </w:tcPr>
          <w:p w14:paraId="4ED3E88A">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r w14:paraId="29C29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92" w:type="dxa"/>
            <w:noWrap w:val="0"/>
            <w:vAlign w:val="center"/>
          </w:tcPr>
          <w:p w14:paraId="5A672E43">
            <w:pPr>
              <w:adjustRightInd w:val="0"/>
              <w:snapToGrid w:val="0"/>
              <w:jc w:val="center"/>
              <w:rPr>
                <w:rFonts w:hint="default" w:ascii="Times New Roman" w:hAnsi="Times New Roman" w:cs="Times New Roman"/>
                <w:color w:val="auto"/>
                <w:spacing w:val="-8"/>
                <w:sz w:val="18"/>
                <w:szCs w:val="18"/>
              </w:rPr>
            </w:pPr>
            <w:r>
              <w:rPr>
                <w:rFonts w:hint="default" w:ascii="Times New Roman" w:hAnsi="Times New Roman" w:cs="Times New Roman"/>
                <w:color w:val="auto"/>
                <w:spacing w:val="-8"/>
                <w:sz w:val="18"/>
                <w:szCs w:val="18"/>
              </w:rPr>
              <w:t>环境风险</w:t>
            </w:r>
          </w:p>
          <w:p w14:paraId="0792FBE8">
            <w:pPr>
              <w:adjustRightInd w:val="0"/>
              <w:snapToGrid w:val="0"/>
              <w:jc w:val="center"/>
              <w:rPr>
                <w:rFonts w:hint="default" w:ascii="Times New Roman" w:hAnsi="Times New Roman" w:cs="Times New Roman"/>
                <w:color w:val="auto"/>
                <w:spacing w:val="-8"/>
                <w:sz w:val="18"/>
                <w:szCs w:val="18"/>
              </w:rPr>
            </w:pPr>
            <w:r>
              <w:rPr>
                <w:rFonts w:hint="default" w:ascii="Times New Roman" w:hAnsi="Times New Roman" w:cs="Times New Roman"/>
                <w:color w:val="auto"/>
                <w:spacing w:val="-8"/>
                <w:sz w:val="18"/>
                <w:szCs w:val="18"/>
              </w:rPr>
              <w:t>防范措施</w:t>
            </w:r>
          </w:p>
        </w:tc>
        <w:tc>
          <w:tcPr>
            <w:tcW w:w="7908" w:type="dxa"/>
            <w:gridSpan w:val="5"/>
            <w:noWrap w:val="0"/>
            <w:vAlign w:val="center"/>
          </w:tcPr>
          <w:p w14:paraId="7BADE70F">
            <w:pPr>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①</w:t>
            </w:r>
            <w:r>
              <w:rPr>
                <w:rFonts w:hint="eastAsia" w:ascii="Times New Roman" w:hAnsi="Times New Roman" w:cs="Times New Roman"/>
                <w:color w:val="auto"/>
                <w:sz w:val="18"/>
                <w:szCs w:val="18"/>
                <w:lang w:val="en-US" w:eastAsia="zh-CN"/>
              </w:rPr>
              <w:t>液压油、润滑油</w:t>
            </w:r>
            <w:r>
              <w:rPr>
                <w:rFonts w:hint="default" w:ascii="Times New Roman" w:hAnsi="Times New Roman" w:cs="Times New Roman"/>
                <w:color w:val="auto"/>
                <w:sz w:val="18"/>
                <w:szCs w:val="18"/>
                <w:lang w:eastAsia="zh-CN"/>
              </w:rPr>
              <w:t>等</w:t>
            </w:r>
            <w:r>
              <w:rPr>
                <w:rFonts w:hint="default" w:ascii="Times New Roman" w:hAnsi="Times New Roman" w:cs="Times New Roman"/>
                <w:color w:val="auto"/>
                <w:sz w:val="18"/>
                <w:szCs w:val="18"/>
              </w:rPr>
              <w:t>液体物料分类存储在密闭的容器中，0-40℃室内贮存，避免极端低温、日光</w:t>
            </w:r>
            <w:r>
              <w:rPr>
                <w:rFonts w:hint="default" w:ascii="Times New Roman" w:hAnsi="Times New Roman" w:cs="Times New Roman"/>
                <w:color w:val="auto"/>
                <w:sz w:val="18"/>
                <w:szCs w:val="18"/>
                <w:lang w:eastAsia="zh-CN"/>
              </w:rPr>
              <w:t>暴晒</w:t>
            </w:r>
            <w:r>
              <w:rPr>
                <w:rFonts w:hint="default" w:ascii="Times New Roman" w:hAnsi="Times New Roman" w:cs="Times New Roman"/>
                <w:color w:val="auto"/>
                <w:sz w:val="18"/>
                <w:szCs w:val="18"/>
              </w:rPr>
              <w:t>和雨淋，远离热源和火源。搬运过程中防止跌落或碰撞。</w:t>
            </w:r>
          </w:p>
          <w:p w14:paraId="60012F9D">
            <w:pPr>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②</w:t>
            </w:r>
            <w:r>
              <w:rPr>
                <w:rFonts w:hint="eastAsia" w:ascii="Times New Roman" w:hAnsi="Times New Roman" w:cs="Times New Roman"/>
                <w:color w:val="auto"/>
                <w:sz w:val="18"/>
                <w:szCs w:val="18"/>
                <w:lang w:eastAsia="zh-CN"/>
              </w:rPr>
              <w:t>液体物料暂存区</w:t>
            </w:r>
            <w:r>
              <w:rPr>
                <w:rFonts w:hint="default" w:ascii="Times New Roman" w:hAnsi="Times New Roman" w:cs="Times New Roman"/>
                <w:color w:val="auto"/>
                <w:sz w:val="18"/>
                <w:szCs w:val="18"/>
              </w:rPr>
              <w:t>及</w:t>
            </w:r>
            <w:r>
              <w:rPr>
                <w:rFonts w:hint="eastAsia" w:ascii="Times New Roman" w:hAnsi="Times New Roman" w:cs="Times New Roman"/>
                <w:color w:val="auto"/>
                <w:sz w:val="18"/>
                <w:szCs w:val="18"/>
                <w:lang w:eastAsia="zh-CN"/>
              </w:rPr>
              <w:t>危险废物贮存库</w:t>
            </w:r>
            <w:r>
              <w:rPr>
                <w:rFonts w:hint="default" w:ascii="Times New Roman" w:hAnsi="Times New Roman" w:cs="Times New Roman"/>
                <w:color w:val="auto"/>
                <w:sz w:val="18"/>
                <w:szCs w:val="18"/>
              </w:rPr>
              <w:t>地面与裙脚用坚固、防腐防渗材料建造，且各自设置围堰或托盘。</w:t>
            </w:r>
          </w:p>
          <w:p w14:paraId="1F644835">
            <w:pPr>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③</w:t>
            </w:r>
            <w:r>
              <w:rPr>
                <w:rFonts w:hint="eastAsia" w:ascii="Times New Roman" w:hAnsi="Times New Roman" w:cs="Times New Roman"/>
                <w:color w:val="auto"/>
                <w:sz w:val="18"/>
                <w:szCs w:val="18"/>
                <w:lang w:eastAsia="zh-CN"/>
              </w:rPr>
              <w:t>液体物料暂存区</w:t>
            </w:r>
            <w:r>
              <w:rPr>
                <w:rFonts w:hint="default" w:ascii="Times New Roman" w:hAnsi="Times New Roman" w:cs="Times New Roman"/>
                <w:color w:val="auto"/>
                <w:sz w:val="18"/>
                <w:szCs w:val="18"/>
              </w:rPr>
              <w:t>及</w:t>
            </w:r>
            <w:r>
              <w:rPr>
                <w:rFonts w:hint="eastAsia" w:ascii="Times New Roman" w:hAnsi="Times New Roman" w:cs="Times New Roman"/>
                <w:color w:val="auto"/>
                <w:sz w:val="18"/>
                <w:szCs w:val="18"/>
                <w:lang w:eastAsia="zh-CN"/>
              </w:rPr>
              <w:t>危险废物贮存库</w:t>
            </w:r>
            <w:r>
              <w:rPr>
                <w:rFonts w:hint="default" w:ascii="Times New Roman" w:hAnsi="Times New Roman" w:cs="Times New Roman"/>
                <w:color w:val="auto"/>
                <w:sz w:val="18"/>
                <w:szCs w:val="18"/>
              </w:rPr>
              <w:t>应配备消防物品如</w:t>
            </w:r>
            <w:r>
              <w:rPr>
                <w:rFonts w:hint="default" w:ascii="Times New Roman" w:hAnsi="Times New Roman" w:cs="Times New Roman"/>
                <w:color w:val="auto"/>
                <w:sz w:val="18"/>
                <w:szCs w:val="18"/>
                <w:lang w:eastAsia="zh-CN"/>
              </w:rPr>
              <w:t>沙子</w:t>
            </w:r>
            <w:r>
              <w:rPr>
                <w:rFonts w:hint="default" w:ascii="Times New Roman" w:hAnsi="Times New Roman" w:cs="Times New Roman"/>
                <w:color w:val="auto"/>
                <w:sz w:val="18"/>
                <w:szCs w:val="18"/>
              </w:rPr>
              <w:t>、棉纱等，少量泄漏的场合可吸附泄漏物。</w:t>
            </w:r>
          </w:p>
          <w:p w14:paraId="5B005C0B">
            <w:pPr>
              <w:adjustRightInd w:val="0"/>
              <w:snapToGrid w:val="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④建立完善的安全生产管理制度、操作规范，加强生产工人安全环境意识教育，实行持证上岗。建立环境风险应急预案，明确人员责任。加强巡查，发现物料出现泄漏时，</w:t>
            </w:r>
            <w:r>
              <w:rPr>
                <w:rFonts w:hint="default" w:ascii="Times New Roman" w:hAnsi="Times New Roman" w:cs="Times New Roman"/>
                <w:color w:val="auto"/>
                <w:sz w:val="18"/>
                <w:szCs w:val="18"/>
                <w:lang w:eastAsia="zh-CN"/>
              </w:rPr>
              <w:t>应立即</w:t>
            </w:r>
            <w:r>
              <w:rPr>
                <w:rFonts w:hint="default" w:ascii="Times New Roman" w:hAnsi="Times New Roman" w:cs="Times New Roman"/>
                <w:color w:val="auto"/>
                <w:sz w:val="18"/>
                <w:szCs w:val="18"/>
              </w:rPr>
              <w:t>停止生产，及时补漏。</w:t>
            </w:r>
          </w:p>
        </w:tc>
      </w:tr>
      <w:tr w14:paraId="4B59B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92" w:type="dxa"/>
            <w:noWrap w:val="0"/>
            <w:vAlign w:val="center"/>
          </w:tcPr>
          <w:p w14:paraId="68B849C1">
            <w:pPr>
              <w:adjustRightInd w:val="0"/>
              <w:snapToGrid w:val="0"/>
              <w:jc w:val="center"/>
              <w:rPr>
                <w:rFonts w:hint="default" w:ascii="Times New Roman" w:hAnsi="Times New Roman" w:cs="Times New Roman"/>
                <w:color w:val="auto"/>
                <w:spacing w:val="-8"/>
                <w:sz w:val="18"/>
                <w:szCs w:val="18"/>
              </w:rPr>
            </w:pPr>
            <w:r>
              <w:rPr>
                <w:rFonts w:hint="default" w:ascii="Times New Roman" w:hAnsi="Times New Roman" w:cs="Times New Roman"/>
                <w:color w:val="auto"/>
                <w:spacing w:val="-8"/>
                <w:sz w:val="18"/>
                <w:szCs w:val="18"/>
              </w:rPr>
              <w:t>其他环境</w:t>
            </w:r>
          </w:p>
          <w:p w14:paraId="38FFA677">
            <w:pPr>
              <w:adjustRightInd w:val="0"/>
              <w:snapToGrid w:val="0"/>
              <w:jc w:val="center"/>
              <w:rPr>
                <w:rFonts w:hint="default" w:ascii="Times New Roman" w:hAnsi="Times New Roman" w:cs="Times New Roman"/>
                <w:color w:val="auto"/>
                <w:spacing w:val="-8"/>
                <w:sz w:val="18"/>
                <w:szCs w:val="18"/>
              </w:rPr>
            </w:pPr>
            <w:r>
              <w:rPr>
                <w:rFonts w:hint="default" w:ascii="Times New Roman" w:hAnsi="Times New Roman" w:cs="Times New Roman"/>
                <w:color w:val="auto"/>
                <w:spacing w:val="-8"/>
                <w:sz w:val="18"/>
                <w:szCs w:val="18"/>
              </w:rPr>
              <w:t>管理要求</w:t>
            </w:r>
          </w:p>
        </w:tc>
        <w:tc>
          <w:tcPr>
            <w:tcW w:w="7908" w:type="dxa"/>
            <w:gridSpan w:val="5"/>
            <w:noWrap w:val="0"/>
            <w:vAlign w:val="center"/>
          </w:tcPr>
          <w:p w14:paraId="430BC032">
            <w:pPr>
              <w:adjustRightInd w:val="0"/>
              <w:snapToGrid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p>
        </w:tc>
      </w:tr>
    </w:tbl>
    <w:p w14:paraId="39570996">
      <w:pPr>
        <w:pStyle w:val="26"/>
        <w:jc w:val="center"/>
        <w:outlineLvl w:val="0"/>
        <w:rPr>
          <w:rFonts w:hint="default" w:ascii="Times New Roman" w:hAnsi="Times New Roman" w:cs="Times New Roman"/>
          <w:snapToGrid w:val="0"/>
          <w:color w:val="auto"/>
          <w:sz w:val="30"/>
          <w:szCs w:val="30"/>
        </w:rPr>
      </w:pPr>
      <w:r>
        <w:rPr>
          <w:rFonts w:hint="default" w:ascii="Times New Roman" w:hAnsi="Times New Roman" w:cs="Times New Roman"/>
          <w:snapToGrid w:val="0"/>
          <w:color w:val="auto"/>
        </w:rPr>
        <w:br w:type="page"/>
      </w:r>
      <w:r>
        <w:rPr>
          <w:rFonts w:hint="default" w:ascii="Times New Roman" w:hAnsi="Times New Roman" w:cs="Times New Roman"/>
          <w:snapToGrid w:val="0"/>
          <w:color w:val="auto"/>
          <w:sz w:val="30"/>
          <w:szCs w:val="30"/>
        </w:rPr>
        <w:t>六、结论</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5616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14:paraId="3E556617">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综上所述，本项目符合国家产业政策和用地规划。在采取相应有效的污染治理措施后，能实现污染物达标排放，对周边环境影响在可接受范围内。因此，从环境保护角度分析，本项目的环境影响是可行的。</w:t>
            </w:r>
          </w:p>
          <w:p w14:paraId="494E78D3">
            <w:pPr>
              <w:adjustRightInd w:val="0"/>
              <w:snapToGrid w:val="0"/>
              <w:spacing w:line="360" w:lineRule="auto"/>
              <w:ind w:firstLine="480" w:firstLineChars="200"/>
              <w:rPr>
                <w:rFonts w:hint="default" w:ascii="Times New Roman" w:hAnsi="Times New Roman" w:cs="Times New Roman"/>
                <w:color w:val="auto"/>
                <w:sz w:val="24"/>
              </w:rPr>
            </w:pPr>
          </w:p>
          <w:p w14:paraId="6329542F">
            <w:pPr>
              <w:adjustRightInd w:val="0"/>
              <w:snapToGrid w:val="0"/>
              <w:spacing w:line="360" w:lineRule="auto"/>
              <w:ind w:firstLine="480" w:firstLineChars="200"/>
              <w:rPr>
                <w:rFonts w:hint="default" w:ascii="Times New Roman" w:hAnsi="Times New Roman" w:cs="Times New Roman"/>
                <w:color w:val="auto"/>
                <w:sz w:val="24"/>
              </w:rPr>
            </w:pPr>
          </w:p>
          <w:p w14:paraId="268AA60D">
            <w:pPr>
              <w:adjustRightInd w:val="0"/>
              <w:snapToGrid w:val="0"/>
              <w:spacing w:line="360" w:lineRule="auto"/>
              <w:ind w:firstLine="480" w:firstLineChars="200"/>
              <w:rPr>
                <w:rFonts w:hint="default" w:ascii="Times New Roman" w:hAnsi="Times New Roman" w:cs="Times New Roman"/>
                <w:color w:val="auto"/>
                <w:sz w:val="24"/>
              </w:rPr>
            </w:pPr>
          </w:p>
          <w:p w14:paraId="15582617">
            <w:pPr>
              <w:adjustRightInd w:val="0"/>
              <w:snapToGrid w:val="0"/>
              <w:spacing w:line="360" w:lineRule="auto"/>
              <w:ind w:firstLine="480" w:firstLineChars="200"/>
              <w:rPr>
                <w:rFonts w:hint="default" w:ascii="Times New Roman" w:hAnsi="Times New Roman" w:cs="Times New Roman"/>
                <w:color w:val="auto"/>
                <w:sz w:val="24"/>
              </w:rPr>
            </w:pPr>
          </w:p>
          <w:p w14:paraId="153C150E">
            <w:pPr>
              <w:adjustRightInd w:val="0"/>
              <w:snapToGrid w:val="0"/>
              <w:spacing w:line="360" w:lineRule="auto"/>
              <w:ind w:firstLine="480" w:firstLineChars="200"/>
              <w:rPr>
                <w:rFonts w:hint="default" w:ascii="Times New Roman" w:hAnsi="Times New Roman" w:cs="Times New Roman"/>
                <w:color w:val="auto"/>
                <w:sz w:val="24"/>
              </w:rPr>
            </w:pPr>
          </w:p>
          <w:p w14:paraId="4CD39C19">
            <w:pPr>
              <w:adjustRightInd w:val="0"/>
              <w:snapToGrid w:val="0"/>
              <w:spacing w:line="360" w:lineRule="auto"/>
              <w:ind w:firstLine="480" w:firstLineChars="200"/>
              <w:rPr>
                <w:rFonts w:hint="default" w:ascii="Times New Roman" w:hAnsi="Times New Roman" w:cs="Times New Roman"/>
                <w:color w:val="auto"/>
                <w:sz w:val="24"/>
              </w:rPr>
            </w:pPr>
          </w:p>
          <w:p w14:paraId="44593205">
            <w:pPr>
              <w:adjustRightInd w:val="0"/>
              <w:snapToGrid w:val="0"/>
              <w:spacing w:line="360" w:lineRule="auto"/>
              <w:ind w:firstLine="480" w:firstLineChars="200"/>
              <w:rPr>
                <w:rFonts w:hint="default" w:ascii="Times New Roman" w:hAnsi="Times New Roman" w:cs="Times New Roman"/>
                <w:color w:val="auto"/>
                <w:sz w:val="24"/>
              </w:rPr>
            </w:pPr>
          </w:p>
          <w:p w14:paraId="59016387">
            <w:pPr>
              <w:adjustRightInd w:val="0"/>
              <w:snapToGrid w:val="0"/>
              <w:spacing w:line="360" w:lineRule="auto"/>
              <w:ind w:firstLine="480" w:firstLineChars="200"/>
              <w:rPr>
                <w:rFonts w:hint="default" w:ascii="Times New Roman" w:hAnsi="Times New Roman" w:cs="Times New Roman"/>
                <w:color w:val="auto"/>
                <w:sz w:val="24"/>
              </w:rPr>
            </w:pPr>
          </w:p>
          <w:p w14:paraId="23B73601">
            <w:pPr>
              <w:adjustRightInd w:val="0"/>
              <w:snapToGrid w:val="0"/>
              <w:spacing w:line="360" w:lineRule="auto"/>
              <w:ind w:firstLine="480" w:firstLineChars="200"/>
              <w:rPr>
                <w:rFonts w:hint="default" w:ascii="Times New Roman" w:hAnsi="Times New Roman" w:cs="Times New Roman"/>
                <w:color w:val="auto"/>
                <w:sz w:val="24"/>
              </w:rPr>
            </w:pPr>
          </w:p>
          <w:p w14:paraId="5188D91D">
            <w:pPr>
              <w:adjustRightInd w:val="0"/>
              <w:snapToGrid w:val="0"/>
              <w:spacing w:line="360" w:lineRule="auto"/>
              <w:ind w:firstLine="480" w:firstLineChars="200"/>
              <w:rPr>
                <w:rFonts w:hint="default" w:ascii="Times New Roman" w:hAnsi="Times New Roman" w:cs="Times New Roman"/>
                <w:color w:val="auto"/>
                <w:sz w:val="24"/>
              </w:rPr>
            </w:pPr>
          </w:p>
          <w:p w14:paraId="7790EEFC">
            <w:pPr>
              <w:adjustRightInd w:val="0"/>
              <w:snapToGrid w:val="0"/>
              <w:spacing w:line="360" w:lineRule="auto"/>
              <w:ind w:firstLine="480" w:firstLineChars="200"/>
              <w:rPr>
                <w:rFonts w:hint="default" w:ascii="Times New Roman" w:hAnsi="Times New Roman" w:cs="Times New Roman"/>
                <w:color w:val="auto"/>
                <w:sz w:val="24"/>
              </w:rPr>
            </w:pPr>
          </w:p>
          <w:p w14:paraId="0C5753CF">
            <w:pPr>
              <w:adjustRightInd w:val="0"/>
              <w:snapToGrid w:val="0"/>
              <w:spacing w:line="360" w:lineRule="auto"/>
              <w:ind w:firstLine="480" w:firstLineChars="200"/>
              <w:rPr>
                <w:rFonts w:hint="default" w:ascii="Times New Roman" w:hAnsi="Times New Roman" w:cs="Times New Roman"/>
                <w:color w:val="auto"/>
                <w:sz w:val="24"/>
              </w:rPr>
            </w:pPr>
          </w:p>
          <w:p w14:paraId="6EDFCF14">
            <w:pPr>
              <w:adjustRightInd w:val="0"/>
              <w:snapToGrid w:val="0"/>
              <w:spacing w:line="360" w:lineRule="auto"/>
              <w:ind w:firstLine="480" w:firstLineChars="200"/>
              <w:rPr>
                <w:rFonts w:hint="default" w:ascii="Times New Roman" w:hAnsi="Times New Roman" w:cs="Times New Roman"/>
                <w:color w:val="auto"/>
                <w:sz w:val="24"/>
              </w:rPr>
            </w:pPr>
          </w:p>
          <w:p w14:paraId="75F8497F">
            <w:pPr>
              <w:adjustRightInd w:val="0"/>
              <w:snapToGrid w:val="0"/>
              <w:spacing w:line="360" w:lineRule="auto"/>
              <w:ind w:firstLine="480" w:firstLineChars="200"/>
              <w:rPr>
                <w:rFonts w:hint="default" w:ascii="Times New Roman" w:hAnsi="Times New Roman" w:cs="Times New Roman"/>
                <w:color w:val="auto"/>
                <w:sz w:val="24"/>
              </w:rPr>
            </w:pPr>
          </w:p>
          <w:p w14:paraId="744576D3">
            <w:pPr>
              <w:adjustRightInd w:val="0"/>
              <w:snapToGrid w:val="0"/>
              <w:spacing w:line="360" w:lineRule="auto"/>
              <w:ind w:firstLine="480" w:firstLineChars="200"/>
              <w:rPr>
                <w:rFonts w:hint="default" w:ascii="Times New Roman" w:hAnsi="Times New Roman" w:cs="Times New Roman"/>
                <w:color w:val="auto"/>
                <w:sz w:val="24"/>
              </w:rPr>
            </w:pPr>
          </w:p>
          <w:p w14:paraId="1AF799B2">
            <w:pPr>
              <w:adjustRightInd w:val="0"/>
              <w:snapToGrid w:val="0"/>
              <w:spacing w:line="360" w:lineRule="auto"/>
              <w:ind w:firstLine="480" w:firstLineChars="200"/>
              <w:rPr>
                <w:rFonts w:hint="default" w:ascii="Times New Roman" w:hAnsi="Times New Roman" w:cs="Times New Roman"/>
                <w:color w:val="auto"/>
                <w:sz w:val="24"/>
              </w:rPr>
            </w:pPr>
          </w:p>
          <w:p w14:paraId="5E1473EB">
            <w:pPr>
              <w:adjustRightInd w:val="0"/>
              <w:snapToGrid w:val="0"/>
              <w:spacing w:line="360" w:lineRule="auto"/>
              <w:ind w:firstLine="480" w:firstLineChars="200"/>
              <w:rPr>
                <w:rFonts w:hint="default" w:ascii="Times New Roman" w:hAnsi="Times New Roman" w:cs="Times New Roman"/>
                <w:color w:val="auto"/>
                <w:sz w:val="24"/>
              </w:rPr>
            </w:pPr>
          </w:p>
          <w:p w14:paraId="339DDBF8">
            <w:pPr>
              <w:adjustRightInd w:val="0"/>
              <w:snapToGrid w:val="0"/>
              <w:spacing w:line="360" w:lineRule="auto"/>
              <w:ind w:firstLine="480" w:firstLineChars="200"/>
              <w:rPr>
                <w:rFonts w:hint="default" w:ascii="Times New Roman" w:hAnsi="Times New Roman" w:cs="Times New Roman"/>
                <w:color w:val="auto"/>
                <w:sz w:val="24"/>
              </w:rPr>
            </w:pPr>
          </w:p>
          <w:p w14:paraId="3A4210C4">
            <w:pPr>
              <w:adjustRightInd w:val="0"/>
              <w:snapToGrid w:val="0"/>
              <w:spacing w:line="360" w:lineRule="auto"/>
              <w:ind w:firstLine="480" w:firstLineChars="200"/>
              <w:rPr>
                <w:rFonts w:hint="default" w:ascii="Times New Roman" w:hAnsi="Times New Roman" w:cs="Times New Roman"/>
                <w:color w:val="auto"/>
                <w:sz w:val="24"/>
              </w:rPr>
            </w:pPr>
          </w:p>
          <w:p w14:paraId="643E181C">
            <w:pPr>
              <w:adjustRightInd w:val="0"/>
              <w:snapToGrid w:val="0"/>
              <w:spacing w:line="360" w:lineRule="auto"/>
              <w:ind w:firstLine="480" w:firstLineChars="200"/>
              <w:rPr>
                <w:rFonts w:hint="default" w:ascii="Times New Roman" w:hAnsi="Times New Roman" w:cs="Times New Roman"/>
                <w:color w:val="auto"/>
                <w:sz w:val="24"/>
              </w:rPr>
            </w:pPr>
          </w:p>
          <w:p w14:paraId="472E1937">
            <w:pPr>
              <w:adjustRightInd w:val="0"/>
              <w:snapToGrid w:val="0"/>
              <w:spacing w:line="360" w:lineRule="auto"/>
              <w:ind w:firstLine="480" w:firstLineChars="200"/>
              <w:rPr>
                <w:rFonts w:hint="default" w:ascii="Times New Roman" w:hAnsi="Times New Roman" w:cs="Times New Roman"/>
                <w:color w:val="auto"/>
                <w:sz w:val="24"/>
              </w:rPr>
            </w:pPr>
          </w:p>
          <w:p w14:paraId="0F17A5FD">
            <w:pPr>
              <w:adjustRightInd w:val="0"/>
              <w:snapToGrid w:val="0"/>
              <w:spacing w:line="360" w:lineRule="auto"/>
              <w:ind w:firstLine="480" w:firstLineChars="200"/>
              <w:rPr>
                <w:rFonts w:hint="default" w:ascii="Times New Roman" w:hAnsi="Times New Roman" w:cs="Times New Roman"/>
                <w:color w:val="auto"/>
                <w:sz w:val="24"/>
              </w:rPr>
            </w:pPr>
          </w:p>
          <w:p w14:paraId="5E04A8A9">
            <w:pPr>
              <w:adjustRightInd w:val="0"/>
              <w:snapToGrid w:val="0"/>
              <w:spacing w:line="360" w:lineRule="auto"/>
              <w:ind w:firstLine="480" w:firstLineChars="200"/>
              <w:rPr>
                <w:rFonts w:hint="default" w:ascii="Times New Roman" w:hAnsi="Times New Roman" w:cs="Times New Roman"/>
                <w:color w:val="auto"/>
                <w:sz w:val="24"/>
              </w:rPr>
            </w:pPr>
          </w:p>
          <w:p w14:paraId="53878E03">
            <w:pPr>
              <w:adjustRightInd w:val="0"/>
              <w:snapToGrid w:val="0"/>
              <w:spacing w:line="360" w:lineRule="auto"/>
              <w:ind w:firstLine="480" w:firstLineChars="200"/>
              <w:rPr>
                <w:rFonts w:hint="default" w:ascii="Times New Roman" w:hAnsi="Times New Roman" w:cs="Times New Roman"/>
                <w:color w:val="auto"/>
                <w:sz w:val="24"/>
              </w:rPr>
            </w:pPr>
          </w:p>
        </w:tc>
      </w:tr>
    </w:tbl>
    <w:p w14:paraId="7EBC97C3">
      <w:pPr>
        <w:rPr>
          <w:rFonts w:hint="default" w:ascii="Times New Roman" w:hAnsi="Times New Roman" w:cs="Times New Roman"/>
          <w:color w:val="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6D79D691">
      <w:pPr>
        <w:pStyle w:val="26"/>
        <w:adjustRightInd w:val="0"/>
        <w:snapToGrid w:val="0"/>
        <w:spacing w:before="0" w:beforeAutospacing="0" w:after="0" w:afterAutospacing="0"/>
        <w:outlineLvl w:val="0"/>
        <w:rPr>
          <w:rFonts w:hint="default" w:ascii="Times New Roman" w:hAnsi="Times New Roman" w:cs="Times New Roman"/>
          <w:snapToGrid w:val="0"/>
          <w:color w:val="auto"/>
          <w:sz w:val="32"/>
          <w:szCs w:val="32"/>
        </w:rPr>
      </w:pPr>
      <w:r>
        <w:rPr>
          <w:rFonts w:hint="default" w:ascii="Times New Roman" w:hAnsi="Times New Roman" w:cs="Times New Roman"/>
          <w:snapToGrid w:val="0"/>
          <w:color w:val="auto"/>
          <w:sz w:val="32"/>
          <w:szCs w:val="32"/>
        </w:rPr>
        <w:t>附表</w:t>
      </w:r>
    </w:p>
    <w:p w14:paraId="5CFB3C1E">
      <w:pPr>
        <w:pStyle w:val="26"/>
        <w:adjustRightInd w:val="0"/>
        <w:snapToGrid w:val="0"/>
        <w:spacing w:before="0" w:beforeAutospacing="0" w:after="0" w:afterAutospacing="0"/>
        <w:jc w:val="center"/>
        <w:outlineLvl w:val="0"/>
        <w:rPr>
          <w:rFonts w:hint="default" w:ascii="Times New Roman" w:hAnsi="Times New Roman" w:cs="Times New Roman"/>
          <w:snapToGrid w:val="0"/>
          <w:color w:val="auto"/>
          <w:sz w:val="38"/>
          <w:szCs w:val="38"/>
        </w:rPr>
      </w:pPr>
      <w:r>
        <w:rPr>
          <w:rFonts w:hint="default" w:ascii="Times New Roman" w:hAnsi="Times New Roman" w:cs="Times New Roman"/>
          <w:snapToGrid w:val="0"/>
          <w:color w:val="auto"/>
          <w:sz w:val="38"/>
          <w:szCs w:val="38"/>
        </w:rPr>
        <w:t>建设项目污染物排放量汇总表</w:t>
      </w:r>
    </w:p>
    <w:tbl>
      <w:tblPr>
        <w:tblStyle w:val="30"/>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041"/>
        <w:gridCol w:w="1503"/>
        <w:gridCol w:w="1276"/>
        <w:gridCol w:w="1701"/>
        <w:gridCol w:w="1559"/>
        <w:gridCol w:w="1761"/>
        <w:gridCol w:w="1641"/>
        <w:gridCol w:w="1144"/>
      </w:tblGrid>
      <w:tr w14:paraId="5815C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62" w:type="dxa"/>
            <w:tcBorders>
              <w:tl2br w:val="single" w:color="auto" w:sz="4" w:space="0"/>
            </w:tcBorders>
            <w:noWrap w:val="0"/>
            <w:tcMar>
              <w:left w:w="28" w:type="dxa"/>
              <w:right w:w="28" w:type="dxa"/>
            </w:tcMar>
            <w:vAlign w:val="center"/>
          </w:tcPr>
          <w:p w14:paraId="1B7AF15D">
            <w:pPr>
              <w:pStyle w:val="59"/>
              <w:spacing w:beforeLines="0" w:afterLines="0" w:line="240" w:lineRule="auto"/>
              <w:ind w:left="816" w:hanging="396"/>
              <w:jc w:val="center"/>
              <w:rPr>
                <w:rFonts w:hint="default" w:ascii="Times New Roman" w:hAnsi="Times New Roman" w:eastAsia="宋体" w:cs="Times New Roman"/>
                <w:snapToGrid w:val="0"/>
                <w:color w:val="auto"/>
                <w:spacing w:val="-6"/>
                <w:kern w:val="21"/>
                <w:sz w:val="21"/>
                <w:szCs w:val="21"/>
              </w:rPr>
            </w:pPr>
            <w:r>
              <w:rPr>
                <w:rFonts w:hint="default" w:ascii="Times New Roman" w:hAnsi="Times New Roman" w:eastAsia="宋体" w:cs="Times New Roman"/>
                <w:snapToGrid w:val="0"/>
                <w:color w:val="auto"/>
                <w:spacing w:val="-6"/>
                <w:kern w:val="21"/>
                <w:sz w:val="21"/>
                <w:szCs w:val="21"/>
              </w:rPr>
              <w:t>项目</w:t>
            </w:r>
          </w:p>
          <w:p w14:paraId="0D66651E">
            <w:pPr>
              <w:pStyle w:val="59"/>
              <w:spacing w:beforeLines="0" w:afterLines="0" w:line="240" w:lineRule="auto"/>
              <w:ind w:left="0" w:leftChars="0" w:firstLine="0" w:firstLineChars="0"/>
              <w:jc w:val="center"/>
              <w:rPr>
                <w:rFonts w:hint="default" w:ascii="Times New Roman" w:hAnsi="Times New Roman" w:eastAsia="宋体" w:cs="Times New Roman"/>
                <w:snapToGrid w:val="0"/>
                <w:color w:val="auto"/>
                <w:spacing w:val="-6"/>
                <w:kern w:val="21"/>
                <w:sz w:val="21"/>
                <w:szCs w:val="21"/>
              </w:rPr>
            </w:pPr>
            <w:r>
              <w:rPr>
                <w:rFonts w:hint="default" w:ascii="Times New Roman" w:hAnsi="Times New Roman" w:eastAsia="宋体" w:cs="Times New Roman"/>
                <w:snapToGrid w:val="0"/>
                <w:color w:val="auto"/>
                <w:spacing w:val="-6"/>
                <w:kern w:val="21"/>
                <w:sz w:val="21"/>
                <w:szCs w:val="21"/>
              </w:rPr>
              <w:t>分类</w:t>
            </w:r>
          </w:p>
        </w:tc>
        <w:tc>
          <w:tcPr>
            <w:tcW w:w="2041" w:type="dxa"/>
            <w:noWrap w:val="0"/>
            <w:tcMar>
              <w:left w:w="28" w:type="dxa"/>
              <w:right w:w="28" w:type="dxa"/>
            </w:tcMar>
            <w:vAlign w:val="center"/>
          </w:tcPr>
          <w:p w14:paraId="4A902058">
            <w:pPr>
              <w:pStyle w:val="59"/>
              <w:spacing w:beforeLines="0" w:afterLines="0" w:line="240" w:lineRule="auto"/>
              <w:ind w:left="0" w:leftChars="0" w:firstLine="0" w:firstLineChars="0"/>
              <w:jc w:val="center"/>
              <w:rPr>
                <w:rFonts w:hint="default" w:ascii="Times New Roman" w:hAnsi="Times New Roman" w:eastAsia="宋体" w:cs="Times New Roman"/>
                <w:snapToGrid w:val="0"/>
                <w:color w:val="auto"/>
                <w:spacing w:val="-6"/>
                <w:kern w:val="21"/>
                <w:sz w:val="21"/>
                <w:szCs w:val="21"/>
              </w:rPr>
            </w:pPr>
            <w:r>
              <w:rPr>
                <w:rFonts w:hint="default" w:ascii="Times New Roman" w:hAnsi="Times New Roman" w:eastAsia="宋体" w:cs="Times New Roman"/>
                <w:snapToGrid w:val="0"/>
                <w:color w:val="auto"/>
                <w:spacing w:val="-6"/>
                <w:kern w:val="21"/>
                <w:sz w:val="21"/>
                <w:szCs w:val="21"/>
              </w:rPr>
              <w:t>污染物名称</w:t>
            </w:r>
          </w:p>
        </w:tc>
        <w:tc>
          <w:tcPr>
            <w:tcW w:w="1503" w:type="dxa"/>
            <w:noWrap w:val="0"/>
            <w:tcMar>
              <w:left w:w="28" w:type="dxa"/>
              <w:right w:w="28" w:type="dxa"/>
            </w:tcMar>
            <w:vAlign w:val="center"/>
          </w:tcPr>
          <w:p w14:paraId="42A806FB">
            <w:pPr>
              <w:pStyle w:val="59"/>
              <w:spacing w:beforeLines="0" w:afterLines="0" w:line="240" w:lineRule="auto"/>
              <w:ind w:left="0" w:leftChars="0" w:firstLine="0" w:firstLineChars="0"/>
              <w:jc w:val="center"/>
              <w:rPr>
                <w:rFonts w:hint="default" w:ascii="Times New Roman" w:hAnsi="Times New Roman" w:eastAsia="宋体" w:cs="Times New Roman"/>
                <w:snapToGrid w:val="0"/>
                <w:color w:val="auto"/>
                <w:spacing w:val="-6"/>
                <w:kern w:val="21"/>
                <w:sz w:val="21"/>
                <w:szCs w:val="21"/>
              </w:rPr>
            </w:pPr>
            <w:r>
              <w:rPr>
                <w:rFonts w:hint="default" w:ascii="Times New Roman" w:hAnsi="Times New Roman" w:eastAsia="宋体" w:cs="Times New Roman"/>
                <w:snapToGrid w:val="0"/>
                <w:color w:val="auto"/>
                <w:spacing w:val="-6"/>
                <w:kern w:val="21"/>
                <w:sz w:val="21"/>
                <w:szCs w:val="21"/>
              </w:rPr>
              <w:t>现有工程排放量（固体废物产生量）</w:t>
            </w:r>
            <w:r>
              <w:rPr>
                <w:rFonts w:hint="default" w:ascii="Times New Roman" w:hAnsi="Times New Roman" w:eastAsia="宋体" w:cs="Times New Roman"/>
                <w:snapToGrid w:val="0"/>
                <w:color w:val="auto"/>
                <w:spacing w:val="-6"/>
                <w:kern w:val="21"/>
                <w:sz w:val="21"/>
                <w:szCs w:val="21"/>
              </w:rPr>
              <w:fldChar w:fldCharType="begin"/>
            </w:r>
            <w:r>
              <w:rPr>
                <w:rFonts w:hint="default" w:ascii="Times New Roman" w:hAnsi="Times New Roman" w:eastAsia="宋体" w:cs="Times New Roman"/>
                <w:snapToGrid w:val="0"/>
                <w:color w:val="auto"/>
                <w:spacing w:val="-6"/>
                <w:kern w:val="21"/>
                <w:sz w:val="21"/>
                <w:szCs w:val="21"/>
              </w:rPr>
              <w:instrText xml:space="preserve"> = 1 \* GB3 \* MERGEFORMAT </w:instrText>
            </w:r>
            <w:r>
              <w:rPr>
                <w:rFonts w:hint="default" w:ascii="Times New Roman" w:hAnsi="Times New Roman" w:eastAsia="宋体" w:cs="Times New Roman"/>
                <w:snapToGrid w:val="0"/>
                <w:color w:val="auto"/>
                <w:spacing w:val="-6"/>
                <w:kern w:val="21"/>
                <w:sz w:val="21"/>
                <w:szCs w:val="21"/>
              </w:rPr>
              <w:fldChar w:fldCharType="separate"/>
            </w:r>
            <w:r>
              <w:rPr>
                <w:rFonts w:hint="default" w:ascii="Times New Roman" w:hAnsi="Times New Roman" w:eastAsia="宋体" w:cs="Times New Roman"/>
                <w:color w:val="auto"/>
                <w:kern w:val="2"/>
                <w:sz w:val="21"/>
                <w:szCs w:val="21"/>
              </w:rPr>
              <w:t>①</w:t>
            </w:r>
            <w:r>
              <w:rPr>
                <w:rFonts w:hint="default" w:ascii="Times New Roman" w:hAnsi="Times New Roman" w:eastAsia="宋体" w:cs="Times New Roman"/>
                <w:snapToGrid w:val="0"/>
                <w:color w:val="auto"/>
                <w:spacing w:val="-6"/>
                <w:kern w:val="21"/>
                <w:sz w:val="21"/>
                <w:szCs w:val="21"/>
              </w:rPr>
              <w:fldChar w:fldCharType="end"/>
            </w:r>
          </w:p>
        </w:tc>
        <w:tc>
          <w:tcPr>
            <w:tcW w:w="1276" w:type="dxa"/>
            <w:noWrap w:val="0"/>
            <w:tcMar>
              <w:left w:w="28" w:type="dxa"/>
              <w:right w:w="28" w:type="dxa"/>
            </w:tcMar>
            <w:vAlign w:val="center"/>
          </w:tcPr>
          <w:p w14:paraId="4A08C601">
            <w:pPr>
              <w:pStyle w:val="59"/>
              <w:spacing w:beforeLines="0" w:afterLines="0" w:line="240" w:lineRule="auto"/>
              <w:ind w:left="0" w:leftChars="0" w:firstLine="0" w:firstLineChars="0"/>
              <w:jc w:val="center"/>
              <w:rPr>
                <w:rFonts w:hint="default" w:ascii="Times New Roman" w:hAnsi="Times New Roman" w:eastAsia="宋体" w:cs="Times New Roman"/>
                <w:snapToGrid w:val="0"/>
                <w:color w:val="auto"/>
                <w:spacing w:val="-6"/>
                <w:kern w:val="21"/>
                <w:sz w:val="21"/>
                <w:szCs w:val="21"/>
              </w:rPr>
            </w:pPr>
            <w:r>
              <w:rPr>
                <w:rFonts w:hint="default" w:ascii="Times New Roman" w:hAnsi="Times New Roman" w:eastAsia="宋体" w:cs="Times New Roman"/>
                <w:snapToGrid w:val="0"/>
                <w:color w:val="auto"/>
                <w:spacing w:val="-6"/>
                <w:kern w:val="21"/>
                <w:sz w:val="21"/>
                <w:szCs w:val="21"/>
              </w:rPr>
              <w:t>现有工程许可排放量</w:t>
            </w:r>
            <w:r>
              <w:rPr>
                <w:rFonts w:hint="default" w:ascii="Times New Roman" w:hAnsi="Times New Roman" w:eastAsia="宋体" w:cs="Times New Roman"/>
                <w:snapToGrid w:val="0"/>
                <w:color w:val="auto"/>
                <w:spacing w:val="-6"/>
                <w:kern w:val="21"/>
                <w:sz w:val="21"/>
                <w:szCs w:val="21"/>
              </w:rPr>
              <w:fldChar w:fldCharType="begin"/>
            </w:r>
            <w:r>
              <w:rPr>
                <w:rFonts w:hint="default" w:ascii="Times New Roman" w:hAnsi="Times New Roman" w:eastAsia="宋体" w:cs="Times New Roman"/>
                <w:snapToGrid w:val="0"/>
                <w:color w:val="auto"/>
                <w:spacing w:val="-6"/>
                <w:kern w:val="21"/>
                <w:sz w:val="21"/>
                <w:szCs w:val="21"/>
              </w:rPr>
              <w:instrText xml:space="preserve"> = 2 \* GB3 \* MERGEFORMAT </w:instrText>
            </w:r>
            <w:r>
              <w:rPr>
                <w:rFonts w:hint="default" w:ascii="Times New Roman" w:hAnsi="Times New Roman" w:eastAsia="宋体" w:cs="Times New Roman"/>
                <w:snapToGrid w:val="0"/>
                <w:color w:val="auto"/>
                <w:spacing w:val="-6"/>
                <w:kern w:val="21"/>
                <w:sz w:val="21"/>
                <w:szCs w:val="21"/>
              </w:rPr>
              <w:fldChar w:fldCharType="separate"/>
            </w:r>
            <w:r>
              <w:rPr>
                <w:rFonts w:hint="default" w:ascii="Times New Roman" w:hAnsi="Times New Roman" w:eastAsia="宋体" w:cs="Times New Roman"/>
                <w:snapToGrid w:val="0"/>
                <w:color w:val="auto"/>
                <w:spacing w:val="-6"/>
                <w:kern w:val="21"/>
                <w:sz w:val="21"/>
                <w:szCs w:val="21"/>
              </w:rPr>
              <w:t>②</w:t>
            </w:r>
            <w:r>
              <w:rPr>
                <w:rFonts w:hint="default" w:ascii="Times New Roman" w:hAnsi="Times New Roman" w:eastAsia="宋体" w:cs="Times New Roman"/>
                <w:snapToGrid w:val="0"/>
                <w:color w:val="auto"/>
                <w:spacing w:val="-6"/>
                <w:kern w:val="21"/>
                <w:sz w:val="21"/>
                <w:szCs w:val="21"/>
              </w:rPr>
              <w:fldChar w:fldCharType="end"/>
            </w:r>
          </w:p>
        </w:tc>
        <w:tc>
          <w:tcPr>
            <w:tcW w:w="1701" w:type="dxa"/>
            <w:noWrap w:val="0"/>
            <w:tcMar>
              <w:left w:w="28" w:type="dxa"/>
              <w:right w:w="28" w:type="dxa"/>
            </w:tcMar>
            <w:vAlign w:val="center"/>
          </w:tcPr>
          <w:p w14:paraId="15AED46D">
            <w:pPr>
              <w:pStyle w:val="59"/>
              <w:spacing w:beforeLines="0" w:afterLines="0" w:line="240" w:lineRule="auto"/>
              <w:ind w:left="0" w:leftChars="0" w:firstLine="0" w:firstLineChars="0"/>
              <w:jc w:val="center"/>
              <w:rPr>
                <w:rFonts w:hint="default" w:ascii="Times New Roman" w:hAnsi="Times New Roman" w:eastAsia="宋体" w:cs="Times New Roman"/>
                <w:snapToGrid w:val="0"/>
                <w:color w:val="auto"/>
                <w:spacing w:val="-6"/>
                <w:kern w:val="21"/>
                <w:sz w:val="21"/>
                <w:szCs w:val="21"/>
              </w:rPr>
            </w:pPr>
            <w:r>
              <w:rPr>
                <w:rFonts w:hint="default" w:ascii="Times New Roman" w:hAnsi="Times New Roman" w:eastAsia="宋体" w:cs="Times New Roman"/>
                <w:snapToGrid w:val="0"/>
                <w:color w:val="auto"/>
                <w:spacing w:val="-6"/>
                <w:kern w:val="21"/>
                <w:sz w:val="21"/>
                <w:szCs w:val="21"/>
              </w:rPr>
              <w:t>在建工程排放量（固体废物产生量）</w:t>
            </w:r>
            <w:r>
              <w:rPr>
                <w:rFonts w:hint="default" w:ascii="Times New Roman" w:hAnsi="Times New Roman" w:eastAsia="宋体" w:cs="Times New Roman"/>
                <w:snapToGrid w:val="0"/>
                <w:color w:val="auto"/>
                <w:spacing w:val="-6"/>
                <w:kern w:val="21"/>
                <w:sz w:val="21"/>
                <w:szCs w:val="21"/>
              </w:rPr>
              <w:fldChar w:fldCharType="begin"/>
            </w:r>
            <w:r>
              <w:rPr>
                <w:rFonts w:hint="default" w:ascii="Times New Roman" w:hAnsi="Times New Roman" w:eastAsia="宋体" w:cs="Times New Roman"/>
                <w:snapToGrid w:val="0"/>
                <w:color w:val="auto"/>
                <w:spacing w:val="-6"/>
                <w:kern w:val="21"/>
                <w:sz w:val="21"/>
                <w:szCs w:val="21"/>
              </w:rPr>
              <w:instrText xml:space="preserve"> = 3 \* GB3 \* MERGEFORMAT </w:instrText>
            </w:r>
            <w:r>
              <w:rPr>
                <w:rFonts w:hint="default" w:ascii="Times New Roman" w:hAnsi="Times New Roman" w:eastAsia="宋体" w:cs="Times New Roman"/>
                <w:snapToGrid w:val="0"/>
                <w:color w:val="auto"/>
                <w:spacing w:val="-6"/>
                <w:kern w:val="21"/>
                <w:sz w:val="21"/>
                <w:szCs w:val="21"/>
              </w:rPr>
              <w:fldChar w:fldCharType="separate"/>
            </w:r>
            <w:r>
              <w:rPr>
                <w:rFonts w:hint="default" w:ascii="Times New Roman" w:hAnsi="Times New Roman" w:eastAsia="宋体" w:cs="Times New Roman"/>
                <w:color w:val="auto"/>
                <w:kern w:val="2"/>
                <w:sz w:val="21"/>
                <w:szCs w:val="21"/>
              </w:rPr>
              <w:t>③</w:t>
            </w:r>
            <w:r>
              <w:rPr>
                <w:rFonts w:hint="default" w:ascii="Times New Roman" w:hAnsi="Times New Roman" w:eastAsia="宋体" w:cs="Times New Roman"/>
                <w:snapToGrid w:val="0"/>
                <w:color w:val="auto"/>
                <w:spacing w:val="-6"/>
                <w:kern w:val="21"/>
                <w:sz w:val="21"/>
                <w:szCs w:val="21"/>
              </w:rPr>
              <w:fldChar w:fldCharType="end"/>
            </w:r>
          </w:p>
        </w:tc>
        <w:tc>
          <w:tcPr>
            <w:tcW w:w="1559" w:type="dxa"/>
            <w:noWrap w:val="0"/>
            <w:tcMar>
              <w:left w:w="28" w:type="dxa"/>
              <w:right w:w="28" w:type="dxa"/>
            </w:tcMar>
            <w:vAlign w:val="center"/>
          </w:tcPr>
          <w:p w14:paraId="0B3A606A">
            <w:pPr>
              <w:pStyle w:val="59"/>
              <w:spacing w:beforeLines="0" w:afterLines="0" w:line="240" w:lineRule="auto"/>
              <w:ind w:left="0" w:leftChars="0" w:firstLine="0" w:firstLineChars="0"/>
              <w:jc w:val="center"/>
              <w:rPr>
                <w:rFonts w:hint="default" w:ascii="Times New Roman" w:hAnsi="Times New Roman" w:eastAsia="宋体" w:cs="Times New Roman"/>
                <w:snapToGrid w:val="0"/>
                <w:color w:val="auto"/>
                <w:spacing w:val="-6"/>
                <w:kern w:val="21"/>
                <w:sz w:val="21"/>
                <w:szCs w:val="21"/>
              </w:rPr>
            </w:pPr>
            <w:r>
              <w:rPr>
                <w:rFonts w:hint="default" w:ascii="Times New Roman" w:hAnsi="Times New Roman" w:eastAsia="宋体" w:cs="Times New Roman"/>
                <w:snapToGrid w:val="0"/>
                <w:color w:val="auto"/>
                <w:spacing w:val="-6"/>
                <w:kern w:val="21"/>
                <w:sz w:val="21"/>
                <w:szCs w:val="21"/>
              </w:rPr>
              <w:t>本项目排放量（固体废物产生量）</w:t>
            </w:r>
            <w:r>
              <w:rPr>
                <w:rFonts w:hint="default" w:ascii="Times New Roman" w:hAnsi="Times New Roman" w:eastAsia="宋体" w:cs="Times New Roman"/>
                <w:snapToGrid w:val="0"/>
                <w:color w:val="auto"/>
                <w:spacing w:val="-6"/>
                <w:kern w:val="21"/>
                <w:sz w:val="21"/>
                <w:szCs w:val="21"/>
              </w:rPr>
              <w:fldChar w:fldCharType="begin"/>
            </w:r>
            <w:r>
              <w:rPr>
                <w:rFonts w:hint="default" w:ascii="Times New Roman" w:hAnsi="Times New Roman" w:eastAsia="宋体" w:cs="Times New Roman"/>
                <w:snapToGrid w:val="0"/>
                <w:color w:val="auto"/>
                <w:spacing w:val="-6"/>
                <w:kern w:val="21"/>
                <w:sz w:val="21"/>
                <w:szCs w:val="21"/>
              </w:rPr>
              <w:instrText xml:space="preserve"> = 4 \* GB3 \* MERGEFORMAT </w:instrText>
            </w:r>
            <w:r>
              <w:rPr>
                <w:rFonts w:hint="default" w:ascii="Times New Roman" w:hAnsi="Times New Roman" w:eastAsia="宋体" w:cs="Times New Roman"/>
                <w:snapToGrid w:val="0"/>
                <w:color w:val="auto"/>
                <w:spacing w:val="-6"/>
                <w:kern w:val="21"/>
                <w:sz w:val="21"/>
                <w:szCs w:val="21"/>
              </w:rPr>
              <w:fldChar w:fldCharType="separate"/>
            </w:r>
            <w:r>
              <w:rPr>
                <w:rFonts w:hint="default" w:ascii="Times New Roman" w:hAnsi="Times New Roman" w:eastAsia="宋体" w:cs="Times New Roman"/>
                <w:color w:val="auto"/>
                <w:kern w:val="2"/>
                <w:sz w:val="21"/>
                <w:szCs w:val="21"/>
              </w:rPr>
              <w:t>④</w:t>
            </w:r>
            <w:r>
              <w:rPr>
                <w:rFonts w:hint="default" w:ascii="Times New Roman" w:hAnsi="Times New Roman" w:eastAsia="宋体" w:cs="Times New Roman"/>
                <w:snapToGrid w:val="0"/>
                <w:color w:val="auto"/>
                <w:spacing w:val="-6"/>
                <w:kern w:val="21"/>
                <w:sz w:val="21"/>
                <w:szCs w:val="21"/>
              </w:rPr>
              <w:fldChar w:fldCharType="end"/>
            </w:r>
          </w:p>
        </w:tc>
        <w:tc>
          <w:tcPr>
            <w:tcW w:w="1761" w:type="dxa"/>
            <w:noWrap w:val="0"/>
            <w:tcMar>
              <w:left w:w="28" w:type="dxa"/>
              <w:right w:w="28" w:type="dxa"/>
            </w:tcMar>
            <w:vAlign w:val="center"/>
          </w:tcPr>
          <w:p w14:paraId="04E048F6">
            <w:pPr>
              <w:pStyle w:val="59"/>
              <w:spacing w:beforeLines="0" w:afterLines="0" w:line="240" w:lineRule="auto"/>
              <w:ind w:left="0" w:leftChars="0" w:firstLine="0" w:firstLineChars="0"/>
              <w:jc w:val="center"/>
              <w:rPr>
                <w:rFonts w:hint="default" w:ascii="Times New Roman" w:hAnsi="Times New Roman" w:eastAsia="宋体" w:cs="Times New Roman"/>
                <w:snapToGrid w:val="0"/>
                <w:color w:val="auto"/>
                <w:spacing w:val="-16"/>
                <w:kern w:val="21"/>
                <w:sz w:val="21"/>
                <w:szCs w:val="21"/>
              </w:rPr>
            </w:pPr>
            <w:r>
              <w:rPr>
                <w:rFonts w:hint="default" w:ascii="Times New Roman" w:hAnsi="Times New Roman" w:eastAsia="宋体" w:cs="Times New Roman"/>
                <w:snapToGrid w:val="0"/>
                <w:color w:val="auto"/>
                <w:spacing w:val="-16"/>
                <w:kern w:val="21"/>
                <w:sz w:val="21"/>
                <w:szCs w:val="21"/>
              </w:rPr>
              <w:t>以新带老削减量（新建项目不填）</w:t>
            </w:r>
            <w:r>
              <w:rPr>
                <w:rFonts w:hint="default" w:ascii="Times New Roman" w:hAnsi="Times New Roman" w:eastAsia="宋体" w:cs="Times New Roman"/>
                <w:snapToGrid w:val="0"/>
                <w:color w:val="auto"/>
                <w:spacing w:val="-16"/>
                <w:kern w:val="21"/>
                <w:sz w:val="21"/>
                <w:szCs w:val="21"/>
              </w:rPr>
              <w:fldChar w:fldCharType="begin"/>
            </w:r>
            <w:r>
              <w:rPr>
                <w:rFonts w:hint="default" w:ascii="Times New Roman" w:hAnsi="Times New Roman" w:eastAsia="宋体" w:cs="Times New Roman"/>
                <w:snapToGrid w:val="0"/>
                <w:color w:val="auto"/>
                <w:spacing w:val="-16"/>
                <w:kern w:val="21"/>
                <w:sz w:val="21"/>
                <w:szCs w:val="21"/>
              </w:rPr>
              <w:instrText xml:space="preserve"> = 5 \* GB3 \* MERGEFORMAT </w:instrText>
            </w:r>
            <w:r>
              <w:rPr>
                <w:rFonts w:hint="default" w:ascii="Times New Roman" w:hAnsi="Times New Roman" w:eastAsia="宋体" w:cs="Times New Roman"/>
                <w:snapToGrid w:val="0"/>
                <w:color w:val="auto"/>
                <w:spacing w:val="-16"/>
                <w:kern w:val="21"/>
                <w:sz w:val="21"/>
                <w:szCs w:val="21"/>
              </w:rPr>
              <w:fldChar w:fldCharType="separate"/>
            </w:r>
            <w:r>
              <w:rPr>
                <w:rFonts w:hint="default" w:ascii="Times New Roman" w:hAnsi="Times New Roman" w:eastAsia="宋体" w:cs="Times New Roman"/>
                <w:color w:val="auto"/>
                <w:kern w:val="2"/>
                <w:sz w:val="21"/>
                <w:szCs w:val="21"/>
              </w:rPr>
              <w:t>⑤</w:t>
            </w:r>
            <w:r>
              <w:rPr>
                <w:rFonts w:hint="default" w:ascii="Times New Roman" w:hAnsi="Times New Roman" w:eastAsia="宋体" w:cs="Times New Roman"/>
                <w:snapToGrid w:val="0"/>
                <w:color w:val="auto"/>
                <w:spacing w:val="-16"/>
                <w:kern w:val="21"/>
                <w:sz w:val="21"/>
                <w:szCs w:val="21"/>
              </w:rPr>
              <w:fldChar w:fldCharType="end"/>
            </w:r>
          </w:p>
        </w:tc>
        <w:tc>
          <w:tcPr>
            <w:tcW w:w="1641" w:type="dxa"/>
            <w:noWrap w:val="0"/>
            <w:tcMar>
              <w:left w:w="28" w:type="dxa"/>
              <w:right w:w="28" w:type="dxa"/>
            </w:tcMar>
            <w:vAlign w:val="center"/>
          </w:tcPr>
          <w:p w14:paraId="4ED23914">
            <w:pPr>
              <w:pStyle w:val="59"/>
              <w:spacing w:beforeLines="0" w:afterLines="0" w:line="240" w:lineRule="auto"/>
              <w:ind w:left="0" w:leftChars="0" w:firstLine="0" w:firstLineChars="0"/>
              <w:jc w:val="center"/>
              <w:rPr>
                <w:rFonts w:hint="default" w:ascii="Times New Roman" w:hAnsi="Times New Roman" w:eastAsia="宋体" w:cs="Times New Roman"/>
                <w:snapToGrid w:val="0"/>
                <w:color w:val="auto"/>
                <w:spacing w:val="-16"/>
                <w:kern w:val="21"/>
                <w:sz w:val="21"/>
                <w:szCs w:val="21"/>
              </w:rPr>
            </w:pPr>
            <w:r>
              <w:rPr>
                <w:rFonts w:hint="default" w:ascii="Times New Roman" w:hAnsi="Times New Roman" w:eastAsia="宋体" w:cs="Times New Roman"/>
                <w:snapToGrid w:val="0"/>
                <w:color w:val="auto"/>
                <w:spacing w:val="-16"/>
                <w:kern w:val="21"/>
                <w:sz w:val="21"/>
                <w:szCs w:val="21"/>
              </w:rPr>
              <w:t>本项目建成后全厂排放量（固体废物产生量）</w:t>
            </w:r>
            <w:r>
              <w:rPr>
                <w:rFonts w:hint="default" w:ascii="Times New Roman" w:hAnsi="Times New Roman" w:eastAsia="宋体" w:cs="Times New Roman"/>
                <w:snapToGrid w:val="0"/>
                <w:color w:val="auto"/>
                <w:spacing w:val="-16"/>
                <w:kern w:val="21"/>
                <w:sz w:val="21"/>
                <w:szCs w:val="21"/>
              </w:rPr>
              <w:fldChar w:fldCharType="begin"/>
            </w:r>
            <w:r>
              <w:rPr>
                <w:rFonts w:hint="default" w:ascii="Times New Roman" w:hAnsi="Times New Roman" w:eastAsia="宋体" w:cs="Times New Roman"/>
                <w:snapToGrid w:val="0"/>
                <w:color w:val="auto"/>
                <w:spacing w:val="-16"/>
                <w:kern w:val="21"/>
                <w:sz w:val="21"/>
                <w:szCs w:val="21"/>
              </w:rPr>
              <w:instrText xml:space="preserve"> = 6 \* GB3 \* MERGEFORMAT </w:instrText>
            </w:r>
            <w:r>
              <w:rPr>
                <w:rFonts w:hint="default" w:ascii="Times New Roman" w:hAnsi="Times New Roman" w:eastAsia="宋体" w:cs="Times New Roman"/>
                <w:snapToGrid w:val="0"/>
                <w:color w:val="auto"/>
                <w:spacing w:val="-16"/>
                <w:kern w:val="21"/>
                <w:sz w:val="21"/>
                <w:szCs w:val="21"/>
              </w:rPr>
              <w:fldChar w:fldCharType="separate"/>
            </w:r>
            <w:r>
              <w:rPr>
                <w:rFonts w:hint="default" w:ascii="Times New Roman" w:hAnsi="Times New Roman" w:eastAsia="宋体" w:cs="Times New Roman"/>
                <w:color w:val="auto"/>
                <w:kern w:val="2"/>
                <w:sz w:val="21"/>
                <w:szCs w:val="21"/>
              </w:rPr>
              <w:t>⑥</w:t>
            </w:r>
            <w:r>
              <w:rPr>
                <w:rFonts w:hint="default" w:ascii="Times New Roman" w:hAnsi="Times New Roman" w:eastAsia="宋体" w:cs="Times New Roman"/>
                <w:snapToGrid w:val="0"/>
                <w:color w:val="auto"/>
                <w:spacing w:val="-16"/>
                <w:kern w:val="21"/>
                <w:sz w:val="21"/>
                <w:szCs w:val="21"/>
              </w:rPr>
              <w:fldChar w:fldCharType="end"/>
            </w:r>
          </w:p>
        </w:tc>
        <w:tc>
          <w:tcPr>
            <w:tcW w:w="1144" w:type="dxa"/>
            <w:noWrap w:val="0"/>
            <w:tcMar>
              <w:left w:w="28" w:type="dxa"/>
              <w:right w:w="28" w:type="dxa"/>
            </w:tcMar>
            <w:vAlign w:val="center"/>
          </w:tcPr>
          <w:p w14:paraId="75E68634">
            <w:pPr>
              <w:pStyle w:val="59"/>
              <w:spacing w:beforeLines="0" w:afterLines="0" w:line="240" w:lineRule="auto"/>
              <w:ind w:left="0" w:leftChars="0" w:firstLine="0" w:firstLineChars="0"/>
              <w:jc w:val="center"/>
              <w:rPr>
                <w:rFonts w:hint="default" w:ascii="Times New Roman" w:hAnsi="Times New Roman" w:eastAsia="宋体" w:cs="Times New Roman"/>
                <w:snapToGrid w:val="0"/>
                <w:color w:val="auto"/>
                <w:spacing w:val="-6"/>
                <w:kern w:val="21"/>
                <w:sz w:val="21"/>
                <w:szCs w:val="21"/>
              </w:rPr>
            </w:pPr>
            <w:r>
              <w:rPr>
                <w:rFonts w:hint="default" w:ascii="Times New Roman" w:hAnsi="Times New Roman" w:eastAsia="宋体" w:cs="Times New Roman"/>
                <w:snapToGrid w:val="0"/>
                <w:color w:val="auto"/>
                <w:spacing w:val="-6"/>
                <w:kern w:val="21"/>
                <w:sz w:val="21"/>
                <w:szCs w:val="21"/>
              </w:rPr>
              <w:t>变化量</w:t>
            </w:r>
            <w:r>
              <w:rPr>
                <w:rFonts w:hint="default" w:ascii="Times New Roman" w:hAnsi="Times New Roman" w:eastAsia="宋体" w:cs="Times New Roman"/>
                <w:snapToGrid w:val="0"/>
                <w:color w:val="auto"/>
                <w:spacing w:val="-6"/>
                <w:kern w:val="21"/>
                <w:sz w:val="21"/>
                <w:szCs w:val="21"/>
              </w:rPr>
              <w:fldChar w:fldCharType="begin"/>
            </w:r>
            <w:r>
              <w:rPr>
                <w:rFonts w:hint="default" w:ascii="Times New Roman" w:hAnsi="Times New Roman" w:eastAsia="宋体" w:cs="Times New Roman"/>
                <w:snapToGrid w:val="0"/>
                <w:color w:val="auto"/>
                <w:spacing w:val="-6"/>
                <w:kern w:val="21"/>
                <w:sz w:val="21"/>
                <w:szCs w:val="21"/>
              </w:rPr>
              <w:instrText xml:space="preserve"> = 7 \* GB3 \* MERGEFORMAT </w:instrText>
            </w:r>
            <w:r>
              <w:rPr>
                <w:rFonts w:hint="default" w:ascii="Times New Roman" w:hAnsi="Times New Roman" w:eastAsia="宋体" w:cs="Times New Roman"/>
                <w:snapToGrid w:val="0"/>
                <w:color w:val="auto"/>
                <w:spacing w:val="-6"/>
                <w:kern w:val="21"/>
                <w:sz w:val="21"/>
                <w:szCs w:val="21"/>
              </w:rPr>
              <w:fldChar w:fldCharType="separate"/>
            </w:r>
            <w:r>
              <w:rPr>
                <w:rFonts w:hint="default" w:ascii="Times New Roman" w:hAnsi="Times New Roman" w:eastAsia="宋体" w:cs="Times New Roman"/>
                <w:color w:val="auto"/>
                <w:kern w:val="2"/>
                <w:sz w:val="21"/>
                <w:szCs w:val="21"/>
              </w:rPr>
              <w:t>⑦</w:t>
            </w:r>
            <w:r>
              <w:rPr>
                <w:rFonts w:hint="default" w:ascii="Times New Roman" w:hAnsi="Times New Roman" w:eastAsia="宋体" w:cs="Times New Roman"/>
                <w:snapToGrid w:val="0"/>
                <w:color w:val="auto"/>
                <w:spacing w:val="-6"/>
                <w:kern w:val="21"/>
                <w:sz w:val="21"/>
                <w:szCs w:val="21"/>
              </w:rPr>
              <w:fldChar w:fldCharType="end"/>
            </w:r>
          </w:p>
        </w:tc>
      </w:tr>
      <w:tr w14:paraId="5E3515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62" w:type="dxa"/>
            <w:noWrap w:val="0"/>
            <w:vAlign w:val="center"/>
          </w:tcPr>
          <w:p w14:paraId="777311A3">
            <w:pPr>
              <w:pStyle w:val="59"/>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废气</w:t>
            </w:r>
          </w:p>
        </w:tc>
        <w:tc>
          <w:tcPr>
            <w:tcW w:w="2041" w:type="dxa"/>
            <w:noWrap w:val="0"/>
            <w:vAlign w:val="center"/>
          </w:tcPr>
          <w:p w14:paraId="601507E0">
            <w:pPr>
              <w:pStyle w:val="59"/>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非甲烷总烃</w:t>
            </w:r>
          </w:p>
        </w:tc>
        <w:tc>
          <w:tcPr>
            <w:tcW w:w="1503" w:type="dxa"/>
            <w:noWrap w:val="0"/>
            <w:vAlign w:val="center"/>
          </w:tcPr>
          <w:p w14:paraId="5963A0C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snapToGrid w:val="0"/>
                <w:color w:val="auto"/>
                <w:kern w:val="21"/>
                <w:sz w:val="21"/>
                <w:szCs w:val="21"/>
              </w:rPr>
              <w:t>/</w:t>
            </w:r>
          </w:p>
        </w:tc>
        <w:tc>
          <w:tcPr>
            <w:tcW w:w="1276" w:type="dxa"/>
            <w:noWrap w:val="0"/>
            <w:vAlign w:val="center"/>
          </w:tcPr>
          <w:p w14:paraId="44D26B5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701" w:type="dxa"/>
            <w:noWrap w:val="0"/>
            <w:vAlign w:val="center"/>
          </w:tcPr>
          <w:p w14:paraId="08337A99">
            <w:pPr>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559" w:type="dxa"/>
            <w:noWrap w:val="0"/>
            <w:vAlign w:val="center"/>
          </w:tcPr>
          <w:p w14:paraId="65B57BB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0"/>
                <w:sz w:val="21"/>
                <w:szCs w:val="21"/>
                <w:u w:val="none"/>
                <w:lang w:val="en-US" w:eastAsia="zh-CN" w:bidi="ar"/>
              </w:rPr>
              <w:t>0.228</w:t>
            </w:r>
          </w:p>
        </w:tc>
        <w:tc>
          <w:tcPr>
            <w:tcW w:w="1761" w:type="dxa"/>
            <w:noWrap w:val="0"/>
            <w:vAlign w:val="center"/>
          </w:tcPr>
          <w:p w14:paraId="4AEF0A3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641" w:type="dxa"/>
            <w:noWrap w:val="0"/>
            <w:vAlign w:val="center"/>
          </w:tcPr>
          <w:p w14:paraId="6CB3086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0"/>
                <w:sz w:val="21"/>
                <w:szCs w:val="21"/>
                <w:u w:val="none"/>
                <w:lang w:val="en-US" w:eastAsia="zh-CN" w:bidi="ar"/>
              </w:rPr>
              <w:t>0.228</w:t>
            </w:r>
          </w:p>
        </w:tc>
        <w:tc>
          <w:tcPr>
            <w:tcW w:w="1144" w:type="dxa"/>
            <w:noWrap w:val="0"/>
            <w:vAlign w:val="center"/>
          </w:tcPr>
          <w:p w14:paraId="6DD1D87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eastAsia" w:ascii="Times New Roman" w:hAnsi="Times New Roman" w:cs="Times New Roman"/>
                <w:i w:val="0"/>
                <w:iCs w:val="0"/>
                <w:color w:val="auto"/>
                <w:kern w:val="0"/>
                <w:sz w:val="21"/>
                <w:szCs w:val="21"/>
                <w:u w:val="none"/>
                <w:lang w:val="en-US" w:eastAsia="zh-CN" w:bidi="ar"/>
              </w:rPr>
              <w:t>+0.228</w:t>
            </w:r>
          </w:p>
        </w:tc>
      </w:tr>
      <w:tr w14:paraId="181AEF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162" w:type="dxa"/>
            <w:vMerge w:val="restart"/>
            <w:noWrap w:val="0"/>
            <w:vAlign w:val="center"/>
          </w:tcPr>
          <w:p w14:paraId="33D83B47">
            <w:pPr>
              <w:pStyle w:val="59"/>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废水</w:t>
            </w:r>
          </w:p>
        </w:tc>
        <w:tc>
          <w:tcPr>
            <w:tcW w:w="2041" w:type="dxa"/>
            <w:noWrap w:val="0"/>
            <w:vAlign w:val="center"/>
          </w:tcPr>
          <w:p w14:paraId="1818D91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w:t>
            </w:r>
          </w:p>
        </w:tc>
        <w:tc>
          <w:tcPr>
            <w:tcW w:w="1503" w:type="dxa"/>
            <w:noWrap w:val="0"/>
            <w:vAlign w:val="center"/>
          </w:tcPr>
          <w:p w14:paraId="14FA56EF">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276" w:type="dxa"/>
            <w:noWrap w:val="0"/>
            <w:vAlign w:val="center"/>
          </w:tcPr>
          <w:p w14:paraId="2207C47D">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701" w:type="dxa"/>
            <w:noWrap w:val="0"/>
            <w:vAlign w:val="center"/>
          </w:tcPr>
          <w:p w14:paraId="036AAC92">
            <w:pPr>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559" w:type="dxa"/>
            <w:noWrap w:val="0"/>
            <w:vAlign w:val="center"/>
          </w:tcPr>
          <w:p w14:paraId="56828AC5">
            <w:pPr>
              <w:widowControl/>
              <w:jc w:val="center"/>
              <w:textAlignment w:val="center"/>
              <w:rPr>
                <w:rFonts w:hint="default" w:ascii="Times New Roman" w:hAnsi="Times New Roman" w:eastAsia="宋体" w:cs="Times New Roman"/>
                <w:color w:val="auto"/>
                <w:kern w:val="0"/>
                <w:sz w:val="21"/>
                <w:szCs w:val="21"/>
              </w:rPr>
            </w:pPr>
            <w:r>
              <w:rPr>
                <w:rFonts w:hint="eastAsia" w:ascii="Times New Roman" w:hAnsi="Times New Roman" w:eastAsia="宋体" w:cs="Times New Roman"/>
                <w:i w:val="0"/>
                <w:iCs w:val="0"/>
                <w:color w:val="auto"/>
                <w:kern w:val="0"/>
                <w:sz w:val="21"/>
                <w:szCs w:val="21"/>
                <w:u w:val="none"/>
                <w:lang w:val="en-US" w:eastAsia="zh-CN" w:bidi="ar"/>
              </w:rPr>
              <w:t>0.009</w:t>
            </w:r>
          </w:p>
        </w:tc>
        <w:tc>
          <w:tcPr>
            <w:tcW w:w="1761" w:type="dxa"/>
            <w:noWrap w:val="0"/>
            <w:vAlign w:val="center"/>
          </w:tcPr>
          <w:p w14:paraId="5EDFE1E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641" w:type="dxa"/>
            <w:noWrap w:val="0"/>
            <w:vAlign w:val="center"/>
          </w:tcPr>
          <w:p w14:paraId="2A551C3D">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0.009</w:t>
            </w:r>
          </w:p>
        </w:tc>
        <w:tc>
          <w:tcPr>
            <w:tcW w:w="1144" w:type="dxa"/>
            <w:noWrap w:val="0"/>
            <w:vAlign w:val="center"/>
          </w:tcPr>
          <w:p w14:paraId="0805852A">
            <w:pPr>
              <w:widowControl/>
              <w:jc w:val="center"/>
              <w:textAlignment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+0.009</w:t>
            </w:r>
          </w:p>
        </w:tc>
      </w:tr>
      <w:tr w14:paraId="1A32F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162" w:type="dxa"/>
            <w:vMerge w:val="continue"/>
            <w:noWrap w:val="0"/>
            <w:vAlign w:val="center"/>
          </w:tcPr>
          <w:p w14:paraId="70661137">
            <w:pPr>
              <w:pStyle w:val="59"/>
              <w:spacing w:beforeLines="0" w:afterLines="0" w:line="240" w:lineRule="auto"/>
              <w:ind w:left="840" w:hanging="420"/>
              <w:jc w:val="center"/>
              <w:rPr>
                <w:rFonts w:hint="default" w:ascii="Times New Roman" w:hAnsi="Times New Roman" w:eastAsia="宋体" w:cs="Times New Roman"/>
                <w:snapToGrid w:val="0"/>
                <w:color w:val="auto"/>
                <w:kern w:val="21"/>
                <w:sz w:val="21"/>
                <w:szCs w:val="21"/>
              </w:rPr>
            </w:pPr>
          </w:p>
        </w:tc>
        <w:tc>
          <w:tcPr>
            <w:tcW w:w="2041" w:type="dxa"/>
            <w:noWrap w:val="0"/>
            <w:vAlign w:val="center"/>
          </w:tcPr>
          <w:p w14:paraId="165B1920">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w:t>
            </w:r>
          </w:p>
        </w:tc>
        <w:tc>
          <w:tcPr>
            <w:tcW w:w="1503" w:type="dxa"/>
            <w:noWrap w:val="0"/>
            <w:vAlign w:val="center"/>
          </w:tcPr>
          <w:p w14:paraId="63ECBAA5">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276" w:type="dxa"/>
            <w:noWrap w:val="0"/>
            <w:vAlign w:val="center"/>
          </w:tcPr>
          <w:p w14:paraId="7BE79423">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701" w:type="dxa"/>
            <w:noWrap w:val="0"/>
            <w:vAlign w:val="center"/>
          </w:tcPr>
          <w:p w14:paraId="7069A468">
            <w:pPr>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559" w:type="dxa"/>
            <w:noWrap w:val="0"/>
            <w:vAlign w:val="center"/>
          </w:tcPr>
          <w:p w14:paraId="66B70C1A">
            <w:pPr>
              <w:widowControl/>
              <w:jc w:val="center"/>
              <w:textAlignment w:val="center"/>
              <w:rPr>
                <w:rFonts w:hint="default" w:ascii="Times New Roman" w:hAnsi="Times New Roman" w:eastAsia="宋体" w:cs="Times New Roman"/>
                <w:color w:val="auto"/>
                <w:sz w:val="21"/>
                <w:szCs w:val="21"/>
                <w:lang w:val="en-US"/>
              </w:rPr>
            </w:pPr>
            <w:r>
              <w:rPr>
                <w:rFonts w:hint="eastAsia" w:ascii="Times New Roman" w:hAnsi="Times New Roman" w:cs="Times New Roman"/>
                <w:i w:val="0"/>
                <w:iCs w:val="0"/>
                <w:color w:val="auto"/>
                <w:kern w:val="0"/>
                <w:sz w:val="21"/>
                <w:szCs w:val="21"/>
                <w:u w:val="none"/>
                <w:lang w:val="en-US" w:eastAsia="zh-CN" w:bidi="ar"/>
              </w:rPr>
              <w:t>0.001</w:t>
            </w:r>
          </w:p>
        </w:tc>
        <w:tc>
          <w:tcPr>
            <w:tcW w:w="1761" w:type="dxa"/>
            <w:noWrap w:val="0"/>
            <w:vAlign w:val="center"/>
          </w:tcPr>
          <w:p w14:paraId="7CC708E2">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641" w:type="dxa"/>
            <w:noWrap w:val="0"/>
            <w:vAlign w:val="center"/>
          </w:tcPr>
          <w:p w14:paraId="0F1DFCAD">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i w:val="0"/>
                <w:iCs w:val="0"/>
                <w:color w:val="auto"/>
                <w:kern w:val="0"/>
                <w:sz w:val="21"/>
                <w:szCs w:val="21"/>
                <w:u w:val="none"/>
                <w:lang w:val="en-US" w:eastAsia="zh-CN" w:bidi="ar"/>
              </w:rPr>
              <w:t>0.001</w:t>
            </w:r>
          </w:p>
        </w:tc>
        <w:tc>
          <w:tcPr>
            <w:tcW w:w="1144" w:type="dxa"/>
            <w:noWrap w:val="0"/>
            <w:vAlign w:val="center"/>
          </w:tcPr>
          <w:p w14:paraId="7B12DD8E">
            <w:pPr>
              <w:widowControl/>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 w:val="0"/>
                <w:iCs w:val="0"/>
                <w:color w:val="auto"/>
                <w:kern w:val="0"/>
                <w:sz w:val="21"/>
                <w:szCs w:val="21"/>
                <w:u w:val="none"/>
                <w:lang w:val="en-US" w:eastAsia="zh-CN" w:bidi="ar"/>
              </w:rPr>
              <w:t>+0.001</w:t>
            </w:r>
          </w:p>
        </w:tc>
      </w:tr>
      <w:tr w14:paraId="3249F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62" w:type="dxa"/>
            <w:vMerge w:val="restart"/>
            <w:noWrap w:val="0"/>
            <w:vAlign w:val="center"/>
          </w:tcPr>
          <w:p w14:paraId="72DEBF5F">
            <w:pPr>
              <w:pStyle w:val="59"/>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一般工业</w:t>
            </w:r>
          </w:p>
          <w:p w14:paraId="5A95D159">
            <w:pPr>
              <w:pStyle w:val="59"/>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固体废物</w:t>
            </w:r>
          </w:p>
        </w:tc>
        <w:tc>
          <w:tcPr>
            <w:tcW w:w="2041" w:type="dxa"/>
            <w:noWrap w:val="0"/>
            <w:vAlign w:val="center"/>
          </w:tcPr>
          <w:p w14:paraId="40C50D5F">
            <w:pPr>
              <w:pStyle w:val="7"/>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废包装材料</w:t>
            </w:r>
          </w:p>
        </w:tc>
        <w:tc>
          <w:tcPr>
            <w:tcW w:w="1503" w:type="dxa"/>
            <w:noWrap w:val="0"/>
            <w:vAlign w:val="center"/>
          </w:tcPr>
          <w:p w14:paraId="2F3C12D3">
            <w:pPr>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snapToGrid w:val="0"/>
                <w:color w:val="auto"/>
                <w:kern w:val="21"/>
                <w:sz w:val="21"/>
                <w:szCs w:val="21"/>
              </w:rPr>
              <w:t>/</w:t>
            </w:r>
          </w:p>
        </w:tc>
        <w:tc>
          <w:tcPr>
            <w:tcW w:w="1276" w:type="dxa"/>
            <w:noWrap w:val="0"/>
            <w:vAlign w:val="center"/>
          </w:tcPr>
          <w:p w14:paraId="309AA2D6">
            <w:pPr>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snapToGrid w:val="0"/>
                <w:color w:val="auto"/>
                <w:kern w:val="21"/>
                <w:sz w:val="21"/>
                <w:szCs w:val="21"/>
              </w:rPr>
              <w:t>/</w:t>
            </w:r>
          </w:p>
        </w:tc>
        <w:tc>
          <w:tcPr>
            <w:tcW w:w="1701" w:type="dxa"/>
            <w:noWrap w:val="0"/>
            <w:vAlign w:val="center"/>
          </w:tcPr>
          <w:p w14:paraId="08FCE5A1">
            <w:pPr>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559" w:type="dxa"/>
            <w:noWrap w:val="0"/>
            <w:vAlign w:val="center"/>
          </w:tcPr>
          <w:p w14:paraId="727FBD29">
            <w:pPr>
              <w:spacing w:line="24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1761" w:type="dxa"/>
            <w:noWrap w:val="0"/>
            <w:vAlign w:val="center"/>
          </w:tcPr>
          <w:p w14:paraId="17F01DBA">
            <w:pPr>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snapToGrid w:val="0"/>
                <w:color w:val="auto"/>
                <w:kern w:val="21"/>
                <w:sz w:val="21"/>
                <w:szCs w:val="21"/>
              </w:rPr>
              <w:t>/</w:t>
            </w:r>
          </w:p>
        </w:tc>
        <w:tc>
          <w:tcPr>
            <w:tcW w:w="1641" w:type="dxa"/>
            <w:noWrap w:val="0"/>
            <w:vAlign w:val="center"/>
          </w:tcPr>
          <w:p w14:paraId="72A5C4C4">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10</w:t>
            </w:r>
          </w:p>
        </w:tc>
        <w:tc>
          <w:tcPr>
            <w:tcW w:w="1144" w:type="dxa"/>
            <w:noWrap w:val="0"/>
            <w:vAlign w:val="center"/>
          </w:tcPr>
          <w:p w14:paraId="650666AB">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+10</w:t>
            </w:r>
          </w:p>
        </w:tc>
      </w:tr>
      <w:tr w14:paraId="0534D7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62" w:type="dxa"/>
            <w:vMerge w:val="continue"/>
            <w:noWrap w:val="0"/>
            <w:vAlign w:val="center"/>
          </w:tcPr>
          <w:p w14:paraId="619866DE">
            <w:pPr>
              <w:pStyle w:val="59"/>
              <w:spacing w:beforeLines="0" w:afterLines="0" w:line="240" w:lineRule="auto"/>
              <w:ind w:left="0" w:leftChars="0" w:firstLine="0" w:firstLineChars="0"/>
              <w:jc w:val="center"/>
              <w:rPr>
                <w:rFonts w:hint="default" w:ascii="Times New Roman" w:hAnsi="Times New Roman" w:eastAsia="宋体" w:cs="Times New Roman"/>
                <w:snapToGrid w:val="0"/>
                <w:color w:val="auto"/>
                <w:kern w:val="21"/>
                <w:sz w:val="21"/>
                <w:szCs w:val="21"/>
              </w:rPr>
            </w:pPr>
          </w:p>
        </w:tc>
        <w:tc>
          <w:tcPr>
            <w:tcW w:w="2041" w:type="dxa"/>
            <w:noWrap w:val="0"/>
            <w:vAlign w:val="center"/>
          </w:tcPr>
          <w:p w14:paraId="4F18A45C">
            <w:pPr>
              <w:pStyle w:val="7"/>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废边角料</w:t>
            </w:r>
          </w:p>
        </w:tc>
        <w:tc>
          <w:tcPr>
            <w:tcW w:w="1503" w:type="dxa"/>
            <w:noWrap w:val="0"/>
            <w:vAlign w:val="center"/>
          </w:tcPr>
          <w:p w14:paraId="71903684">
            <w:pPr>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snapToGrid w:val="0"/>
                <w:color w:val="auto"/>
                <w:kern w:val="21"/>
                <w:sz w:val="21"/>
                <w:szCs w:val="21"/>
              </w:rPr>
              <w:t>/</w:t>
            </w:r>
          </w:p>
        </w:tc>
        <w:tc>
          <w:tcPr>
            <w:tcW w:w="1276" w:type="dxa"/>
            <w:noWrap w:val="0"/>
            <w:vAlign w:val="center"/>
          </w:tcPr>
          <w:p w14:paraId="3DA0D30D">
            <w:pPr>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snapToGrid w:val="0"/>
                <w:color w:val="auto"/>
                <w:kern w:val="21"/>
                <w:sz w:val="21"/>
                <w:szCs w:val="21"/>
              </w:rPr>
              <w:t>/</w:t>
            </w:r>
          </w:p>
        </w:tc>
        <w:tc>
          <w:tcPr>
            <w:tcW w:w="1701" w:type="dxa"/>
            <w:noWrap w:val="0"/>
            <w:vAlign w:val="center"/>
          </w:tcPr>
          <w:p w14:paraId="2FD8E800">
            <w:pPr>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559" w:type="dxa"/>
            <w:noWrap w:val="0"/>
            <w:vAlign w:val="center"/>
          </w:tcPr>
          <w:p w14:paraId="410D0820">
            <w:pPr>
              <w:spacing w:line="24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20</w:t>
            </w:r>
          </w:p>
        </w:tc>
        <w:tc>
          <w:tcPr>
            <w:tcW w:w="1761" w:type="dxa"/>
            <w:noWrap w:val="0"/>
            <w:vAlign w:val="center"/>
          </w:tcPr>
          <w:p w14:paraId="18E6A34A">
            <w:pPr>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snapToGrid w:val="0"/>
                <w:color w:val="auto"/>
                <w:kern w:val="21"/>
                <w:sz w:val="21"/>
                <w:szCs w:val="21"/>
              </w:rPr>
              <w:t>/</w:t>
            </w:r>
          </w:p>
        </w:tc>
        <w:tc>
          <w:tcPr>
            <w:tcW w:w="1641" w:type="dxa"/>
            <w:noWrap w:val="0"/>
            <w:vAlign w:val="center"/>
          </w:tcPr>
          <w:p w14:paraId="09AE8810">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20</w:t>
            </w:r>
          </w:p>
        </w:tc>
        <w:tc>
          <w:tcPr>
            <w:tcW w:w="1144" w:type="dxa"/>
            <w:noWrap w:val="0"/>
            <w:vAlign w:val="center"/>
          </w:tcPr>
          <w:p w14:paraId="2BC7114C">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+20</w:t>
            </w:r>
          </w:p>
        </w:tc>
      </w:tr>
      <w:tr w14:paraId="0C673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162" w:type="dxa"/>
            <w:vMerge w:val="continue"/>
            <w:noWrap w:val="0"/>
            <w:vAlign w:val="center"/>
          </w:tcPr>
          <w:p w14:paraId="0A64C530">
            <w:pPr>
              <w:pStyle w:val="59"/>
              <w:spacing w:beforeLines="0" w:afterLines="0" w:line="240" w:lineRule="auto"/>
              <w:ind w:left="840" w:hanging="420"/>
              <w:jc w:val="center"/>
              <w:rPr>
                <w:rFonts w:hint="default" w:ascii="Times New Roman" w:hAnsi="Times New Roman" w:eastAsia="宋体" w:cs="Times New Roman"/>
                <w:snapToGrid w:val="0"/>
                <w:color w:val="auto"/>
                <w:kern w:val="21"/>
                <w:sz w:val="21"/>
                <w:szCs w:val="21"/>
              </w:rPr>
            </w:pPr>
          </w:p>
        </w:tc>
        <w:tc>
          <w:tcPr>
            <w:tcW w:w="2041" w:type="dxa"/>
            <w:noWrap w:val="0"/>
            <w:vAlign w:val="center"/>
          </w:tcPr>
          <w:p w14:paraId="1C388FF6">
            <w:pPr>
              <w:pStyle w:val="7"/>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不合格品</w:t>
            </w:r>
          </w:p>
        </w:tc>
        <w:tc>
          <w:tcPr>
            <w:tcW w:w="1503" w:type="dxa"/>
            <w:noWrap w:val="0"/>
            <w:vAlign w:val="center"/>
          </w:tcPr>
          <w:p w14:paraId="423A7018">
            <w:pPr>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snapToGrid w:val="0"/>
                <w:color w:val="auto"/>
                <w:kern w:val="21"/>
                <w:sz w:val="21"/>
                <w:szCs w:val="21"/>
              </w:rPr>
              <w:t>/</w:t>
            </w:r>
          </w:p>
        </w:tc>
        <w:tc>
          <w:tcPr>
            <w:tcW w:w="1276" w:type="dxa"/>
            <w:noWrap w:val="0"/>
            <w:vAlign w:val="center"/>
          </w:tcPr>
          <w:p w14:paraId="0954F63F">
            <w:pPr>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snapToGrid w:val="0"/>
                <w:color w:val="auto"/>
                <w:kern w:val="21"/>
                <w:sz w:val="21"/>
                <w:szCs w:val="21"/>
              </w:rPr>
              <w:t>/</w:t>
            </w:r>
          </w:p>
        </w:tc>
        <w:tc>
          <w:tcPr>
            <w:tcW w:w="1701" w:type="dxa"/>
            <w:noWrap w:val="0"/>
            <w:vAlign w:val="center"/>
          </w:tcPr>
          <w:p w14:paraId="498152FE">
            <w:pPr>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559" w:type="dxa"/>
            <w:noWrap w:val="0"/>
            <w:vAlign w:val="center"/>
          </w:tcPr>
          <w:p w14:paraId="227F6A5D">
            <w:pPr>
              <w:spacing w:line="24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kern w:val="2"/>
                <w:sz w:val="21"/>
                <w:szCs w:val="21"/>
                <w:lang w:val="en-US" w:eastAsia="zh-CN" w:bidi="ar-SA"/>
              </w:rPr>
              <w:t>5</w:t>
            </w:r>
          </w:p>
        </w:tc>
        <w:tc>
          <w:tcPr>
            <w:tcW w:w="1761" w:type="dxa"/>
            <w:noWrap w:val="0"/>
            <w:vAlign w:val="center"/>
          </w:tcPr>
          <w:p w14:paraId="535E591C">
            <w:pPr>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snapToGrid w:val="0"/>
                <w:color w:val="auto"/>
                <w:kern w:val="21"/>
                <w:sz w:val="21"/>
                <w:szCs w:val="21"/>
              </w:rPr>
              <w:t>/</w:t>
            </w:r>
          </w:p>
        </w:tc>
        <w:tc>
          <w:tcPr>
            <w:tcW w:w="1641" w:type="dxa"/>
            <w:noWrap w:val="0"/>
            <w:vAlign w:val="center"/>
          </w:tcPr>
          <w:p w14:paraId="053F3D77">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5</w:t>
            </w:r>
          </w:p>
        </w:tc>
        <w:tc>
          <w:tcPr>
            <w:tcW w:w="1144" w:type="dxa"/>
            <w:noWrap w:val="0"/>
            <w:vAlign w:val="center"/>
          </w:tcPr>
          <w:p w14:paraId="4424A51D">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+5</w:t>
            </w:r>
          </w:p>
        </w:tc>
      </w:tr>
      <w:tr w14:paraId="21C98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62" w:type="dxa"/>
            <w:vMerge w:val="restart"/>
            <w:noWrap w:val="0"/>
            <w:vAlign w:val="center"/>
          </w:tcPr>
          <w:p w14:paraId="3C7F85B1">
            <w:pPr>
              <w:pStyle w:val="59"/>
              <w:spacing w:before="24" w:after="24"/>
              <w:ind w:left="0" w:leftChars="0" w:firstLine="0" w:firstLineChars="0"/>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危险废物</w:t>
            </w:r>
          </w:p>
        </w:tc>
        <w:tc>
          <w:tcPr>
            <w:tcW w:w="2041" w:type="dxa"/>
            <w:noWrap w:val="0"/>
            <w:vAlign w:val="center"/>
          </w:tcPr>
          <w:p w14:paraId="565218EC">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废矿物油</w:t>
            </w:r>
          </w:p>
        </w:tc>
        <w:tc>
          <w:tcPr>
            <w:tcW w:w="1503" w:type="dxa"/>
            <w:noWrap w:val="0"/>
            <w:vAlign w:val="center"/>
          </w:tcPr>
          <w:p w14:paraId="03525475">
            <w:pPr>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snapToGrid w:val="0"/>
                <w:color w:val="auto"/>
                <w:kern w:val="21"/>
                <w:sz w:val="21"/>
                <w:szCs w:val="21"/>
              </w:rPr>
              <w:t>/</w:t>
            </w:r>
          </w:p>
        </w:tc>
        <w:tc>
          <w:tcPr>
            <w:tcW w:w="1276" w:type="dxa"/>
            <w:noWrap w:val="0"/>
            <w:vAlign w:val="center"/>
          </w:tcPr>
          <w:p w14:paraId="01528C92">
            <w:pPr>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snapToGrid w:val="0"/>
                <w:color w:val="auto"/>
                <w:kern w:val="21"/>
                <w:sz w:val="21"/>
                <w:szCs w:val="21"/>
              </w:rPr>
              <w:t>/</w:t>
            </w:r>
          </w:p>
        </w:tc>
        <w:tc>
          <w:tcPr>
            <w:tcW w:w="1701" w:type="dxa"/>
            <w:noWrap w:val="0"/>
            <w:vAlign w:val="center"/>
          </w:tcPr>
          <w:p w14:paraId="40828D3B">
            <w:pPr>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559" w:type="dxa"/>
            <w:noWrap w:val="0"/>
            <w:vAlign w:val="center"/>
          </w:tcPr>
          <w:p w14:paraId="671781DF">
            <w:pPr>
              <w:spacing w:line="24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0.74</w:t>
            </w:r>
          </w:p>
        </w:tc>
        <w:tc>
          <w:tcPr>
            <w:tcW w:w="1761" w:type="dxa"/>
            <w:noWrap w:val="0"/>
            <w:vAlign w:val="center"/>
          </w:tcPr>
          <w:p w14:paraId="127E5478">
            <w:pPr>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snapToGrid w:val="0"/>
                <w:color w:val="auto"/>
                <w:kern w:val="21"/>
                <w:sz w:val="21"/>
                <w:szCs w:val="21"/>
              </w:rPr>
              <w:t>/</w:t>
            </w:r>
          </w:p>
        </w:tc>
        <w:tc>
          <w:tcPr>
            <w:tcW w:w="1641" w:type="dxa"/>
            <w:noWrap w:val="0"/>
            <w:vAlign w:val="center"/>
          </w:tcPr>
          <w:p w14:paraId="4FE6652F">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0.74</w:t>
            </w:r>
          </w:p>
        </w:tc>
        <w:tc>
          <w:tcPr>
            <w:tcW w:w="1144" w:type="dxa"/>
            <w:noWrap w:val="0"/>
            <w:vAlign w:val="center"/>
          </w:tcPr>
          <w:p w14:paraId="5CD27D66">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+0.74</w:t>
            </w:r>
          </w:p>
        </w:tc>
      </w:tr>
      <w:tr w14:paraId="12770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62" w:type="dxa"/>
            <w:vMerge w:val="continue"/>
            <w:noWrap w:val="0"/>
            <w:vAlign w:val="center"/>
          </w:tcPr>
          <w:p w14:paraId="2F35BEC9">
            <w:pPr>
              <w:pStyle w:val="59"/>
              <w:spacing w:before="24" w:after="24"/>
              <w:ind w:left="0" w:leftChars="0" w:firstLine="0" w:firstLineChars="0"/>
              <w:jc w:val="center"/>
              <w:rPr>
                <w:rFonts w:hint="default" w:ascii="Times New Roman" w:hAnsi="Times New Roman" w:eastAsia="宋体" w:cs="Times New Roman"/>
                <w:snapToGrid w:val="0"/>
                <w:color w:val="auto"/>
                <w:kern w:val="21"/>
                <w:sz w:val="21"/>
                <w:szCs w:val="21"/>
              </w:rPr>
            </w:pPr>
          </w:p>
        </w:tc>
        <w:tc>
          <w:tcPr>
            <w:tcW w:w="2041" w:type="dxa"/>
            <w:noWrap w:val="0"/>
            <w:vAlign w:val="center"/>
          </w:tcPr>
          <w:p w14:paraId="7C8EFE3F">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废油桶</w:t>
            </w:r>
          </w:p>
        </w:tc>
        <w:tc>
          <w:tcPr>
            <w:tcW w:w="1503" w:type="dxa"/>
            <w:noWrap w:val="0"/>
            <w:vAlign w:val="center"/>
          </w:tcPr>
          <w:p w14:paraId="23A677E1">
            <w:pPr>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snapToGrid w:val="0"/>
                <w:color w:val="auto"/>
                <w:kern w:val="21"/>
                <w:sz w:val="21"/>
                <w:szCs w:val="21"/>
              </w:rPr>
              <w:t>/</w:t>
            </w:r>
          </w:p>
        </w:tc>
        <w:tc>
          <w:tcPr>
            <w:tcW w:w="1276" w:type="dxa"/>
            <w:noWrap w:val="0"/>
            <w:vAlign w:val="center"/>
          </w:tcPr>
          <w:p w14:paraId="6605763C">
            <w:pPr>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snapToGrid w:val="0"/>
                <w:color w:val="auto"/>
                <w:kern w:val="21"/>
                <w:sz w:val="21"/>
                <w:szCs w:val="21"/>
              </w:rPr>
              <w:t>/</w:t>
            </w:r>
          </w:p>
        </w:tc>
        <w:tc>
          <w:tcPr>
            <w:tcW w:w="1701" w:type="dxa"/>
            <w:noWrap w:val="0"/>
            <w:vAlign w:val="center"/>
          </w:tcPr>
          <w:p w14:paraId="2A74FBA3">
            <w:pPr>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559" w:type="dxa"/>
            <w:noWrap w:val="0"/>
            <w:vAlign w:val="center"/>
          </w:tcPr>
          <w:p w14:paraId="01AF4548">
            <w:pPr>
              <w:spacing w:line="240" w:lineRule="exact"/>
              <w:jc w:val="center"/>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0.042</w:t>
            </w:r>
          </w:p>
        </w:tc>
        <w:tc>
          <w:tcPr>
            <w:tcW w:w="1761" w:type="dxa"/>
            <w:noWrap w:val="0"/>
            <w:vAlign w:val="center"/>
          </w:tcPr>
          <w:p w14:paraId="70563C43">
            <w:pPr>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snapToGrid w:val="0"/>
                <w:color w:val="auto"/>
                <w:kern w:val="21"/>
                <w:sz w:val="21"/>
                <w:szCs w:val="21"/>
              </w:rPr>
              <w:t>/</w:t>
            </w:r>
          </w:p>
        </w:tc>
        <w:tc>
          <w:tcPr>
            <w:tcW w:w="1641" w:type="dxa"/>
            <w:noWrap w:val="0"/>
            <w:vAlign w:val="center"/>
          </w:tcPr>
          <w:p w14:paraId="626BE5CB">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0.042</w:t>
            </w:r>
          </w:p>
        </w:tc>
        <w:tc>
          <w:tcPr>
            <w:tcW w:w="1144" w:type="dxa"/>
            <w:noWrap w:val="0"/>
            <w:vAlign w:val="center"/>
          </w:tcPr>
          <w:p w14:paraId="3E8B3B7D">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+0.042</w:t>
            </w:r>
          </w:p>
        </w:tc>
      </w:tr>
      <w:tr w14:paraId="40FBF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62" w:type="dxa"/>
            <w:vMerge w:val="continue"/>
            <w:noWrap w:val="0"/>
            <w:vAlign w:val="center"/>
          </w:tcPr>
          <w:p w14:paraId="432CA4EC">
            <w:pPr>
              <w:pStyle w:val="59"/>
              <w:spacing w:before="24" w:after="24"/>
              <w:ind w:left="0" w:leftChars="0" w:firstLine="0" w:firstLineChars="0"/>
              <w:jc w:val="center"/>
              <w:rPr>
                <w:rFonts w:hint="default" w:ascii="Times New Roman" w:hAnsi="Times New Roman" w:eastAsia="宋体" w:cs="Times New Roman"/>
                <w:snapToGrid w:val="0"/>
                <w:color w:val="auto"/>
                <w:kern w:val="21"/>
                <w:sz w:val="21"/>
                <w:szCs w:val="21"/>
              </w:rPr>
            </w:pPr>
          </w:p>
        </w:tc>
        <w:tc>
          <w:tcPr>
            <w:tcW w:w="2041" w:type="dxa"/>
            <w:noWrap w:val="0"/>
            <w:vAlign w:val="center"/>
          </w:tcPr>
          <w:p w14:paraId="7E5525F5">
            <w:pPr>
              <w:pStyle w:val="7"/>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snapToGrid w:val="0"/>
                <w:color w:val="auto"/>
                <w:kern w:val="0"/>
                <w:sz w:val="21"/>
                <w:szCs w:val="21"/>
              </w:rPr>
              <w:t>废含油棉纱、手套</w:t>
            </w:r>
          </w:p>
        </w:tc>
        <w:tc>
          <w:tcPr>
            <w:tcW w:w="1503" w:type="dxa"/>
            <w:noWrap w:val="0"/>
            <w:vAlign w:val="center"/>
          </w:tcPr>
          <w:p w14:paraId="621B81AE">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napToGrid w:val="0"/>
                <w:color w:val="auto"/>
                <w:kern w:val="21"/>
                <w:sz w:val="21"/>
                <w:szCs w:val="21"/>
              </w:rPr>
              <w:t>/</w:t>
            </w:r>
          </w:p>
        </w:tc>
        <w:tc>
          <w:tcPr>
            <w:tcW w:w="1276" w:type="dxa"/>
            <w:noWrap w:val="0"/>
            <w:vAlign w:val="center"/>
          </w:tcPr>
          <w:p w14:paraId="74412FD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701" w:type="dxa"/>
            <w:noWrap w:val="0"/>
            <w:vAlign w:val="center"/>
          </w:tcPr>
          <w:p w14:paraId="648D979E">
            <w:pPr>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559" w:type="dxa"/>
            <w:noWrap w:val="0"/>
            <w:vAlign w:val="center"/>
          </w:tcPr>
          <w:p w14:paraId="5891B564">
            <w:pPr>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0.01</w:t>
            </w:r>
          </w:p>
        </w:tc>
        <w:tc>
          <w:tcPr>
            <w:tcW w:w="1761" w:type="dxa"/>
            <w:noWrap w:val="0"/>
            <w:vAlign w:val="center"/>
          </w:tcPr>
          <w:p w14:paraId="2B74DEA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641" w:type="dxa"/>
            <w:noWrap w:val="0"/>
            <w:vAlign w:val="center"/>
          </w:tcPr>
          <w:p w14:paraId="0AF35FDD">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0.01</w:t>
            </w:r>
          </w:p>
        </w:tc>
        <w:tc>
          <w:tcPr>
            <w:tcW w:w="1144" w:type="dxa"/>
            <w:noWrap w:val="0"/>
            <w:vAlign w:val="center"/>
          </w:tcPr>
          <w:p w14:paraId="32A2BC93">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0.01</w:t>
            </w:r>
          </w:p>
        </w:tc>
      </w:tr>
      <w:tr w14:paraId="688C6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62" w:type="dxa"/>
            <w:vMerge w:val="continue"/>
            <w:noWrap w:val="0"/>
            <w:vAlign w:val="center"/>
          </w:tcPr>
          <w:p w14:paraId="61DA988F">
            <w:pPr>
              <w:pStyle w:val="59"/>
              <w:spacing w:before="24" w:after="24"/>
              <w:ind w:left="840" w:hanging="420"/>
              <w:jc w:val="center"/>
              <w:rPr>
                <w:rFonts w:hint="default" w:ascii="Times New Roman" w:hAnsi="Times New Roman" w:eastAsia="宋体" w:cs="Times New Roman"/>
                <w:snapToGrid w:val="0"/>
                <w:color w:val="auto"/>
                <w:kern w:val="21"/>
                <w:sz w:val="21"/>
                <w:szCs w:val="21"/>
              </w:rPr>
            </w:pPr>
          </w:p>
        </w:tc>
        <w:tc>
          <w:tcPr>
            <w:tcW w:w="2041" w:type="dxa"/>
            <w:noWrap w:val="0"/>
            <w:vAlign w:val="center"/>
          </w:tcPr>
          <w:p w14:paraId="18CD9DC5">
            <w:pPr>
              <w:pStyle w:val="7"/>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废活性炭</w:t>
            </w:r>
          </w:p>
        </w:tc>
        <w:tc>
          <w:tcPr>
            <w:tcW w:w="1503" w:type="dxa"/>
            <w:noWrap w:val="0"/>
            <w:vAlign w:val="center"/>
          </w:tcPr>
          <w:p w14:paraId="4587F37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snapToGrid w:val="0"/>
                <w:color w:val="auto"/>
                <w:kern w:val="21"/>
                <w:sz w:val="21"/>
                <w:szCs w:val="21"/>
              </w:rPr>
              <w:t>/</w:t>
            </w:r>
          </w:p>
        </w:tc>
        <w:tc>
          <w:tcPr>
            <w:tcW w:w="1276" w:type="dxa"/>
            <w:noWrap w:val="0"/>
            <w:vAlign w:val="center"/>
          </w:tcPr>
          <w:p w14:paraId="75229080">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701" w:type="dxa"/>
            <w:noWrap w:val="0"/>
            <w:vAlign w:val="center"/>
          </w:tcPr>
          <w:p w14:paraId="5D49B669">
            <w:pPr>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559" w:type="dxa"/>
            <w:noWrap w:val="0"/>
            <w:vAlign w:val="center"/>
          </w:tcPr>
          <w:p w14:paraId="484656A4">
            <w:pPr>
              <w:spacing w:line="240" w:lineRule="exact"/>
              <w:jc w:val="center"/>
              <w:rPr>
                <w:rFonts w:hint="default"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4.334</w:t>
            </w:r>
          </w:p>
        </w:tc>
        <w:tc>
          <w:tcPr>
            <w:tcW w:w="1761" w:type="dxa"/>
            <w:noWrap w:val="0"/>
            <w:vAlign w:val="center"/>
          </w:tcPr>
          <w:p w14:paraId="3EF6A2C4">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641" w:type="dxa"/>
            <w:noWrap w:val="0"/>
            <w:vAlign w:val="center"/>
          </w:tcPr>
          <w:p w14:paraId="4473CDFD">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4.334</w:t>
            </w:r>
          </w:p>
        </w:tc>
        <w:tc>
          <w:tcPr>
            <w:tcW w:w="1144" w:type="dxa"/>
            <w:noWrap w:val="0"/>
            <w:vAlign w:val="center"/>
          </w:tcPr>
          <w:p w14:paraId="3E50E4C7">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+4.334</w:t>
            </w:r>
          </w:p>
        </w:tc>
      </w:tr>
      <w:tr w14:paraId="456D0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62" w:type="dxa"/>
            <w:vMerge w:val="continue"/>
            <w:noWrap w:val="0"/>
            <w:vAlign w:val="center"/>
          </w:tcPr>
          <w:p w14:paraId="094500C1">
            <w:pPr>
              <w:pStyle w:val="59"/>
              <w:spacing w:beforeLines="0" w:afterLines="0" w:line="240" w:lineRule="auto"/>
              <w:ind w:left="840" w:hanging="420"/>
              <w:jc w:val="center"/>
              <w:rPr>
                <w:rFonts w:hint="default" w:ascii="Times New Roman" w:hAnsi="Times New Roman" w:eastAsia="宋体" w:cs="Times New Roman"/>
                <w:snapToGrid w:val="0"/>
                <w:color w:val="auto"/>
                <w:kern w:val="21"/>
                <w:sz w:val="21"/>
                <w:szCs w:val="21"/>
              </w:rPr>
            </w:pPr>
          </w:p>
        </w:tc>
        <w:tc>
          <w:tcPr>
            <w:tcW w:w="2041" w:type="dxa"/>
            <w:noWrap w:val="0"/>
            <w:vAlign w:val="center"/>
          </w:tcPr>
          <w:p w14:paraId="05A6C6C6">
            <w:pPr>
              <w:pStyle w:val="7"/>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废过滤棉</w:t>
            </w:r>
          </w:p>
        </w:tc>
        <w:tc>
          <w:tcPr>
            <w:tcW w:w="1503" w:type="dxa"/>
            <w:noWrap w:val="0"/>
            <w:vAlign w:val="center"/>
          </w:tcPr>
          <w:p w14:paraId="1B5D223E">
            <w:pPr>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snapToGrid w:val="0"/>
                <w:color w:val="auto"/>
                <w:kern w:val="21"/>
                <w:sz w:val="21"/>
                <w:szCs w:val="21"/>
              </w:rPr>
              <w:t>/</w:t>
            </w:r>
          </w:p>
        </w:tc>
        <w:tc>
          <w:tcPr>
            <w:tcW w:w="1276" w:type="dxa"/>
            <w:noWrap w:val="0"/>
            <w:vAlign w:val="center"/>
          </w:tcPr>
          <w:p w14:paraId="30A778B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701" w:type="dxa"/>
            <w:noWrap w:val="0"/>
            <w:vAlign w:val="center"/>
          </w:tcPr>
          <w:p w14:paraId="6A9952A1">
            <w:pPr>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559" w:type="dxa"/>
            <w:noWrap w:val="0"/>
            <w:vAlign w:val="center"/>
          </w:tcPr>
          <w:p w14:paraId="69C5FF8D">
            <w:pPr>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0.01</w:t>
            </w:r>
          </w:p>
        </w:tc>
        <w:tc>
          <w:tcPr>
            <w:tcW w:w="1761" w:type="dxa"/>
            <w:noWrap w:val="0"/>
            <w:vAlign w:val="center"/>
          </w:tcPr>
          <w:p w14:paraId="0CB77428">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641" w:type="dxa"/>
            <w:noWrap w:val="0"/>
            <w:vAlign w:val="center"/>
          </w:tcPr>
          <w:p w14:paraId="05289032">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0.01</w:t>
            </w:r>
          </w:p>
        </w:tc>
        <w:tc>
          <w:tcPr>
            <w:tcW w:w="1144" w:type="dxa"/>
            <w:noWrap w:val="0"/>
            <w:vAlign w:val="center"/>
          </w:tcPr>
          <w:p w14:paraId="2E986E3D">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0.01</w:t>
            </w:r>
          </w:p>
        </w:tc>
      </w:tr>
      <w:tr w14:paraId="30DE4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62" w:type="dxa"/>
            <w:vMerge w:val="continue"/>
            <w:noWrap w:val="0"/>
            <w:vAlign w:val="center"/>
          </w:tcPr>
          <w:p w14:paraId="5FD34847">
            <w:pPr>
              <w:pStyle w:val="59"/>
              <w:spacing w:beforeLines="0" w:afterLines="0" w:line="240" w:lineRule="auto"/>
              <w:ind w:left="840" w:hanging="420"/>
              <w:jc w:val="center"/>
              <w:rPr>
                <w:rFonts w:hint="default" w:ascii="Times New Roman" w:hAnsi="Times New Roman" w:eastAsia="宋体" w:cs="Times New Roman"/>
                <w:snapToGrid w:val="0"/>
                <w:color w:val="auto"/>
                <w:kern w:val="21"/>
                <w:sz w:val="21"/>
                <w:szCs w:val="21"/>
              </w:rPr>
            </w:pPr>
          </w:p>
        </w:tc>
        <w:tc>
          <w:tcPr>
            <w:tcW w:w="2041" w:type="dxa"/>
            <w:noWrap w:val="0"/>
            <w:vAlign w:val="center"/>
          </w:tcPr>
          <w:p w14:paraId="7CA71BBF">
            <w:pPr>
              <w:pStyle w:val="7"/>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空压机含油冷凝液</w:t>
            </w:r>
          </w:p>
        </w:tc>
        <w:tc>
          <w:tcPr>
            <w:tcW w:w="1503" w:type="dxa"/>
            <w:noWrap w:val="0"/>
            <w:vAlign w:val="center"/>
          </w:tcPr>
          <w:p w14:paraId="6066087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snapToGrid w:val="0"/>
                <w:color w:val="auto"/>
                <w:kern w:val="21"/>
                <w:sz w:val="21"/>
                <w:szCs w:val="21"/>
              </w:rPr>
              <w:t>/</w:t>
            </w:r>
          </w:p>
        </w:tc>
        <w:tc>
          <w:tcPr>
            <w:tcW w:w="1276" w:type="dxa"/>
            <w:noWrap w:val="0"/>
            <w:vAlign w:val="center"/>
          </w:tcPr>
          <w:p w14:paraId="005C25CA">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701" w:type="dxa"/>
            <w:noWrap w:val="0"/>
            <w:vAlign w:val="center"/>
          </w:tcPr>
          <w:p w14:paraId="2167E998">
            <w:pPr>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559" w:type="dxa"/>
            <w:noWrap w:val="0"/>
            <w:vAlign w:val="center"/>
          </w:tcPr>
          <w:p w14:paraId="4C50DD50">
            <w:pPr>
              <w:spacing w:line="24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0.05</w:t>
            </w:r>
          </w:p>
        </w:tc>
        <w:tc>
          <w:tcPr>
            <w:tcW w:w="1761" w:type="dxa"/>
            <w:noWrap w:val="0"/>
            <w:vAlign w:val="center"/>
          </w:tcPr>
          <w:p w14:paraId="0DDE73F9">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641" w:type="dxa"/>
            <w:noWrap w:val="0"/>
            <w:vAlign w:val="center"/>
          </w:tcPr>
          <w:p w14:paraId="33FDDDC0">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0.05</w:t>
            </w:r>
          </w:p>
        </w:tc>
        <w:tc>
          <w:tcPr>
            <w:tcW w:w="1144" w:type="dxa"/>
            <w:noWrap w:val="0"/>
            <w:vAlign w:val="center"/>
          </w:tcPr>
          <w:p w14:paraId="36A597A1">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0.05</w:t>
            </w:r>
          </w:p>
        </w:tc>
      </w:tr>
      <w:tr w14:paraId="79B278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62" w:type="dxa"/>
            <w:noWrap w:val="0"/>
            <w:vAlign w:val="center"/>
          </w:tcPr>
          <w:p w14:paraId="1A4F9E53">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p>
        </w:tc>
        <w:tc>
          <w:tcPr>
            <w:tcW w:w="2041" w:type="dxa"/>
            <w:noWrap w:val="0"/>
            <w:vAlign w:val="center"/>
          </w:tcPr>
          <w:p w14:paraId="44A41484">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生活垃圾</w:t>
            </w:r>
          </w:p>
        </w:tc>
        <w:tc>
          <w:tcPr>
            <w:tcW w:w="1503" w:type="dxa"/>
            <w:noWrap w:val="0"/>
            <w:vAlign w:val="center"/>
          </w:tcPr>
          <w:p w14:paraId="2103399C">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snapToGrid w:val="0"/>
                <w:color w:val="auto"/>
                <w:kern w:val="21"/>
                <w:sz w:val="21"/>
                <w:szCs w:val="21"/>
              </w:rPr>
              <w:t>/</w:t>
            </w:r>
          </w:p>
        </w:tc>
        <w:tc>
          <w:tcPr>
            <w:tcW w:w="1276" w:type="dxa"/>
            <w:noWrap w:val="0"/>
            <w:vAlign w:val="center"/>
          </w:tcPr>
          <w:p w14:paraId="518022E6">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701" w:type="dxa"/>
            <w:noWrap w:val="0"/>
            <w:vAlign w:val="center"/>
          </w:tcPr>
          <w:p w14:paraId="617E2B1C">
            <w:pPr>
              <w:jc w:val="center"/>
              <w:rPr>
                <w:rFonts w:hint="default" w:ascii="Times New Roman" w:hAnsi="Times New Roman" w:eastAsia="宋体" w:cs="Times New Roman"/>
                <w:snapToGrid w:val="0"/>
                <w:color w:val="auto"/>
                <w:kern w:val="21"/>
                <w:sz w:val="21"/>
                <w:szCs w:val="21"/>
              </w:rPr>
            </w:pPr>
            <w:r>
              <w:rPr>
                <w:rFonts w:hint="default" w:ascii="Times New Roman" w:hAnsi="Times New Roman" w:eastAsia="宋体" w:cs="Times New Roman"/>
                <w:snapToGrid w:val="0"/>
                <w:color w:val="auto"/>
                <w:kern w:val="21"/>
                <w:sz w:val="21"/>
                <w:szCs w:val="21"/>
              </w:rPr>
              <w:t>/</w:t>
            </w:r>
          </w:p>
        </w:tc>
        <w:tc>
          <w:tcPr>
            <w:tcW w:w="1559" w:type="dxa"/>
            <w:noWrap w:val="0"/>
            <w:vAlign w:val="center"/>
          </w:tcPr>
          <w:p w14:paraId="560BFB24">
            <w:pPr>
              <w:spacing w:line="24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1761" w:type="dxa"/>
            <w:noWrap w:val="0"/>
            <w:vAlign w:val="center"/>
          </w:tcPr>
          <w:p w14:paraId="5C57EFCB">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napToGrid w:val="0"/>
                <w:color w:val="auto"/>
                <w:kern w:val="21"/>
                <w:sz w:val="21"/>
                <w:szCs w:val="21"/>
              </w:rPr>
              <w:t>/</w:t>
            </w:r>
          </w:p>
        </w:tc>
        <w:tc>
          <w:tcPr>
            <w:tcW w:w="1641" w:type="dxa"/>
            <w:noWrap w:val="0"/>
            <w:vAlign w:val="center"/>
          </w:tcPr>
          <w:p w14:paraId="2233731F">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1.5</w:t>
            </w:r>
          </w:p>
        </w:tc>
        <w:tc>
          <w:tcPr>
            <w:tcW w:w="1144" w:type="dxa"/>
            <w:noWrap w:val="0"/>
            <w:vAlign w:val="center"/>
          </w:tcPr>
          <w:p w14:paraId="75D3BB8F">
            <w:pPr>
              <w:spacing w:line="24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+1.5</w:t>
            </w:r>
          </w:p>
        </w:tc>
      </w:tr>
    </w:tbl>
    <w:p w14:paraId="522BD4C9">
      <w:pPr>
        <w:pStyle w:val="59"/>
        <w:spacing w:beforeLines="80" w:after="24" w:line="240" w:lineRule="auto"/>
        <w:ind w:left="840" w:hanging="420"/>
        <w:jc w:val="left"/>
        <w:rPr>
          <w:rFonts w:hint="default" w:ascii="Times New Roman" w:hAnsi="Times New Roman" w:cs="Times New Roman"/>
          <w:color w:val="auto"/>
        </w:rPr>
      </w:pPr>
      <w:r>
        <w:rPr>
          <w:rFonts w:hint="default" w:ascii="Times New Roman" w:hAnsi="Times New Roman" w:cs="Times New Roman"/>
          <w:snapToGrid w:val="0"/>
          <w:color w:val="auto"/>
          <w:kern w:val="21"/>
          <w:szCs w:val="21"/>
        </w:rPr>
        <w:t>注：</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7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；单位：t/a</w:t>
      </w: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utch801 Rm BT">
    <w:panose1 w:val="02020603060505020304"/>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2E08">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595D7">
    <w:pPr>
      <w:pStyle w:val="18"/>
      <w:framePr w:wrap="around" w:vAnchor="text" w:hAnchor="margin" w:xAlign="center" w:y="1"/>
      <w:rPr>
        <w:rStyle w:val="34"/>
      </w:rPr>
    </w:pPr>
    <w:r>
      <w:fldChar w:fldCharType="begin"/>
    </w:r>
    <w:r>
      <w:rPr>
        <w:rStyle w:val="34"/>
      </w:rPr>
      <w:instrText xml:space="preserve">PAGE  </w:instrText>
    </w:r>
    <w:r>
      <w:fldChar w:fldCharType="end"/>
    </w:r>
  </w:p>
  <w:p w14:paraId="00F65B98">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0EC5A">
    <w:pPr>
      <w:pStyle w:val="18"/>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148F7">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14:paraId="181148F7">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46224">
    <w:pPr>
      <w:pStyle w:val="18"/>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2DE1A6">
                          <w:pPr>
                            <w:pStyle w:val="18"/>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g9qM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LF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YPajLAQAAnAMAAA4AAAAAAAAAAQAgAAAAHgEAAGRycy9lMm9E&#10;b2MueG1sUEsFBgAAAAAGAAYAWQEAAFsFAAAAAA==&#10;">
              <v:fill on="f" focussize="0,0"/>
              <v:stroke on="f"/>
              <v:imagedata o:title=""/>
              <o:lock v:ext="edit" aspectratio="f"/>
              <v:textbox inset="0mm,0mm,0mm,0mm" style="mso-fit-shape-to-text:t;">
                <w:txbxContent>
                  <w:p w14:paraId="032DE1A6">
                    <w:pPr>
                      <w:pStyle w:val="18"/>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EC089"/>
    <w:multiLevelType w:val="singleLevel"/>
    <w:tmpl w:val="BA3EC089"/>
    <w:lvl w:ilvl="0" w:tentative="0">
      <w:start w:val="1"/>
      <w:numFmt w:val="decimal"/>
      <w:lvlText w:val="%1"/>
      <w:lvlJc w:val="left"/>
      <w:pPr>
        <w:tabs>
          <w:tab w:val="left" w:pos="397"/>
        </w:tabs>
        <w:ind w:left="454" w:hanging="341"/>
      </w:pPr>
      <w:rPr>
        <w:rFonts w:hint="default"/>
      </w:rPr>
    </w:lvl>
  </w:abstractNum>
  <w:abstractNum w:abstractNumId="1">
    <w:nsid w:val="630CABE0"/>
    <w:multiLevelType w:val="singleLevel"/>
    <w:tmpl w:val="630CABE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0"/>
  <w:bordersDoNotSurroundFooter w:val="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ZTM0YjU5ZjkzYzJkN2UxZWFmOWY4ZDJlMDQzMDMifQ=="/>
  </w:docVars>
  <w:rsids>
    <w:rsidRoot w:val="00A14947"/>
    <w:rsid w:val="0000035B"/>
    <w:rsid w:val="0000058E"/>
    <w:rsid w:val="00000794"/>
    <w:rsid w:val="00000C84"/>
    <w:rsid w:val="00000DDF"/>
    <w:rsid w:val="00001996"/>
    <w:rsid w:val="00001B96"/>
    <w:rsid w:val="00001CCA"/>
    <w:rsid w:val="00002342"/>
    <w:rsid w:val="0000246D"/>
    <w:rsid w:val="000027A0"/>
    <w:rsid w:val="000028C0"/>
    <w:rsid w:val="00002B16"/>
    <w:rsid w:val="00002F34"/>
    <w:rsid w:val="00002FFF"/>
    <w:rsid w:val="00003744"/>
    <w:rsid w:val="00003A59"/>
    <w:rsid w:val="00003E7F"/>
    <w:rsid w:val="00004051"/>
    <w:rsid w:val="00004262"/>
    <w:rsid w:val="0000499B"/>
    <w:rsid w:val="00004A6A"/>
    <w:rsid w:val="00004CD1"/>
    <w:rsid w:val="000050A9"/>
    <w:rsid w:val="000051C1"/>
    <w:rsid w:val="00005522"/>
    <w:rsid w:val="00005591"/>
    <w:rsid w:val="000055BE"/>
    <w:rsid w:val="00005687"/>
    <w:rsid w:val="000056F9"/>
    <w:rsid w:val="00005907"/>
    <w:rsid w:val="000059D8"/>
    <w:rsid w:val="00005B09"/>
    <w:rsid w:val="000060B3"/>
    <w:rsid w:val="00006FC3"/>
    <w:rsid w:val="00007135"/>
    <w:rsid w:val="00007609"/>
    <w:rsid w:val="000076CF"/>
    <w:rsid w:val="00007A05"/>
    <w:rsid w:val="00007AE8"/>
    <w:rsid w:val="00010044"/>
    <w:rsid w:val="000102AE"/>
    <w:rsid w:val="000102D2"/>
    <w:rsid w:val="00010461"/>
    <w:rsid w:val="00010682"/>
    <w:rsid w:val="00010883"/>
    <w:rsid w:val="00010A3C"/>
    <w:rsid w:val="00010AA8"/>
    <w:rsid w:val="00010C31"/>
    <w:rsid w:val="00011602"/>
    <w:rsid w:val="000116E5"/>
    <w:rsid w:val="00011839"/>
    <w:rsid w:val="00011943"/>
    <w:rsid w:val="00012850"/>
    <w:rsid w:val="00012AE6"/>
    <w:rsid w:val="00012EB7"/>
    <w:rsid w:val="000131BA"/>
    <w:rsid w:val="00013767"/>
    <w:rsid w:val="00013DC3"/>
    <w:rsid w:val="00014116"/>
    <w:rsid w:val="00014201"/>
    <w:rsid w:val="000143E2"/>
    <w:rsid w:val="00014497"/>
    <w:rsid w:val="0001479E"/>
    <w:rsid w:val="00015007"/>
    <w:rsid w:val="00015046"/>
    <w:rsid w:val="0001532E"/>
    <w:rsid w:val="00015705"/>
    <w:rsid w:val="00015D86"/>
    <w:rsid w:val="0001650A"/>
    <w:rsid w:val="00016D92"/>
    <w:rsid w:val="0001721C"/>
    <w:rsid w:val="00017414"/>
    <w:rsid w:val="000176EF"/>
    <w:rsid w:val="0001776D"/>
    <w:rsid w:val="00017861"/>
    <w:rsid w:val="00017F8B"/>
    <w:rsid w:val="00020065"/>
    <w:rsid w:val="00020691"/>
    <w:rsid w:val="000206F5"/>
    <w:rsid w:val="00020BF6"/>
    <w:rsid w:val="00020F80"/>
    <w:rsid w:val="000213C3"/>
    <w:rsid w:val="00021551"/>
    <w:rsid w:val="0002177C"/>
    <w:rsid w:val="000218DD"/>
    <w:rsid w:val="00022A00"/>
    <w:rsid w:val="00022D71"/>
    <w:rsid w:val="00023007"/>
    <w:rsid w:val="00023272"/>
    <w:rsid w:val="00023B34"/>
    <w:rsid w:val="00024239"/>
    <w:rsid w:val="00024462"/>
    <w:rsid w:val="00024D6A"/>
    <w:rsid w:val="000253A6"/>
    <w:rsid w:val="0002577F"/>
    <w:rsid w:val="00025E85"/>
    <w:rsid w:val="00026235"/>
    <w:rsid w:val="00026324"/>
    <w:rsid w:val="00026F5F"/>
    <w:rsid w:val="000273CD"/>
    <w:rsid w:val="0003034A"/>
    <w:rsid w:val="000303D6"/>
    <w:rsid w:val="00030638"/>
    <w:rsid w:val="00030877"/>
    <w:rsid w:val="00030A2F"/>
    <w:rsid w:val="00030A74"/>
    <w:rsid w:val="00030BD0"/>
    <w:rsid w:val="00031134"/>
    <w:rsid w:val="0003119C"/>
    <w:rsid w:val="000314B6"/>
    <w:rsid w:val="00031615"/>
    <w:rsid w:val="00031719"/>
    <w:rsid w:val="0003179C"/>
    <w:rsid w:val="00031BE6"/>
    <w:rsid w:val="00031E43"/>
    <w:rsid w:val="00031FE4"/>
    <w:rsid w:val="000325DF"/>
    <w:rsid w:val="00032AA4"/>
    <w:rsid w:val="00032CDC"/>
    <w:rsid w:val="00032DB5"/>
    <w:rsid w:val="000331E4"/>
    <w:rsid w:val="00033433"/>
    <w:rsid w:val="00033C7C"/>
    <w:rsid w:val="00033DF2"/>
    <w:rsid w:val="00033F2A"/>
    <w:rsid w:val="000340AE"/>
    <w:rsid w:val="000343D3"/>
    <w:rsid w:val="000348A0"/>
    <w:rsid w:val="00034D85"/>
    <w:rsid w:val="00034F4B"/>
    <w:rsid w:val="00034F68"/>
    <w:rsid w:val="0003519A"/>
    <w:rsid w:val="00035302"/>
    <w:rsid w:val="00035B4E"/>
    <w:rsid w:val="00035E33"/>
    <w:rsid w:val="0003626F"/>
    <w:rsid w:val="00036A1D"/>
    <w:rsid w:val="00036B15"/>
    <w:rsid w:val="00040229"/>
    <w:rsid w:val="000403B5"/>
    <w:rsid w:val="00040470"/>
    <w:rsid w:val="000404AF"/>
    <w:rsid w:val="00040B41"/>
    <w:rsid w:val="00040F28"/>
    <w:rsid w:val="000410E2"/>
    <w:rsid w:val="000416C2"/>
    <w:rsid w:val="00041917"/>
    <w:rsid w:val="00041A11"/>
    <w:rsid w:val="00042EFE"/>
    <w:rsid w:val="00042F20"/>
    <w:rsid w:val="00042FBC"/>
    <w:rsid w:val="000430F9"/>
    <w:rsid w:val="00043544"/>
    <w:rsid w:val="0004364B"/>
    <w:rsid w:val="0004379C"/>
    <w:rsid w:val="00043CB0"/>
    <w:rsid w:val="00043D17"/>
    <w:rsid w:val="00043EF1"/>
    <w:rsid w:val="000441FD"/>
    <w:rsid w:val="00044D72"/>
    <w:rsid w:val="00045267"/>
    <w:rsid w:val="0004532C"/>
    <w:rsid w:val="00045596"/>
    <w:rsid w:val="000457D8"/>
    <w:rsid w:val="00045B25"/>
    <w:rsid w:val="00045FCC"/>
    <w:rsid w:val="00046001"/>
    <w:rsid w:val="0004609F"/>
    <w:rsid w:val="00046450"/>
    <w:rsid w:val="00046C49"/>
    <w:rsid w:val="0004717F"/>
    <w:rsid w:val="00047593"/>
    <w:rsid w:val="000478E0"/>
    <w:rsid w:val="00047924"/>
    <w:rsid w:val="00047D45"/>
    <w:rsid w:val="00047F11"/>
    <w:rsid w:val="00047F37"/>
    <w:rsid w:val="000500A6"/>
    <w:rsid w:val="0005013A"/>
    <w:rsid w:val="000501D6"/>
    <w:rsid w:val="00050C77"/>
    <w:rsid w:val="00051A10"/>
    <w:rsid w:val="00051D12"/>
    <w:rsid w:val="00051DEC"/>
    <w:rsid w:val="00052462"/>
    <w:rsid w:val="0005261B"/>
    <w:rsid w:val="000526D4"/>
    <w:rsid w:val="0005270D"/>
    <w:rsid w:val="00052719"/>
    <w:rsid w:val="00052891"/>
    <w:rsid w:val="0005307A"/>
    <w:rsid w:val="00053AC2"/>
    <w:rsid w:val="00053C42"/>
    <w:rsid w:val="00054909"/>
    <w:rsid w:val="00054BF8"/>
    <w:rsid w:val="00054DC6"/>
    <w:rsid w:val="00054FCD"/>
    <w:rsid w:val="00055366"/>
    <w:rsid w:val="00055377"/>
    <w:rsid w:val="00055797"/>
    <w:rsid w:val="00055A8A"/>
    <w:rsid w:val="00055E1B"/>
    <w:rsid w:val="00055EFE"/>
    <w:rsid w:val="00056828"/>
    <w:rsid w:val="000574B4"/>
    <w:rsid w:val="000575CA"/>
    <w:rsid w:val="000577D1"/>
    <w:rsid w:val="000603DC"/>
    <w:rsid w:val="000605E1"/>
    <w:rsid w:val="00060A04"/>
    <w:rsid w:val="00060AD8"/>
    <w:rsid w:val="00060F55"/>
    <w:rsid w:val="000614F6"/>
    <w:rsid w:val="00061621"/>
    <w:rsid w:val="000616AF"/>
    <w:rsid w:val="00061B1F"/>
    <w:rsid w:val="00061C08"/>
    <w:rsid w:val="000627E1"/>
    <w:rsid w:val="0006318D"/>
    <w:rsid w:val="0006366F"/>
    <w:rsid w:val="00063675"/>
    <w:rsid w:val="00063D90"/>
    <w:rsid w:val="0006419E"/>
    <w:rsid w:val="000643DA"/>
    <w:rsid w:val="0006444F"/>
    <w:rsid w:val="000644CD"/>
    <w:rsid w:val="0006467C"/>
    <w:rsid w:val="00064CBD"/>
    <w:rsid w:val="00064CF4"/>
    <w:rsid w:val="00065628"/>
    <w:rsid w:val="00065894"/>
    <w:rsid w:val="0006590E"/>
    <w:rsid w:val="0006676C"/>
    <w:rsid w:val="00066819"/>
    <w:rsid w:val="000669A3"/>
    <w:rsid w:val="00067919"/>
    <w:rsid w:val="00067AD3"/>
    <w:rsid w:val="00067B74"/>
    <w:rsid w:val="00067E67"/>
    <w:rsid w:val="00067FE1"/>
    <w:rsid w:val="00070278"/>
    <w:rsid w:val="000704A3"/>
    <w:rsid w:val="000710B5"/>
    <w:rsid w:val="000715CB"/>
    <w:rsid w:val="00071A44"/>
    <w:rsid w:val="00071AC0"/>
    <w:rsid w:val="00071F53"/>
    <w:rsid w:val="00071F9A"/>
    <w:rsid w:val="00072578"/>
    <w:rsid w:val="00072A07"/>
    <w:rsid w:val="00072E2D"/>
    <w:rsid w:val="00073299"/>
    <w:rsid w:val="000732E2"/>
    <w:rsid w:val="000733C4"/>
    <w:rsid w:val="000737A9"/>
    <w:rsid w:val="00073A8F"/>
    <w:rsid w:val="0007409A"/>
    <w:rsid w:val="00074374"/>
    <w:rsid w:val="000743BC"/>
    <w:rsid w:val="00074770"/>
    <w:rsid w:val="00074783"/>
    <w:rsid w:val="000748D9"/>
    <w:rsid w:val="000751D6"/>
    <w:rsid w:val="00076136"/>
    <w:rsid w:val="000763D6"/>
    <w:rsid w:val="0007686C"/>
    <w:rsid w:val="00076EED"/>
    <w:rsid w:val="0007726F"/>
    <w:rsid w:val="000773A4"/>
    <w:rsid w:val="00077422"/>
    <w:rsid w:val="000778FA"/>
    <w:rsid w:val="00077CD8"/>
    <w:rsid w:val="00077D23"/>
    <w:rsid w:val="0008008D"/>
    <w:rsid w:val="00080430"/>
    <w:rsid w:val="00080490"/>
    <w:rsid w:val="000804AA"/>
    <w:rsid w:val="000805D7"/>
    <w:rsid w:val="0008060D"/>
    <w:rsid w:val="00080668"/>
    <w:rsid w:val="0008070B"/>
    <w:rsid w:val="000808FC"/>
    <w:rsid w:val="00080A11"/>
    <w:rsid w:val="00080D09"/>
    <w:rsid w:val="00080E18"/>
    <w:rsid w:val="00081032"/>
    <w:rsid w:val="000810AC"/>
    <w:rsid w:val="00081120"/>
    <w:rsid w:val="00081484"/>
    <w:rsid w:val="000815D3"/>
    <w:rsid w:val="00081A02"/>
    <w:rsid w:val="00082210"/>
    <w:rsid w:val="00082231"/>
    <w:rsid w:val="0008259D"/>
    <w:rsid w:val="000825E5"/>
    <w:rsid w:val="00082669"/>
    <w:rsid w:val="0008272A"/>
    <w:rsid w:val="000827DA"/>
    <w:rsid w:val="0008298D"/>
    <w:rsid w:val="00083146"/>
    <w:rsid w:val="000833E1"/>
    <w:rsid w:val="000833F7"/>
    <w:rsid w:val="00084EC0"/>
    <w:rsid w:val="00084FC1"/>
    <w:rsid w:val="00085517"/>
    <w:rsid w:val="00085DDB"/>
    <w:rsid w:val="00086008"/>
    <w:rsid w:val="00086312"/>
    <w:rsid w:val="0008660B"/>
    <w:rsid w:val="000875DF"/>
    <w:rsid w:val="0008768C"/>
    <w:rsid w:val="0008795F"/>
    <w:rsid w:val="000900DF"/>
    <w:rsid w:val="00090295"/>
    <w:rsid w:val="000903B6"/>
    <w:rsid w:val="00090457"/>
    <w:rsid w:val="000904EF"/>
    <w:rsid w:val="000905BA"/>
    <w:rsid w:val="000908D5"/>
    <w:rsid w:val="000908E5"/>
    <w:rsid w:val="00090A2F"/>
    <w:rsid w:val="00090B1E"/>
    <w:rsid w:val="00090DE3"/>
    <w:rsid w:val="00090F9B"/>
    <w:rsid w:val="00091418"/>
    <w:rsid w:val="000914E1"/>
    <w:rsid w:val="000915AE"/>
    <w:rsid w:val="00091665"/>
    <w:rsid w:val="00091AC4"/>
    <w:rsid w:val="00091B11"/>
    <w:rsid w:val="000924CA"/>
    <w:rsid w:val="00092503"/>
    <w:rsid w:val="00092819"/>
    <w:rsid w:val="00092BEB"/>
    <w:rsid w:val="00092CC9"/>
    <w:rsid w:val="00092D38"/>
    <w:rsid w:val="0009332A"/>
    <w:rsid w:val="00093347"/>
    <w:rsid w:val="00093569"/>
    <w:rsid w:val="00093577"/>
    <w:rsid w:val="0009377B"/>
    <w:rsid w:val="00093A2E"/>
    <w:rsid w:val="00093C4D"/>
    <w:rsid w:val="00093C7A"/>
    <w:rsid w:val="00093D19"/>
    <w:rsid w:val="00093D88"/>
    <w:rsid w:val="00094269"/>
    <w:rsid w:val="000946B5"/>
    <w:rsid w:val="00094BF9"/>
    <w:rsid w:val="00094E5D"/>
    <w:rsid w:val="0009507B"/>
    <w:rsid w:val="000951C8"/>
    <w:rsid w:val="00095579"/>
    <w:rsid w:val="0009560F"/>
    <w:rsid w:val="00095B52"/>
    <w:rsid w:val="00095FC9"/>
    <w:rsid w:val="0009623B"/>
    <w:rsid w:val="00096374"/>
    <w:rsid w:val="00096439"/>
    <w:rsid w:val="00096484"/>
    <w:rsid w:val="00096990"/>
    <w:rsid w:val="00096BEA"/>
    <w:rsid w:val="00096E46"/>
    <w:rsid w:val="0009775A"/>
    <w:rsid w:val="00097793"/>
    <w:rsid w:val="00097BCA"/>
    <w:rsid w:val="00097C2A"/>
    <w:rsid w:val="00097E62"/>
    <w:rsid w:val="000A0554"/>
    <w:rsid w:val="000A09BF"/>
    <w:rsid w:val="000A0F09"/>
    <w:rsid w:val="000A1302"/>
    <w:rsid w:val="000A14CC"/>
    <w:rsid w:val="000A16EE"/>
    <w:rsid w:val="000A192F"/>
    <w:rsid w:val="000A1BA8"/>
    <w:rsid w:val="000A1F2A"/>
    <w:rsid w:val="000A20C9"/>
    <w:rsid w:val="000A24A3"/>
    <w:rsid w:val="000A2513"/>
    <w:rsid w:val="000A253B"/>
    <w:rsid w:val="000A25E4"/>
    <w:rsid w:val="000A2A55"/>
    <w:rsid w:val="000A2BC9"/>
    <w:rsid w:val="000A2D7C"/>
    <w:rsid w:val="000A2E11"/>
    <w:rsid w:val="000A2E89"/>
    <w:rsid w:val="000A34B8"/>
    <w:rsid w:val="000A3D20"/>
    <w:rsid w:val="000A3FFD"/>
    <w:rsid w:val="000A41AB"/>
    <w:rsid w:val="000A4544"/>
    <w:rsid w:val="000A49CC"/>
    <w:rsid w:val="000A4BC0"/>
    <w:rsid w:val="000A4D2A"/>
    <w:rsid w:val="000A60E0"/>
    <w:rsid w:val="000A6371"/>
    <w:rsid w:val="000A638F"/>
    <w:rsid w:val="000A6554"/>
    <w:rsid w:val="000A683C"/>
    <w:rsid w:val="000A6DFA"/>
    <w:rsid w:val="000A7055"/>
    <w:rsid w:val="000A7311"/>
    <w:rsid w:val="000A7335"/>
    <w:rsid w:val="000A766F"/>
    <w:rsid w:val="000A7814"/>
    <w:rsid w:val="000A79DA"/>
    <w:rsid w:val="000A7AE2"/>
    <w:rsid w:val="000B01E4"/>
    <w:rsid w:val="000B058F"/>
    <w:rsid w:val="000B0FBF"/>
    <w:rsid w:val="000B1149"/>
    <w:rsid w:val="000B1282"/>
    <w:rsid w:val="000B139C"/>
    <w:rsid w:val="000B1753"/>
    <w:rsid w:val="000B1B26"/>
    <w:rsid w:val="000B260B"/>
    <w:rsid w:val="000B2715"/>
    <w:rsid w:val="000B2858"/>
    <w:rsid w:val="000B2A04"/>
    <w:rsid w:val="000B2F4E"/>
    <w:rsid w:val="000B321B"/>
    <w:rsid w:val="000B352D"/>
    <w:rsid w:val="000B39B1"/>
    <w:rsid w:val="000B3B7B"/>
    <w:rsid w:val="000B43CF"/>
    <w:rsid w:val="000B4467"/>
    <w:rsid w:val="000B4994"/>
    <w:rsid w:val="000B4B7B"/>
    <w:rsid w:val="000B4D08"/>
    <w:rsid w:val="000B4DB9"/>
    <w:rsid w:val="000B4F5D"/>
    <w:rsid w:val="000B505C"/>
    <w:rsid w:val="000B53C4"/>
    <w:rsid w:val="000B54D6"/>
    <w:rsid w:val="000B5659"/>
    <w:rsid w:val="000B5BE8"/>
    <w:rsid w:val="000B5F73"/>
    <w:rsid w:val="000B6940"/>
    <w:rsid w:val="000B7378"/>
    <w:rsid w:val="000B73E9"/>
    <w:rsid w:val="000B76CB"/>
    <w:rsid w:val="000B7FE5"/>
    <w:rsid w:val="000C000F"/>
    <w:rsid w:val="000C0472"/>
    <w:rsid w:val="000C05E2"/>
    <w:rsid w:val="000C09AC"/>
    <w:rsid w:val="000C0B6F"/>
    <w:rsid w:val="000C0C2B"/>
    <w:rsid w:val="000C13F4"/>
    <w:rsid w:val="000C15CB"/>
    <w:rsid w:val="000C1D05"/>
    <w:rsid w:val="000C1D17"/>
    <w:rsid w:val="000C1DCF"/>
    <w:rsid w:val="000C1F59"/>
    <w:rsid w:val="000C1FF3"/>
    <w:rsid w:val="000C2068"/>
    <w:rsid w:val="000C210B"/>
    <w:rsid w:val="000C2244"/>
    <w:rsid w:val="000C2327"/>
    <w:rsid w:val="000C2C9E"/>
    <w:rsid w:val="000C2CFB"/>
    <w:rsid w:val="000C2EE3"/>
    <w:rsid w:val="000C2FB0"/>
    <w:rsid w:val="000C31B9"/>
    <w:rsid w:val="000C37AE"/>
    <w:rsid w:val="000C3B1E"/>
    <w:rsid w:val="000C3F28"/>
    <w:rsid w:val="000C437B"/>
    <w:rsid w:val="000C5C0C"/>
    <w:rsid w:val="000C5D1F"/>
    <w:rsid w:val="000C62DF"/>
    <w:rsid w:val="000C6392"/>
    <w:rsid w:val="000C6425"/>
    <w:rsid w:val="000C65A4"/>
    <w:rsid w:val="000C65CF"/>
    <w:rsid w:val="000C7055"/>
    <w:rsid w:val="000C738F"/>
    <w:rsid w:val="000C767F"/>
    <w:rsid w:val="000C776A"/>
    <w:rsid w:val="000C7825"/>
    <w:rsid w:val="000C7C57"/>
    <w:rsid w:val="000C7E2B"/>
    <w:rsid w:val="000C7F9D"/>
    <w:rsid w:val="000D002E"/>
    <w:rsid w:val="000D0329"/>
    <w:rsid w:val="000D0349"/>
    <w:rsid w:val="000D08BD"/>
    <w:rsid w:val="000D0F6D"/>
    <w:rsid w:val="000D1012"/>
    <w:rsid w:val="000D1053"/>
    <w:rsid w:val="000D1183"/>
    <w:rsid w:val="000D2269"/>
    <w:rsid w:val="000D2A03"/>
    <w:rsid w:val="000D2E5F"/>
    <w:rsid w:val="000D2EC3"/>
    <w:rsid w:val="000D2F17"/>
    <w:rsid w:val="000D30CF"/>
    <w:rsid w:val="000D3341"/>
    <w:rsid w:val="000D3D8A"/>
    <w:rsid w:val="000D451B"/>
    <w:rsid w:val="000D45C3"/>
    <w:rsid w:val="000D4E81"/>
    <w:rsid w:val="000D4EB7"/>
    <w:rsid w:val="000D59C6"/>
    <w:rsid w:val="000D59D8"/>
    <w:rsid w:val="000D5A44"/>
    <w:rsid w:val="000D6119"/>
    <w:rsid w:val="000D6179"/>
    <w:rsid w:val="000D6863"/>
    <w:rsid w:val="000D6953"/>
    <w:rsid w:val="000D6C56"/>
    <w:rsid w:val="000D6F70"/>
    <w:rsid w:val="000D6F9A"/>
    <w:rsid w:val="000D70FC"/>
    <w:rsid w:val="000D715C"/>
    <w:rsid w:val="000D71CA"/>
    <w:rsid w:val="000D7474"/>
    <w:rsid w:val="000D7AB3"/>
    <w:rsid w:val="000D7E0C"/>
    <w:rsid w:val="000D7E44"/>
    <w:rsid w:val="000D7EE0"/>
    <w:rsid w:val="000E00B0"/>
    <w:rsid w:val="000E0822"/>
    <w:rsid w:val="000E09A2"/>
    <w:rsid w:val="000E192A"/>
    <w:rsid w:val="000E1F97"/>
    <w:rsid w:val="000E1FA1"/>
    <w:rsid w:val="000E2498"/>
    <w:rsid w:val="000E318C"/>
    <w:rsid w:val="000E3837"/>
    <w:rsid w:val="000E3ED2"/>
    <w:rsid w:val="000E40CD"/>
    <w:rsid w:val="000E41EB"/>
    <w:rsid w:val="000E4203"/>
    <w:rsid w:val="000E4255"/>
    <w:rsid w:val="000E4ACA"/>
    <w:rsid w:val="000E4B47"/>
    <w:rsid w:val="000E4C25"/>
    <w:rsid w:val="000E4C7F"/>
    <w:rsid w:val="000E4F44"/>
    <w:rsid w:val="000E521F"/>
    <w:rsid w:val="000E53A3"/>
    <w:rsid w:val="000E559D"/>
    <w:rsid w:val="000E5AA8"/>
    <w:rsid w:val="000E65EE"/>
    <w:rsid w:val="000E67D0"/>
    <w:rsid w:val="000E6DBB"/>
    <w:rsid w:val="000E738B"/>
    <w:rsid w:val="000E7424"/>
    <w:rsid w:val="000E78AA"/>
    <w:rsid w:val="000E79A8"/>
    <w:rsid w:val="000E7D56"/>
    <w:rsid w:val="000F02AB"/>
    <w:rsid w:val="000F0DF5"/>
    <w:rsid w:val="000F0EAE"/>
    <w:rsid w:val="000F1071"/>
    <w:rsid w:val="000F12ED"/>
    <w:rsid w:val="000F18FD"/>
    <w:rsid w:val="000F1CD0"/>
    <w:rsid w:val="000F1D88"/>
    <w:rsid w:val="000F2295"/>
    <w:rsid w:val="000F22E3"/>
    <w:rsid w:val="000F23F0"/>
    <w:rsid w:val="000F25BD"/>
    <w:rsid w:val="000F25CD"/>
    <w:rsid w:val="000F2A19"/>
    <w:rsid w:val="000F2A3E"/>
    <w:rsid w:val="000F2D91"/>
    <w:rsid w:val="000F2DED"/>
    <w:rsid w:val="000F2E51"/>
    <w:rsid w:val="000F30F4"/>
    <w:rsid w:val="000F3147"/>
    <w:rsid w:val="000F345C"/>
    <w:rsid w:val="000F3462"/>
    <w:rsid w:val="000F3AD7"/>
    <w:rsid w:val="000F3AFA"/>
    <w:rsid w:val="000F3B0A"/>
    <w:rsid w:val="000F3BA5"/>
    <w:rsid w:val="000F3DD1"/>
    <w:rsid w:val="000F3EA6"/>
    <w:rsid w:val="000F411F"/>
    <w:rsid w:val="000F4271"/>
    <w:rsid w:val="000F46E5"/>
    <w:rsid w:val="000F491A"/>
    <w:rsid w:val="000F491D"/>
    <w:rsid w:val="000F499A"/>
    <w:rsid w:val="000F4D31"/>
    <w:rsid w:val="000F5363"/>
    <w:rsid w:val="000F5427"/>
    <w:rsid w:val="000F5446"/>
    <w:rsid w:val="000F5C14"/>
    <w:rsid w:val="000F5C3C"/>
    <w:rsid w:val="000F5EC3"/>
    <w:rsid w:val="000F6221"/>
    <w:rsid w:val="000F6A78"/>
    <w:rsid w:val="000F6DC7"/>
    <w:rsid w:val="000F71AD"/>
    <w:rsid w:val="000F7322"/>
    <w:rsid w:val="000F7443"/>
    <w:rsid w:val="000F76D2"/>
    <w:rsid w:val="000F7E07"/>
    <w:rsid w:val="001004B8"/>
    <w:rsid w:val="00100562"/>
    <w:rsid w:val="0010073F"/>
    <w:rsid w:val="001008A3"/>
    <w:rsid w:val="00100DA0"/>
    <w:rsid w:val="001014C3"/>
    <w:rsid w:val="001018D3"/>
    <w:rsid w:val="00102060"/>
    <w:rsid w:val="001021E1"/>
    <w:rsid w:val="00102AD5"/>
    <w:rsid w:val="00102C04"/>
    <w:rsid w:val="00102F4F"/>
    <w:rsid w:val="001036BA"/>
    <w:rsid w:val="00104015"/>
    <w:rsid w:val="001042B6"/>
    <w:rsid w:val="00104E83"/>
    <w:rsid w:val="0010532D"/>
    <w:rsid w:val="001055FA"/>
    <w:rsid w:val="0010596F"/>
    <w:rsid w:val="00105F7B"/>
    <w:rsid w:val="00106234"/>
    <w:rsid w:val="0010664A"/>
    <w:rsid w:val="00106B18"/>
    <w:rsid w:val="00106F88"/>
    <w:rsid w:val="00106FE7"/>
    <w:rsid w:val="001072B9"/>
    <w:rsid w:val="001075DC"/>
    <w:rsid w:val="001076BF"/>
    <w:rsid w:val="00107723"/>
    <w:rsid w:val="001077D1"/>
    <w:rsid w:val="00107B06"/>
    <w:rsid w:val="00107CD6"/>
    <w:rsid w:val="0011073F"/>
    <w:rsid w:val="0011094D"/>
    <w:rsid w:val="00110988"/>
    <w:rsid w:val="00110A2F"/>
    <w:rsid w:val="001110C6"/>
    <w:rsid w:val="00111A7B"/>
    <w:rsid w:val="001120D0"/>
    <w:rsid w:val="00112595"/>
    <w:rsid w:val="00112664"/>
    <w:rsid w:val="00112F70"/>
    <w:rsid w:val="001130B3"/>
    <w:rsid w:val="00113961"/>
    <w:rsid w:val="00113AE5"/>
    <w:rsid w:val="00113D71"/>
    <w:rsid w:val="00113FD5"/>
    <w:rsid w:val="001144B4"/>
    <w:rsid w:val="00114AFC"/>
    <w:rsid w:val="00114D1B"/>
    <w:rsid w:val="00115BB6"/>
    <w:rsid w:val="001162D1"/>
    <w:rsid w:val="00116BF9"/>
    <w:rsid w:val="001173D2"/>
    <w:rsid w:val="001173D8"/>
    <w:rsid w:val="00117932"/>
    <w:rsid w:val="001201FD"/>
    <w:rsid w:val="00120857"/>
    <w:rsid w:val="0012088C"/>
    <w:rsid w:val="00120AD0"/>
    <w:rsid w:val="00121131"/>
    <w:rsid w:val="001212C3"/>
    <w:rsid w:val="00121323"/>
    <w:rsid w:val="001217E9"/>
    <w:rsid w:val="001218E3"/>
    <w:rsid w:val="00121BC2"/>
    <w:rsid w:val="00121DF5"/>
    <w:rsid w:val="001222B6"/>
    <w:rsid w:val="00122324"/>
    <w:rsid w:val="001227A2"/>
    <w:rsid w:val="00122883"/>
    <w:rsid w:val="00122D48"/>
    <w:rsid w:val="00123012"/>
    <w:rsid w:val="00123307"/>
    <w:rsid w:val="001233A1"/>
    <w:rsid w:val="001238C2"/>
    <w:rsid w:val="00123DD5"/>
    <w:rsid w:val="00123EE8"/>
    <w:rsid w:val="00124126"/>
    <w:rsid w:val="0012415C"/>
    <w:rsid w:val="0012433B"/>
    <w:rsid w:val="00124408"/>
    <w:rsid w:val="00124512"/>
    <w:rsid w:val="00124E58"/>
    <w:rsid w:val="0012542F"/>
    <w:rsid w:val="00125630"/>
    <w:rsid w:val="00125B2D"/>
    <w:rsid w:val="00125CB5"/>
    <w:rsid w:val="00125F29"/>
    <w:rsid w:val="0012601A"/>
    <w:rsid w:val="001265EA"/>
    <w:rsid w:val="00126937"/>
    <w:rsid w:val="0012709A"/>
    <w:rsid w:val="001273E6"/>
    <w:rsid w:val="001277D5"/>
    <w:rsid w:val="00127B79"/>
    <w:rsid w:val="00127C4F"/>
    <w:rsid w:val="001302F7"/>
    <w:rsid w:val="00130C71"/>
    <w:rsid w:val="00131784"/>
    <w:rsid w:val="00131931"/>
    <w:rsid w:val="00131B60"/>
    <w:rsid w:val="00131D35"/>
    <w:rsid w:val="00131F42"/>
    <w:rsid w:val="0013278A"/>
    <w:rsid w:val="001329DD"/>
    <w:rsid w:val="00132E77"/>
    <w:rsid w:val="00134549"/>
    <w:rsid w:val="00134CDC"/>
    <w:rsid w:val="00134F94"/>
    <w:rsid w:val="001350A0"/>
    <w:rsid w:val="00135350"/>
    <w:rsid w:val="001354AE"/>
    <w:rsid w:val="001357F1"/>
    <w:rsid w:val="001358CF"/>
    <w:rsid w:val="00135912"/>
    <w:rsid w:val="001359D1"/>
    <w:rsid w:val="00135A4F"/>
    <w:rsid w:val="00135A7B"/>
    <w:rsid w:val="001362A2"/>
    <w:rsid w:val="0013672E"/>
    <w:rsid w:val="001367C1"/>
    <w:rsid w:val="00136830"/>
    <w:rsid w:val="00136A77"/>
    <w:rsid w:val="0013744F"/>
    <w:rsid w:val="001377A1"/>
    <w:rsid w:val="00137A06"/>
    <w:rsid w:val="00137AC4"/>
    <w:rsid w:val="00137EF5"/>
    <w:rsid w:val="001404D9"/>
    <w:rsid w:val="00140684"/>
    <w:rsid w:val="001407E5"/>
    <w:rsid w:val="00140986"/>
    <w:rsid w:val="00140E76"/>
    <w:rsid w:val="00140F3D"/>
    <w:rsid w:val="00140FA8"/>
    <w:rsid w:val="00141309"/>
    <w:rsid w:val="00142491"/>
    <w:rsid w:val="00142503"/>
    <w:rsid w:val="00142B4C"/>
    <w:rsid w:val="00142C7B"/>
    <w:rsid w:val="00142FEB"/>
    <w:rsid w:val="0014303F"/>
    <w:rsid w:val="0014319C"/>
    <w:rsid w:val="0014345A"/>
    <w:rsid w:val="00143521"/>
    <w:rsid w:val="001437AD"/>
    <w:rsid w:val="00143A2D"/>
    <w:rsid w:val="00143DE1"/>
    <w:rsid w:val="00144884"/>
    <w:rsid w:val="00144E24"/>
    <w:rsid w:val="00144E70"/>
    <w:rsid w:val="00144E78"/>
    <w:rsid w:val="00145760"/>
    <w:rsid w:val="001457CF"/>
    <w:rsid w:val="00145A41"/>
    <w:rsid w:val="00145D0B"/>
    <w:rsid w:val="00146145"/>
    <w:rsid w:val="001462A9"/>
    <w:rsid w:val="0014671E"/>
    <w:rsid w:val="00146769"/>
    <w:rsid w:val="00146783"/>
    <w:rsid w:val="00146AB2"/>
    <w:rsid w:val="00146B6A"/>
    <w:rsid w:val="00146E23"/>
    <w:rsid w:val="001479DF"/>
    <w:rsid w:val="001502D0"/>
    <w:rsid w:val="00150303"/>
    <w:rsid w:val="0015058F"/>
    <w:rsid w:val="00150606"/>
    <w:rsid w:val="00150AA5"/>
    <w:rsid w:val="00150ACD"/>
    <w:rsid w:val="00150CFC"/>
    <w:rsid w:val="00150EE6"/>
    <w:rsid w:val="00151022"/>
    <w:rsid w:val="001512BD"/>
    <w:rsid w:val="00151675"/>
    <w:rsid w:val="001516C4"/>
    <w:rsid w:val="0015185F"/>
    <w:rsid w:val="00151F61"/>
    <w:rsid w:val="001520AF"/>
    <w:rsid w:val="001520B8"/>
    <w:rsid w:val="001528A6"/>
    <w:rsid w:val="00153379"/>
    <w:rsid w:val="001533E1"/>
    <w:rsid w:val="00153754"/>
    <w:rsid w:val="001537BE"/>
    <w:rsid w:val="00153D6B"/>
    <w:rsid w:val="001546A6"/>
    <w:rsid w:val="00154A43"/>
    <w:rsid w:val="001551C3"/>
    <w:rsid w:val="001559DC"/>
    <w:rsid w:val="001566E3"/>
    <w:rsid w:val="001566E8"/>
    <w:rsid w:val="00157435"/>
    <w:rsid w:val="00157779"/>
    <w:rsid w:val="00157861"/>
    <w:rsid w:val="00157DE0"/>
    <w:rsid w:val="00157E04"/>
    <w:rsid w:val="00157F53"/>
    <w:rsid w:val="001601AA"/>
    <w:rsid w:val="0016049C"/>
    <w:rsid w:val="00160622"/>
    <w:rsid w:val="001606AC"/>
    <w:rsid w:val="00160847"/>
    <w:rsid w:val="00160A33"/>
    <w:rsid w:val="00160C05"/>
    <w:rsid w:val="00162747"/>
    <w:rsid w:val="00162894"/>
    <w:rsid w:val="00162AC4"/>
    <w:rsid w:val="00163455"/>
    <w:rsid w:val="00163601"/>
    <w:rsid w:val="0016383D"/>
    <w:rsid w:val="001641AA"/>
    <w:rsid w:val="00164268"/>
    <w:rsid w:val="00164502"/>
    <w:rsid w:val="001646B9"/>
    <w:rsid w:val="00164E92"/>
    <w:rsid w:val="00165832"/>
    <w:rsid w:val="00166060"/>
    <w:rsid w:val="001669E3"/>
    <w:rsid w:val="00166BF5"/>
    <w:rsid w:val="00166DBD"/>
    <w:rsid w:val="00166FCE"/>
    <w:rsid w:val="00167007"/>
    <w:rsid w:val="00167133"/>
    <w:rsid w:val="0016720F"/>
    <w:rsid w:val="001674A8"/>
    <w:rsid w:val="001675F2"/>
    <w:rsid w:val="00167A02"/>
    <w:rsid w:val="00170013"/>
    <w:rsid w:val="00170509"/>
    <w:rsid w:val="001714E5"/>
    <w:rsid w:val="001716C0"/>
    <w:rsid w:val="00171B46"/>
    <w:rsid w:val="00171D20"/>
    <w:rsid w:val="001720A6"/>
    <w:rsid w:val="00172474"/>
    <w:rsid w:val="00172684"/>
    <w:rsid w:val="001726EC"/>
    <w:rsid w:val="00172A11"/>
    <w:rsid w:val="00172C3E"/>
    <w:rsid w:val="00172C88"/>
    <w:rsid w:val="0017327F"/>
    <w:rsid w:val="00173A25"/>
    <w:rsid w:val="00174049"/>
    <w:rsid w:val="001740C5"/>
    <w:rsid w:val="00174374"/>
    <w:rsid w:val="00174631"/>
    <w:rsid w:val="00174CE8"/>
    <w:rsid w:val="00174FDC"/>
    <w:rsid w:val="0017504D"/>
    <w:rsid w:val="001752ED"/>
    <w:rsid w:val="00175E31"/>
    <w:rsid w:val="00175E85"/>
    <w:rsid w:val="0017671A"/>
    <w:rsid w:val="00176BBF"/>
    <w:rsid w:val="00176D92"/>
    <w:rsid w:val="00177130"/>
    <w:rsid w:val="001771AA"/>
    <w:rsid w:val="001772BE"/>
    <w:rsid w:val="001773AF"/>
    <w:rsid w:val="00177422"/>
    <w:rsid w:val="00177583"/>
    <w:rsid w:val="00177B5D"/>
    <w:rsid w:val="00177BBA"/>
    <w:rsid w:val="00177BF0"/>
    <w:rsid w:val="00177E5D"/>
    <w:rsid w:val="00180130"/>
    <w:rsid w:val="0018013B"/>
    <w:rsid w:val="0018041F"/>
    <w:rsid w:val="001806D6"/>
    <w:rsid w:val="00180B78"/>
    <w:rsid w:val="00180BCC"/>
    <w:rsid w:val="001813BF"/>
    <w:rsid w:val="001815B7"/>
    <w:rsid w:val="00181FEC"/>
    <w:rsid w:val="00182140"/>
    <w:rsid w:val="001822BF"/>
    <w:rsid w:val="00182460"/>
    <w:rsid w:val="00182AFA"/>
    <w:rsid w:val="00182E11"/>
    <w:rsid w:val="00182E98"/>
    <w:rsid w:val="00182F74"/>
    <w:rsid w:val="00183325"/>
    <w:rsid w:val="00183674"/>
    <w:rsid w:val="001838CE"/>
    <w:rsid w:val="00183B43"/>
    <w:rsid w:val="00183D00"/>
    <w:rsid w:val="00184096"/>
    <w:rsid w:val="00184590"/>
    <w:rsid w:val="00184593"/>
    <w:rsid w:val="00184C1B"/>
    <w:rsid w:val="00184DE6"/>
    <w:rsid w:val="00185380"/>
    <w:rsid w:val="0018595C"/>
    <w:rsid w:val="00185E91"/>
    <w:rsid w:val="00185F5C"/>
    <w:rsid w:val="001869C0"/>
    <w:rsid w:val="00186A2C"/>
    <w:rsid w:val="001870D1"/>
    <w:rsid w:val="00187105"/>
    <w:rsid w:val="0018734D"/>
    <w:rsid w:val="0018740A"/>
    <w:rsid w:val="0018781E"/>
    <w:rsid w:val="0018799E"/>
    <w:rsid w:val="0019010F"/>
    <w:rsid w:val="00190312"/>
    <w:rsid w:val="00190933"/>
    <w:rsid w:val="00190C1C"/>
    <w:rsid w:val="00190D47"/>
    <w:rsid w:val="00190D7D"/>
    <w:rsid w:val="00191085"/>
    <w:rsid w:val="00191A71"/>
    <w:rsid w:val="00191BE5"/>
    <w:rsid w:val="0019262D"/>
    <w:rsid w:val="0019267E"/>
    <w:rsid w:val="001932E8"/>
    <w:rsid w:val="00193328"/>
    <w:rsid w:val="0019362C"/>
    <w:rsid w:val="0019366B"/>
    <w:rsid w:val="001937DB"/>
    <w:rsid w:val="001939F7"/>
    <w:rsid w:val="00195313"/>
    <w:rsid w:val="001955E1"/>
    <w:rsid w:val="0019560D"/>
    <w:rsid w:val="001956D8"/>
    <w:rsid w:val="00195705"/>
    <w:rsid w:val="0019574B"/>
    <w:rsid w:val="00195767"/>
    <w:rsid w:val="00195D40"/>
    <w:rsid w:val="001963F7"/>
    <w:rsid w:val="00196947"/>
    <w:rsid w:val="00196C00"/>
    <w:rsid w:val="00196D7A"/>
    <w:rsid w:val="00196F4F"/>
    <w:rsid w:val="00197125"/>
    <w:rsid w:val="0019715D"/>
    <w:rsid w:val="0019745F"/>
    <w:rsid w:val="00197671"/>
    <w:rsid w:val="00197952"/>
    <w:rsid w:val="001A0364"/>
    <w:rsid w:val="001A0A2A"/>
    <w:rsid w:val="001A0BC8"/>
    <w:rsid w:val="001A10FD"/>
    <w:rsid w:val="001A1B26"/>
    <w:rsid w:val="001A1B35"/>
    <w:rsid w:val="001A1D66"/>
    <w:rsid w:val="001A20F4"/>
    <w:rsid w:val="001A28D1"/>
    <w:rsid w:val="001A2D88"/>
    <w:rsid w:val="001A3C60"/>
    <w:rsid w:val="001A3F1E"/>
    <w:rsid w:val="001A4487"/>
    <w:rsid w:val="001A46A3"/>
    <w:rsid w:val="001A48A2"/>
    <w:rsid w:val="001A4929"/>
    <w:rsid w:val="001A4AF9"/>
    <w:rsid w:val="001A50F8"/>
    <w:rsid w:val="001A5343"/>
    <w:rsid w:val="001A57EC"/>
    <w:rsid w:val="001A60FC"/>
    <w:rsid w:val="001A62A5"/>
    <w:rsid w:val="001A62EE"/>
    <w:rsid w:val="001A6384"/>
    <w:rsid w:val="001A6657"/>
    <w:rsid w:val="001A6675"/>
    <w:rsid w:val="001A6918"/>
    <w:rsid w:val="001A6A82"/>
    <w:rsid w:val="001A6F61"/>
    <w:rsid w:val="001A774E"/>
    <w:rsid w:val="001A77B5"/>
    <w:rsid w:val="001A7A02"/>
    <w:rsid w:val="001B01E9"/>
    <w:rsid w:val="001B0436"/>
    <w:rsid w:val="001B09B3"/>
    <w:rsid w:val="001B0AC4"/>
    <w:rsid w:val="001B0C83"/>
    <w:rsid w:val="001B1046"/>
    <w:rsid w:val="001B1207"/>
    <w:rsid w:val="001B189F"/>
    <w:rsid w:val="001B1B67"/>
    <w:rsid w:val="001B1C4B"/>
    <w:rsid w:val="001B1DC6"/>
    <w:rsid w:val="001B1E0E"/>
    <w:rsid w:val="001B209D"/>
    <w:rsid w:val="001B2BB4"/>
    <w:rsid w:val="001B2E43"/>
    <w:rsid w:val="001B3129"/>
    <w:rsid w:val="001B314D"/>
    <w:rsid w:val="001B38B9"/>
    <w:rsid w:val="001B3A3C"/>
    <w:rsid w:val="001B3A7C"/>
    <w:rsid w:val="001B3B98"/>
    <w:rsid w:val="001B41E5"/>
    <w:rsid w:val="001B48D9"/>
    <w:rsid w:val="001B5156"/>
    <w:rsid w:val="001B5540"/>
    <w:rsid w:val="001B569A"/>
    <w:rsid w:val="001B57A3"/>
    <w:rsid w:val="001B5A29"/>
    <w:rsid w:val="001B5D0B"/>
    <w:rsid w:val="001B5DAD"/>
    <w:rsid w:val="001B6273"/>
    <w:rsid w:val="001B68B0"/>
    <w:rsid w:val="001B6E16"/>
    <w:rsid w:val="001B6ED4"/>
    <w:rsid w:val="001B72B8"/>
    <w:rsid w:val="001B7D44"/>
    <w:rsid w:val="001B7DDA"/>
    <w:rsid w:val="001B7E91"/>
    <w:rsid w:val="001B7EA3"/>
    <w:rsid w:val="001B7FDF"/>
    <w:rsid w:val="001C03D5"/>
    <w:rsid w:val="001C03DD"/>
    <w:rsid w:val="001C05A1"/>
    <w:rsid w:val="001C09EC"/>
    <w:rsid w:val="001C0E22"/>
    <w:rsid w:val="001C0E86"/>
    <w:rsid w:val="001C106D"/>
    <w:rsid w:val="001C11F5"/>
    <w:rsid w:val="001C13FD"/>
    <w:rsid w:val="001C1D8C"/>
    <w:rsid w:val="001C1F90"/>
    <w:rsid w:val="001C2074"/>
    <w:rsid w:val="001C22DD"/>
    <w:rsid w:val="001C26B6"/>
    <w:rsid w:val="001C2B75"/>
    <w:rsid w:val="001C2EB0"/>
    <w:rsid w:val="001C306B"/>
    <w:rsid w:val="001C30F1"/>
    <w:rsid w:val="001C3734"/>
    <w:rsid w:val="001C381A"/>
    <w:rsid w:val="001C3A21"/>
    <w:rsid w:val="001C3C0E"/>
    <w:rsid w:val="001C440D"/>
    <w:rsid w:val="001C4598"/>
    <w:rsid w:val="001C4C21"/>
    <w:rsid w:val="001C52C6"/>
    <w:rsid w:val="001C5BCE"/>
    <w:rsid w:val="001C6310"/>
    <w:rsid w:val="001C65B2"/>
    <w:rsid w:val="001C69B3"/>
    <w:rsid w:val="001C6B18"/>
    <w:rsid w:val="001C6E45"/>
    <w:rsid w:val="001C771C"/>
    <w:rsid w:val="001C7A83"/>
    <w:rsid w:val="001C7EE6"/>
    <w:rsid w:val="001D0A53"/>
    <w:rsid w:val="001D0B0E"/>
    <w:rsid w:val="001D11F2"/>
    <w:rsid w:val="001D176A"/>
    <w:rsid w:val="001D1B31"/>
    <w:rsid w:val="001D22B0"/>
    <w:rsid w:val="001D24D5"/>
    <w:rsid w:val="001D24EE"/>
    <w:rsid w:val="001D2E4D"/>
    <w:rsid w:val="001D2FF3"/>
    <w:rsid w:val="001D3538"/>
    <w:rsid w:val="001D35C6"/>
    <w:rsid w:val="001D4402"/>
    <w:rsid w:val="001D46DB"/>
    <w:rsid w:val="001D47AE"/>
    <w:rsid w:val="001D4924"/>
    <w:rsid w:val="001D4B2E"/>
    <w:rsid w:val="001D4D45"/>
    <w:rsid w:val="001D4EC5"/>
    <w:rsid w:val="001D544A"/>
    <w:rsid w:val="001D5595"/>
    <w:rsid w:val="001D5703"/>
    <w:rsid w:val="001D5C0A"/>
    <w:rsid w:val="001D639C"/>
    <w:rsid w:val="001D64F0"/>
    <w:rsid w:val="001D6AE6"/>
    <w:rsid w:val="001D74C2"/>
    <w:rsid w:val="001D75FF"/>
    <w:rsid w:val="001D7874"/>
    <w:rsid w:val="001D7F22"/>
    <w:rsid w:val="001E13A0"/>
    <w:rsid w:val="001E198E"/>
    <w:rsid w:val="001E1E61"/>
    <w:rsid w:val="001E2280"/>
    <w:rsid w:val="001E3325"/>
    <w:rsid w:val="001E3682"/>
    <w:rsid w:val="001E3922"/>
    <w:rsid w:val="001E3D67"/>
    <w:rsid w:val="001E3E55"/>
    <w:rsid w:val="001E5BBB"/>
    <w:rsid w:val="001E5DA9"/>
    <w:rsid w:val="001E63EC"/>
    <w:rsid w:val="001E6E3C"/>
    <w:rsid w:val="001E6E85"/>
    <w:rsid w:val="001E73F1"/>
    <w:rsid w:val="001E74A1"/>
    <w:rsid w:val="001E7718"/>
    <w:rsid w:val="001E782B"/>
    <w:rsid w:val="001E7C8A"/>
    <w:rsid w:val="001E7F49"/>
    <w:rsid w:val="001F0312"/>
    <w:rsid w:val="001F0345"/>
    <w:rsid w:val="001F0B73"/>
    <w:rsid w:val="001F0F17"/>
    <w:rsid w:val="001F0FC5"/>
    <w:rsid w:val="001F141C"/>
    <w:rsid w:val="001F1E45"/>
    <w:rsid w:val="001F23CE"/>
    <w:rsid w:val="001F25A5"/>
    <w:rsid w:val="001F25B7"/>
    <w:rsid w:val="001F2A7B"/>
    <w:rsid w:val="001F2AC0"/>
    <w:rsid w:val="001F2B68"/>
    <w:rsid w:val="001F2EAB"/>
    <w:rsid w:val="001F2F85"/>
    <w:rsid w:val="001F3347"/>
    <w:rsid w:val="001F35D1"/>
    <w:rsid w:val="001F3910"/>
    <w:rsid w:val="001F3939"/>
    <w:rsid w:val="001F3B0A"/>
    <w:rsid w:val="001F3C29"/>
    <w:rsid w:val="001F3D63"/>
    <w:rsid w:val="001F3DAF"/>
    <w:rsid w:val="001F43F1"/>
    <w:rsid w:val="001F4842"/>
    <w:rsid w:val="001F4D66"/>
    <w:rsid w:val="001F5124"/>
    <w:rsid w:val="001F61D4"/>
    <w:rsid w:val="001F657F"/>
    <w:rsid w:val="001F670B"/>
    <w:rsid w:val="001F6780"/>
    <w:rsid w:val="001F69E4"/>
    <w:rsid w:val="001F6CC4"/>
    <w:rsid w:val="001F72F3"/>
    <w:rsid w:val="001F73F7"/>
    <w:rsid w:val="001F7585"/>
    <w:rsid w:val="001F764D"/>
    <w:rsid w:val="001F7CF4"/>
    <w:rsid w:val="001F7DFB"/>
    <w:rsid w:val="00200D18"/>
    <w:rsid w:val="00200F71"/>
    <w:rsid w:val="002010CA"/>
    <w:rsid w:val="00201E1F"/>
    <w:rsid w:val="00201E7E"/>
    <w:rsid w:val="00201F7B"/>
    <w:rsid w:val="00201FEE"/>
    <w:rsid w:val="0020212B"/>
    <w:rsid w:val="00202184"/>
    <w:rsid w:val="00202216"/>
    <w:rsid w:val="00202B61"/>
    <w:rsid w:val="00202DB9"/>
    <w:rsid w:val="00203027"/>
    <w:rsid w:val="002031ED"/>
    <w:rsid w:val="0020377C"/>
    <w:rsid w:val="00203805"/>
    <w:rsid w:val="00203AE1"/>
    <w:rsid w:val="00203BA6"/>
    <w:rsid w:val="00204284"/>
    <w:rsid w:val="00204466"/>
    <w:rsid w:val="00204A1E"/>
    <w:rsid w:val="00204B87"/>
    <w:rsid w:val="002053AA"/>
    <w:rsid w:val="00205849"/>
    <w:rsid w:val="00205AD1"/>
    <w:rsid w:val="00206176"/>
    <w:rsid w:val="00206879"/>
    <w:rsid w:val="00206BA3"/>
    <w:rsid w:val="00206C81"/>
    <w:rsid w:val="00206E70"/>
    <w:rsid w:val="0020785B"/>
    <w:rsid w:val="0020788E"/>
    <w:rsid w:val="00207DD6"/>
    <w:rsid w:val="0021013B"/>
    <w:rsid w:val="00210F2E"/>
    <w:rsid w:val="00211DF4"/>
    <w:rsid w:val="00211E5F"/>
    <w:rsid w:val="00211FFC"/>
    <w:rsid w:val="002120A1"/>
    <w:rsid w:val="00212132"/>
    <w:rsid w:val="002122FE"/>
    <w:rsid w:val="00212561"/>
    <w:rsid w:val="002125B4"/>
    <w:rsid w:val="002127E9"/>
    <w:rsid w:val="002128D8"/>
    <w:rsid w:val="002143B4"/>
    <w:rsid w:val="00214FDD"/>
    <w:rsid w:val="00215173"/>
    <w:rsid w:val="002155B8"/>
    <w:rsid w:val="00215604"/>
    <w:rsid w:val="002158DF"/>
    <w:rsid w:val="0021634D"/>
    <w:rsid w:val="002169C5"/>
    <w:rsid w:val="00216E37"/>
    <w:rsid w:val="002174F6"/>
    <w:rsid w:val="002177A7"/>
    <w:rsid w:val="00217894"/>
    <w:rsid w:val="00217AC7"/>
    <w:rsid w:val="00217BCD"/>
    <w:rsid w:val="00217DAE"/>
    <w:rsid w:val="00217DF2"/>
    <w:rsid w:val="00217FA6"/>
    <w:rsid w:val="00217FE5"/>
    <w:rsid w:val="00221198"/>
    <w:rsid w:val="002211FA"/>
    <w:rsid w:val="0022138D"/>
    <w:rsid w:val="00221413"/>
    <w:rsid w:val="0022181B"/>
    <w:rsid w:val="00221ACB"/>
    <w:rsid w:val="002220C1"/>
    <w:rsid w:val="00222BF1"/>
    <w:rsid w:val="002231CE"/>
    <w:rsid w:val="00223368"/>
    <w:rsid w:val="0022362C"/>
    <w:rsid w:val="002238C3"/>
    <w:rsid w:val="00223A0F"/>
    <w:rsid w:val="00223B40"/>
    <w:rsid w:val="0022401D"/>
    <w:rsid w:val="002241DE"/>
    <w:rsid w:val="002244B5"/>
    <w:rsid w:val="00224839"/>
    <w:rsid w:val="002249B2"/>
    <w:rsid w:val="00224C65"/>
    <w:rsid w:val="00224EEC"/>
    <w:rsid w:val="0022546B"/>
    <w:rsid w:val="00225488"/>
    <w:rsid w:val="002256AF"/>
    <w:rsid w:val="00225E74"/>
    <w:rsid w:val="00225FA5"/>
    <w:rsid w:val="00226574"/>
    <w:rsid w:val="00226939"/>
    <w:rsid w:val="00226ABF"/>
    <w:rsid w:val="00226FD2"/>
    <w:rsid w:val="00227143"/>
    <w:rsid w:val="002278EC"/>
    <w:rsid w:val="002300B5"/>
    <w:rsid w:val="002301D2"/>
    <w:rsid w:val="002301F5"/>
    <w:rsid w:val="0023052D"/>
    <w:rsid w:val="0023067B"/>
    <w:rsid w:val="00230AF8"/>
    <w:rsid w:val="00230C84"/>
    <w:rsid w:val="00230E19"/>
    <w:rsid w:val="002310DA"/>
    <w:rsid w:val="002311E8"/>
    <w:rsid w:val="00231270"/>
    <w:rsid w:val="002313EC"/>
    <w:rsid w:val="00231CBF"/>
    <w:rsid w:val="00232031"/>
    <w:rsid w:val="002321EC"/>
    <w:rsid w:val="002326C9"/>
    <w:rsid w:val="0023271C"/>
    <w:rsid w:val="00232792"/>
    <w:rsid w:val="0023280E"/>
    <w:rsid w:val="00232B36"/>
    <w:rsid w:val="00232D51"/>
    <w:rsid w:val="00232F5B"/>
    <w:rsid w:val="00233259"/>
    <w:rsid w:val="00233FC7"/>
    <w:rsid w:val="00234A4E"/>
    <w:rsid w:val="00234BC8"/>
    <w:rsid w:val="00235490"/>
    <w:rsid w:val="00235AC7"/>
    <w:rsid w:val="00235B1B"/>
    <w:rsid w:val="00235B72"/>
    <w:rsid w:val="00235EBD"/>
    <w:rsid w:val="00236260"/>
    <w:rsid w:val="00236407"/>
    <w:rsid w:val="002366BE"/>
    <w:rsid w:val="00236E8E"/>
    <w:rsid w:val="00236F1B"/>
    <w:rsid w:val="002372EB"/>
    <w:rsid w:val="002373E6"/>
    <w:rsid w:val="002377D1"/>
    <w:rsid w:val="002378DE"/>
    <w:rsid w:val="0023797B"/>
    <w:rsid w:val="00240782"/>
    <w:rsid w:val="00241A14"/>
    <w:rsid w:val="00241D16"/>
    <w:rsid w:val="00241EF4"/>
    <w:rsid w:val="0024238C"/>
    <w:rsid w:val="00242F20"/>
    <w:rsid w:val="00243232"/>
    <w:rsid w:val="00243B30"/>
    <w:rsid w:val="00243B6F"/>
    <w:rsid w:val="00243E47"/>
    <w:rsid w:val="002445C7"/>
    <w:rsid w:val="00245337"/>
    <w:rsid w:val="0024598A"/>
    <w:rsid w:val="00245A3C"/>
    <w:rsid w:val="00245D40"/>
    <w:rsid w:val="00246015"/>
    <w:rsid w:val="0024690A"/>
    <w:rsid w:val="00246F7F"/>
    <w:rsid w:val="00247436"/>
    <w:rsid w:val="00247624"/>
    <w:rsid w:val="002476C8"/>
    <w:rsid w:val="00247B91"/>
    <w:rsid w:val="0025030F"/>
    <w:rsid w:val="002506BC"/>
    <w:rsid w:val="00251477"/>
    <w:rsid w:val="00251959"/>
    <w:rsid w:val="002519B8"/>
    <w:rsid w:val="00252173"/>
    <w:rsid w:val="00252278"/>
    <w:rsid w:val="0025298D"/>
    <w:rsid w:val="00252B03"/>
    <w:rsid w:val="00252C52"/>
    <w:rsid w:val="00252C74"/>
    <w:rsid w:val="00252D4E"/>
    <w:rsid w:val="002531F2"/>
    <w:rsid w:val="00253586"/>
    <w:rsid w:val="00253699"/>
    <w:rsid w:val="002536C5"/>
    <w:rsid w:val="00253AD6"/>
    <w:rsid w:val="00253F74"/>
    <w:rsid w:val="0025409F"/>
    <w:rsid w:val="00254310"/>
    <w:rsid w:val="00254326"/>
    <w:rsid w:val="00254345"/>
    <w:rsid w:val="0025445F"/>
    <w:rsid w:val="0025464D"/>
    <w:rsid w:val="00254F07"/>
    <w:rsid w:val="002551A5"/>
    <w:rsid w:val="0025531C"/>
    <w:rsid w:val="00255325"/>
    <w:rsid w:val="002554B6"/>
    <w:rsid w:val="0025555C"/>
    <w:rsid w:val="00255600"/>
    <w:rsid w:val="00255834"/>
    <w:rsid w:val="00255A56"/>
    <w:rsid w:val="00255AEC"/>
    <w:rsid w:val="00255B51"/>
    <w:rsid w:val="00256148"/>
    <w:rsid w:val="00256175"/>
    <w:rsid w:val="002564BB"/>
    <w:rsid w:val="00256AA4"/>
    <w:rsid w:val="00256B11"/>
    <w:rsid w:val="00256B94"/>
    <w:rsid w:val="0025740D"/>
    <w:rsid w:val="002574FF"/>
    <w:rsid w:val="00257FC1"/>
    <w:rsid w:val="00260B09"/>
    <w:rsid w:val="00260D16"/>
    <w:rsid w:val="00260DD2"/>
    <w:rsid w:val="0026108A"/>
    <w:rsid w:val="002616B9"/>
    <w:rsid w:val="002616FE"/>
    <w:rsid w:val="00261727"/>
    <w:rsid w:val="002618C3"/>
    <w:rsid w:val="00261B95"/>
    <w:rsid w:val="00261C81"/>
    <w:rsid w:val="00261E79"/>
    <w:rsid w:val="00262408"/>
    <w:rsid w:val="002627F3"/>
    <w:rsid w:val="00262A75"/>
    <w:rsid w:val="00262DB3"/>
    <w:rsid w:val="002636A6"/>
    <w:rsid w:val="0026417E"/>
    <w:rsid w:val="00264249"/>
    <w:rsid w:val="002642FE"/>
    <w:rsid w:val="00264557"/>
    <w:rsid w:val="00264F67"/>
    <w:rsid w:val="002652AB"/>
    <w:rsid w:val="00265CF8"/>
    <w:rsid w:val="0026602C"/>
    <w:rsid w:val="002663FB"/>
    <w:rsid w:val="0026662C"/>
    <w:rsid w:val="002669E2"/>
    <w:rsid w:val="00266A05"/>
    <w:rsid w:val="0026717A"/>
    <w:rsid w:val="002672BE"/>
    <w:rsid w:val="00267652"/>
    <w:rsid w:val="00267677"/>
    <w:rsid w:val="0026770A"/>
    <w:rsid w:val="002677C4"/>
    <w:rsid w:val="00267A04"/>
    <w:rsid w:val="00270210"/>
    <w:rsid w:val="002702B8"/>
    <w:rsid w:val="00270381"/>
    <w:rsid w:val="002705FB"/>
    <w:rsid w:val="0027100B"/>
    <w:rsid w:val="00271100"/>
    <w:rsid w:val="002711E6"/>
    <w:rsid w:val="0027123D"/>
    <w:rsid w:val="0027154E"/>
    <w:rsid w:val="00271875"/>
    <w:rsid w:val="0027233D"/>
    <w:rsid w:val="00272365"/>
    <w:rsid w:val="00272558"/>
    <w:rsid w:val="002725F8"/>
    <w:rsid w:val="002727AC"/>
    <w:rsid w:val="0027282C"/>
    <w:rsid w:val="00272C3F"/>
    <w:rsid w:val="00272C59"/>
    <w:rsid w:val="002736DE"/>
    <w:rsid w:val="0027402D"/>
    <w:rsid w:val="00274329"/>
    <w:rsid w:val="002743BD"/>
    <w:rsid w:val="002747F0"/>
    <w:rsid w:val="00275091"/>
    <w:rsid w:val="0027535E"/>
    <w:rsid w:val="00275373"/>
    <w:rsid w:val="0027555C"/>
    <w:rsid w:val="00275BB1"/>
    <w:rsid w:val="00275E37"/>
    <w:rsid w:val="00275FF9"/>
    <w:rsid w:val="00276075"/>
    <w:rsid w:val="00276165"/>
    <w:rsid w:val="00276689"/>
    <w:rsid w:val="00276758"/>
    <w:rsid w:val="00276E3A"/>
    <w:rsid w:val="00280044"/>
    <w:rsid w:val="002800EA"/>
    <w:rsid w:val="002802EB"/>
    <w:rsid w:val="00280325"/>
    <w:rsid w:val="002805AB"/>
    <w:rsid w:val="00280AF6"/>
    <w:rsid w:val="00281423"/>
    <w:rsid w:val="00281F21"/>
    <w:rsid w:val="002824D0"/>
    <w:rsid w:val="002825DC"/>
    <w:rsid w:val="00282F78"/>
    <w:rsid w:val="0028320E"/>
    <w:rsid w:val="00283903"/>
    <w:rsid w:val="00284204"/>
    <w:rsid w:val="002843B7"/>
    <w:rsid w:val="002843EC"/>
    <w:rsid w:val="00284595"/>
    <w:rsid w:val="002845FF"/>
    <w:rsid w:val="00284ADC"/>
    <w:rsid w:val="00284E08"/>
    <w:rsid w:val="00284F6C"/>
    <w:rsid w:val="0028562D"/>
    <w:rsid w:val="002861A9"/>
    <w:rsid w:val="0028638F"/>
    <w:rsid w:val="0028648D"/>
    <w:rsid w:val="002865DB"/>
    <w:rsid w:val="00286817"/>
    <w:rsid w:val="00286F6D"/>
    <w:rsid w:val="002871DE"/>
    <w:rsid w:val="002876C4"/>
    <w:rsid w:val="00287A70"/>
    <w:rsid w:val="0029041F"/>
    <w:rsid w:val="0029058B"/>
    <w:rsid w:val="0029135E"/>
    <w:rsid w:val="00291773"/>
    <w:rsid w:val="002918E5"/>
    <w:rsid w:val="00291A74"/>
    <w:rsid w:val="00291AAB"/>
    <w:rsid w:val="00291AE6"/>
    <w:rsid w:val="00292163"/>
    <w:rsid w:val="002926A1"/>
    <w:rsid w:val="00292776"/>
    <w:rsid w:val="00292D27"/>
    <w:rsid w:val="002933B1"/>
    <w:rsid w:val="002936DA"/>
    <w:rsid w:val="0029373C"/>
    <w:rsid w:val="00293CB4"/>
    <w:rsid w:val="00293D47"/>
    <w:rsid w:val="00293DB2"/>
    <w:rsid w:val="0029414B"/>
    <w:rsid w:val="0029416B"/>
    <w:rsid w:val="002944B5"/>
    <w:rsid w:val="00294890"/>
    <w:rsid w:val="00294B6D"/>
    <w:rsid w:val="002950FD"/>
    <w:rsid w:val="002956D0"/>
    <w:rsid w:val="00295932"/>
    <w:rsid w:val="00295A6D"/>
    <w:rsid w:val="00295C9D"/>
    <w:rsid w:val="00295C9F"/>
    <w:rsid w:val="00295D8C"/>
    <w:rsid w:val="0029655A"/>
    <w:rsid w:val="002968A6"/>
    <w:rsid w:val="002968A7"/>
    <w:rsid w:val="0029690F"/>
    <w:rsid w:val="00296BCA"/>
    <w:rsid w:val="00296CF6"/>
    <w:rsid w:val="00296EF5"/>
    <w:rsid w:val="002977F6"/>
    <w:rsid w:val="00297D75"/>
    <w:rsid w:val="002A001F"/>
    <w:rsid w:val="002A022C"/>
    <w:rsid w:val="002A0276"/>
    <w:rsid w:val="002A0412"/>
    <w:rsid w:val="002A1339"/>
    <w:rsid w:val="002A141D"/>
    <w:rsid w:val="002A1579"/>
    <w:rsid w:val="002A168C"/>
    <w:rsid w:val="002A18AA"/>
    <w:rsid w:val="002A2878"/>
    <w:rsid w:val="002A29DA"/>
    <w:rsid w:val="002A2AF5"/>
    <w:rsid w:val="002A2FC3"/>
    <w:rsid w:val="002A3019"/>
    <w:rsid w:val="002A3076"/>
    <w:rsid w:val="002A31CE"/>
    <w:rsid w:val="002A3264"/>
    <w:rsid w:val="002A34E8"/>
    <w:rsid w:val="002A37F5"/>
    <w:rsid w:val="002A3947"/>
    <w:rsid w:val="002A3DC7"/>
    <w:rsid w:val="002A407E"/>
    <w:rsid w:val="002A43CB"/>
    <w:rsid w:val="002A4868"/>
    <w:rsid w:val="002A4DF3"/>
    <w:rsid w:val="002A572D"/>
    <w:rsid w:val="002A5D6F"/>
    <w:rsid w:val="002A6219"/>
    <w:rsid w:val="002A6346"/>
    <w:rsid w:val="002A6759"/>
    <w:rsid w:val="002A67B6"/>
    <w:rsid w:val="002A6933"/>
    <w:rsid w:val="002A6A25"/>
    <w:rsid w:val="002A6B5C"/>
    <w:rsid w:val="002A6DD3"/>
    <w:rsid w:val="002A6E37"/>
    <w:rsid w:val="002A74D1"/>
    <w:rsid w:val="002A7B13"/>
    <w:rsid w:val="002A7C69"/>
    <w:rsid w:val="002A7CC5"/>
    <w:rsid w:val="002B10AC"/>
    <w:rsid w:val="002B10DC"/>
    <w:rsid w:val="002B14EA"/>
    <w:rsid w:val="002B16DE"/>
    <w:rsid w:val="002B18EC"/>
    <w:rsid w:val="002B2165"/>
    <w:rsid w:val="002B242D"/>
    <w:rsid w:val="002B3A29"/>
    <w:rsid w:val="002B3E5C"/>
    <w:rsid w:val="002B44F0"/>
    <w:rsid w:val="002B4520"/>
    <w:rsid w:val="002B456B"/>
    <w:rsid w:val="002B46FE"/>
    <w:rsid w:val="002B497C"/>
    <w:rsid w:val="002B49DB"/>
    <w:rsid w:val="002B49E2"/>
    <w:rsid w:val="002B4DD6"/>
    <w:rsid w:val="002B5623"/>
    <w:rsid w:val="002B5773"/>
    <w:rsid w:val="002B57D4"/>
    <w:rsid w:val="002B63A0"/>
    <w:rsid w:val="002B6551"/>
    <w:rsid w:val="002B6625"/>
    <w:rsid w:val="002B6E6E"/>
    <w:rsid w:val="002B702C"/>
    <w:rsid w:val="002B73A4"/>
    <w:rsid w:val="002B74D6"/>
    <w:rsid w:val="002B7B00"/>
    <w:rsid w:val="002B7C44"/>
    <w:rsid w:val="002B7E29"/>
    <w:rsid w:val="002C0074"/>
    <w:rsid w:val="002C036A"/>
    <w:rsid w:val="002C0DCD"/>
    <w:rsid w:val="002C1706"/>
    <w:rsid w:val="002C1A80"/>
    <w:rsid w:val="002C207F"/>
    <w:rsid w:val="002C20F3"/>
    <w:rsid w:val="002C213D"/>
    <w:rsid w:val="002C227B"/>
    <w:rsid w:val="002C23A6"/>
    <w:rsid w:val="002C23FF"/>
    <w:rsid w:val="002C27B4"/>
    <w:rsid w:val="002C287E"/>
    <w:rsid w:val="002C2B17"/>
    <w:rsid w:val="002C2DF9"/>
    <w:rsid w:val="002C2E94"/>
    <w:rsid w:val="002C2FA0"/>
    <w:rsid w:val="002C330D"/>
    <w:rsid w:val="002C33D8"/>
    <w:rsid w:val="002C3493"/>
    <w:rsid w:val="002C35E3"/>
    <w:rsid w:val="002C39A8"/>
    <w:rsid w:val="002C3B30"/>
    <w:rsid w:val="002C3C63"/>
    <w:rsid w:val="002C4119"/>
    <w:rsid w:val="002C41F2"/>
    <w:rsid w:val="002C4647"/>
    <w:rsid w:val="002C482D"/>
    <w:rsid w:val="002C498D"/>
    <w:rsid w:val="002C49CF"/>
    <w:rsid w:val="002C4A65"/>
    <w:rsid w:val="002C50BF"/>
    <w:rsid w:val="002C64AE"/>
    <w:rsid w:val="002C64F5"/>
    <w:rsid w:val="002C6906"/>
    <w:rsid w:val="002C6917"/>
    <w:rsid w:val="002C6BF4"/>
    <w:rsid w:val="002C6C94"/>
    <w:rsid w:val="002C73CB"/>
    <w:rsid w:val="002C7DAF"/>
    <w:rsid w:val="002D0115"/>
    <w:rsid w:val="002D1DAC"/>
    <w:rsid w:val="002D2749"/>
    <w:rsid w:val="002D28B0"/>
    <w:rsid w:val="002D2E8B"/>
    <w:rsid w:val="002D3093"/>
    <w:rsid w:val="002D3728"/>
    <w:rsid w:val="002D3B31"/>
    <w:rsid w:val="002D3CE0"/>
    <w:rsid w:val="002D3DD0"/>
    <w:rsid w:val="002D43B4"/>
    <w:rsid w:val="002D4481"/>
    <w:rsid w:val="002D469F"/>
    <w:rsid w:val="002D501C"/>
    <w:rsid w:val="002D5377"/>
    <w:rsid w:val="002D53E0"/>
    <w:rsid w:val="002D5879"/>
    <w:rsid w:val="002D5D6C"/>
    <w:rsid w:val="002D67C4"/>
    <w:rsid w:val="002D6B47"/>
    <w:rsid w:val="002D713F"/>
    <w:rsid w:val="002D7547"/>
    <w:rsid w:val="002D7A49"/>
    <w:rsid w:val="002D7BAC"/>
    <w:rsid w:val="002D7C40"/>
    <w:rsid w:val="002E046A"/>
    <w:rsid w:val="002E0635"/>
    <w:rsid w:val="002E06E6"/>
    <w:rsid w:val="002E0D48"/>
    <w:rsid w:val="002E11EB"/>
    <w:rsid w:val="002E15D1"/>
    <w:rsid w:val="002E1673"/>
    <w:rsid w:val="002E1716"/>
    <w:rsid w:val="002E1F3A"/>
    <w:rsid w:val="002E21CE"/>
    <w:rsid w:val="002E298A"/>
    <w:rsid w:val="002E2D81"/>
    <w:rsid w:val="002E3189"/>
    <w:rsid w:val="002E3A3C"/>
    <w:rsid w:val="002E3F01"/>
    <w:rsid w:val="002E40AF"/>
    <w:rsid w:val="002E44B2"/>
    <w:rsid w:val="002E4609"/>
    <w:rsid w:val="002E4A71"/>
    <w:rsid w:val="002E4CAF"/>
    <w:rsid w:val="002E5199"/>
    <w:rsid w:val="002E55DB"/>
    <w:rsid w:val="002E5803"/>
    <w:rsid w:val="002E5964"/>
    <w:rsid w:val="002E5AEC"/>
    <w:rsid w:val="002E6017"/>
    <w:rsid w:val="002E657F"/>
    <w:rsid w:val="002E7419"/>
    <w:rsid w:val="002E7842"/>
    <w:rsid w:val="002E7E10"/>
    <w:rsid w:val="002F0138"/>
    <w:rsid w:val="002F0266"/>
    <w:rsid w:val="002F05F0"/>
    <w:rsid w:val="002F077E"/>
    <w:rsid w:val="002F089D"/>
    <w:rsid w:val="002F097C"/>
    <w:rsid w:val="002F0C21"/>
    <w:rsid w:val="002F102A"/>
    <w:rsid w:val="002F1331"/>
    <w:rsid w:val="002F1473"/>
    <w:rsid w:val="002F190C"/>
    <w:rsid w:val="002F19D8"/>
    <w:rsid w:val="002F1B0A"/>
    <w:rsid w:val="002F1BD4"/>
    <w:rsid w:val="002F1DB5"/>
    <w:rsid w:val="002F2535"/>
    <w:rsid w:val="002F2920"/>
    <w:rsid w:val="002F29F0"/>
    <w:rsid w:val="002F2D02"/>
    <w:rsid w:val="002F3036"/>
    <w:rsid w:val="002F304F"/>
    <w:rsid w:val="002F3127"/>
    <w:rsid w:val="002F39A2"/>
    <w:rsid w:val="002F4044"/>
    <w:rsid w:val="002F46C5"/>
    <w:rsid w:val="002F47CC"/>
    <w:rsid w:val="002F5535"/>
    <w:rsid w:val="002F55C4"/>
    <w:rsid w:val="002F5A38"/>
    <w:rsid w:val="002F5A66"/>
    <w:rsid w:val="002F5BD6"/>
    <w:rsid w:val="002F5C77"/>
    <w:rsid w:val="002F611E"/>
    <w:rsid w:val="002F6133"/>
    <w:rsid w:val="002F61ED"/>
    <w:rsid w:val="002F6282"/>
    <w:rsid w:val="002F6407"/>
    <w:rsid w:val="002F6750"/>
    <w:rsid w:val="002F67E8"/>
    <w:rsid w:val="002F67EB"/>
    <w:rsid w:val="002F6BB0"/>
    <w:rsid w:val="002F6CFD"/>
    <w:rsid w:val="002F7034"/>
    <w:rsid w:val="002F728F"/>
    <w:rsid w:val="002F7F98"/>
    <w:rsid w:val="0030063A"/>
    <w:rsid w:val="00300A1F"/>
    <w:rsid w:val="00300BB7"/>
    <w:rsid w:val="00301702"/>
    <w:rsid w:val="0030172C"/>
    <w:rsid w:val="0030186A"/>
    <w:rsid w:val="00301978"/>
    <w:rsid w:val="00302002"/>
    <w:rsid w:val="0030248C"/>
    <w:rsid w:val="00302898"/>
    <w:rsid w:val="00302BCA"/>
    <w:rsid w:val="00302CBF"/>
    <w:rsid w:val="00302DAE"/>
    <w:rsid w:val="00302F11"/>
    <w:rsid w:val="003032EB"/>
    <w:rsid w:val="0030332C"/>
    <w:rsid w:val="003034B1"/>
    <w:rsid w:val="003036F8"/>
    <w:rsid w:val="003041FD"/>
    <w:rsid w:val="003042EF"/>
    <w:rsid w:val="003051C2"/>
    <w:rsid w:val="0030544F"/>
    <w:rsid w:val="003055BC"/>
    <w:rsid w:val="00305735"/>
    <w:rsid w:val="00305B00"/>
    <w:rsid w:val="003060CC"/>
    <w:rsid w:val="00306125"/>
    <w:rsid w:val="003062E6"/>
    <w:rsid w:val="00306A47"/>
    <w:rsid w:val="0030706B"/>
    <w:rsid w:val="00307C91"/>
    <w:rsid w:val="00307F85"/>
    <w:rsid w:val="0031054C"/>
    <w:rsid w:val="003105D3"/>
    <w:rsid w:val="0031098C"/>
    <w:rsid w:val="00310C27"/>
    <w:rsid w:val="00310C7E"/>
    <w:rsid w:val="00310D46"/>
    <w:rsid w:val="0031128D"/>
    <w:rsid w:val="00312296"/>
    <w:rsid w:val="003123AF"/>
    <w:rsid w:val="003123BF"/>
    <w:rsid w:val="003125BD"/>
    <w:rsid w:val="00312991"/>
    <w:rsid w:val="00312D4B"/>
    <w:rsid w:val="00312D62"/>
    <w:rsid w:val="003130C6"/>
    <w:rsid w:val="0031313D"/>
    <w:rsid w:val="0031332E"/>
    <w:rsid w:val="0031384A"/>
    <w:rsid w:val="00313A4B"/>
    <w:rsid w:val="00313AD4"/>
    <w:rsid w:val="00313C23"/>
    <w:rsid w:val="00313C3E"/>
    <w:rsid w:val="00313EA8"/>
    <w:rsid w:val="00314456"/>
    <w:rsid w:val="0031475A"/>
    <w:rsid w:val="00314ED9"/>
    <w:rsid w:val="00314F0E"/>
    <w:rsid w:val="003152F4"/>
    <w:rsid w:val="00315A3F"/>
    <w:rsid w:val="00315C14"/>
    <w:rsid w:val="00315E86"/>
    <w:rsid w:val="00315F5A"/>
    <w:rsid w:val="003163A7"/>
    <w:rsid w:val="0031661F"/>
    <w:rsid w:val="00316B32"/>
    <w:rsid w:val="00316C36"/>
    <w:rsid w:val="00316F82"/>
    <w:rsid w:val="00317159"/>
    <w:rsid w:val="00317A8F"/>
    <w:rsid w:val="00317F03"/>
    <w:rsid w:val="0032006F"/>
    <w:rsid w:val="0032024C"/>
    <w:rsid w:val="0032057F"/>
    <w:rsid w:val="00320E2B"/>
    <w:rsid w:val="00320E6B"/>
    <w:rsid w:val="00320ECD"/>
    <w:rsid w:val="0032113A"/>
    <w:rsid w:val="003216BA"/>
    <w:rsid w:val="00321BA1"/>
    <w:rsid w:val="00321D8E"/>
    <w:rsid w:val="00322382"/>
    <w:rsid w:val="00322733"/>
    <w:rsid w:val="00322B7A"/>
    <w:rsid w:val="00322DE0"/>
    <w:rsid w:val="0032385A"/>
    <w:rsid w:val="00323A79"/>
    <w:rsid w:val="00323C11"/>
    <w:rsid w:val="00323CAF"/>
    <w:rsid w:val="003243F4"/>
    <w:rsid w:val="00324DEC"/>
    <w:rsid w:val="00324E24"/>
    <w:rsid w:val="00325857"/>
    <w:rsid w:val="00325928"/>
    <w:rsid w:val="00325C7F"/>
    <w:rsid w:val="00325EBD"/>
    <w:rsid w:val="00325F15"/>
    <w:rsid w:val="00326477"/>
    <w:rsid w:val="00326DE7"/>
    <w:rsid w:val="0032793E"/>
    <w:rsid w:val="0032795D"/>
    <w:rsid w:val="00327A13"/>
    <w:rsid w:val="00327FB1"/>
    <w:rsid w:val="003300DB"/>
    <w:rsid w:val="00330232"/>
    <w:rsid w:val="00330C13"/>
    <w:rsid w:val="00330CC5"/>
    <w:rsid w:val="003311E9"/>
    <w:rsid w:val="00331287"/>
    <w:rsid w:val="0033199A"/>
    <w:rsid w:val="00331A99"/>
    <w:rsid w:val="003321C2"/>
    <w:rsid w:val="00332762"/>
    <w:rsid w:val="00332863"/>
    <w:rsid w:val="00332DED"/>
    <w:rsid w:val="003331CA"/>
    <w:rsid w:val="003333DE"/>
    <w:rsid w:val="003335B4"/>
    <w:rsid w:val="0033377E"/>
    <w:rsid w:val="003337B9"/>
    <w:rsid w:val="0033391A"/>
    <w:rsid w:val="00333AD4"/>
    <w:rsid w:val="00334660"/>
    <w:rsid w:val="00334987"/>
    <w:rsid w:val="00334EC6"/>
    <w:rsid w:val="00334FBF"/>
    <w:rsid w:val="0033508E"/>
    <w:rsid w:val="00335167"/>
    <w:rsid w:val="003356F4"/>
    <w:rsid w:val="003357A9"/>
    <w:rsid w:val="00335984"/>
    <w:rsid w:val="00335AED"/>
    <w:rsid w:val="00335E13"/>
    <w:rsid w:val="003361EE"/>
    <w:rsid w:val="0033684D"/>
    <w:rsid w:val="00336E86"/>
    <w:rsid w:val="00336ED7"/>
    <w:rsid w:val="00337582"/>
    <w:rsid w:val="0033796D"/>
    <w:rsid w:val="00337B42"/>
    <w:rsid w:val="00337CA4"/>
    <w:rsid w:val="00337CD1"/>
    <w:rsid w:val="003403D5"/>
    <w:rsid w:val="00340658"/>
    <w:rsid w:val="0034092F"/>
    <w:rsid w:val="0034105A"/>
    <w:rsid w:val="00341257"/>
    <w:rsid w:val="00341367"/>
    <w:rsid w:val="00341B42"/>
    <w:rsid w:val="00341CFB"/>
    <w:rsid w:val="003421E4"/>
    <w:rsid w:val="003427FA"/>
    <w:rsid w:val="003431D6"/>
    <w:rsid w:val="003433CC"/>
    <w:rsid w:val="003433F4"/>
    <w:rsid w:val="0034348F"/>
    <w:rsid w:val="00343A23"/>
    <w:rsid w:val="00343B90"/>
    <w:rsid w:val="00343DD9"/>
    <w:rsid w:val="00344F04"/>
    <w:rsid w:val="003450A4"/>
    <w:rsid w:val="003453E4"/>
    <w:rsid w:val="003458EB"/>
    <w:rsid w:val="00345CD4"/>
    <w:rsid w:val="00346590"/>
    <w:rsid w:val="003467D1"/>
    <w:rsid w:val="0034686E"/>
    <w:rsid w:val="00346899"/>
    <w:rsid w:val="00346F7E"/>
    <w:rsid w:val="0035035C"/>
    <w:rsid w:val="0035093B"/>
    <w:rsid w:val="00350BE7"/>
    <w:rsid w:val="00350EEC"/>
    <w:rsid w:val="00350FB3"/>
    <w:rsid w:val="003511A5"/>
    <w:rsid w:val="00351666"/>
    <w:rsid w:val="00351781"/>
    <w:rsid w:val="00351F7F"/>
    <w:rsid w:val="0035234E"/>
    <w:rsid w:val="00352FB7"/>
    <w:rsid w:val="00352FE2"/>
    <w:rsid w:val="00353080"/>
    <w:rsid w:val="003531E5"/>
    <w:rsid w:val="003532FE"/>
    <w:rsid w:val="00353985"/>
    <w:rsid w:val="00353D4A"/>
    <w:rsid w:val="003541EB"/>
    <w:rsid w:val="003542BF"/>
    <w:rsid w:val="0035461E"/>
    <w:rsid w:val="003547B4"/>
    <w:rsid w:val="00354899"/>
    <w:rsid w:val="00354F12"/>
    <w:rsid w:val="00355027"/>
    <w:rsid w:val="0035536A"/>
    <w:rsid w:val="003555C3"/>
    <w:rsid w:val="003555D5"/>
    <w:rsid w:val="00355C13"/>
    <w:rsid w:val="00356195"/>
    <w:rsid w:val="00356653"/>
    <w:rsid w:val="00356B36"/>
    <w:rsid w:val="0035743F"/>
    <w:rsid w:val="00357660"/>
    <w:rsid w:val="00357BE2"/>
    <w:rsid w:val="00357CE3"/>
    <w:rsid w:val="00357F41"/>
    <w:rsid w:val="003601EE"/>
    <w:rsid w:val="003602E9"/>
    <w:rsid w:val="0036061F"/>
    <w:rsid w:val="00360B05"/>
    <w:rsid w:val="00360C69"/>
    <w:rsid w:val="00360CF2"/>
    <w:rsid w:val="003615C3"/>
    <w:rsid w:val="0036170C"/>
    <w:rsid w:val="003618E0"/>
    <w:rsid w:val="00361E8E"/>
    <w:rsid w:val="0036205C"/>
    <w:rsid w:val="0036226F"/>
    <w:rsid w:val="00362340"/>
    <w:rsid w:val="00362A71"/>
    <w:rsid w:val="00362FFD"/>
    <w:rsid w:val="00363461"/>
    <w:rsid w:val="00363660"/>
    <w:rsid w:val="00363718"/>
    <w:rsid w:val="003637E8"/>
    <w:rsid w:val="00363993"/>
    <w:rsid w:val="00364157"/>
    <w:rsid w:val="0036448E"/>
    <w:rsid w:val="003645AA"/>
    <w:rsid w:val="003646C2"/>
    <w:rsid w:val="00364F50"/>
    <w:rsid w:val="0036549F"/>
    <w:rsid w:val="00365767"/>
    <w:rsid w:val="0036581F"/>
    <w:rsid w:val="00365901"/>
    <w:rsid w:val="00365D94"/>
    <w:rsid w:val="003661E0"/>
    <w:rsid w:val="00366201"/>
    <w:rsid w:val="00366304"/>
    <w:rsid w:val="0036699C"/>
    <w:rsid w:val="00366E0F"/>
    <w:rsid w:val="00367290"/>
    <w:rsid w:val="003677CA"/>
    <w:rsid w:val="00367867"/>
    <w:rsid w:val="0036794F"/>
    <w:rsid w:val="00367D47"/>
    <w:rsid w:val="003701DD"/>
    <w:rsid w:val="003701E4"/>
    <w:rsid w:val="00370667"/>
    <w:rsid w:val="0037072B"/>
    <w:rsid w:val="00370BA0"/>
    <w:rsid w:val="00370DEE"/>
    <w:rsid w:val="00371241"/>
    <w:rsid w:val="00371564"/>
    <w:rsid w:val="003715B7"/>
    <w:rsid w:val="0037194D"/>
    <w:rsid w:val="00371BFA"/>
    <w:rsid w:val="00371C79"/>
    <w:rsid w:val="00371F1D"/>
    <w:rsid w:val="003720A0"/>
    <w:rsid w:val="00372457"/>
    <w:rsid w:val="003727F4"/>
    <w:rsid w:val="003729EF"/>
    <w:rsid w:val="00372CE5"/>
    <w:rsid w:val="00373011"/>
    <w:rsid w:val="003739C8"/>
    <w:rsid w:val="00373BE4"/>
    <w:rsid w:val="00373D85"/>
    <w:rsid w:val="00373EA9"/>
    <w:rsid w:val="00374090"/>
    <w:rsid w:val="0037442E"/>
    <w:rsid w:val="003747B4"/>
    <w:rsid w:val="00374BF3"/>
    <w:rsid w:val="00374D21"/>
    <w:rsid w:val="00374D6E"/>
    <w:rsid w:val="00374DEB"/>
    <w:rsid w:val="00374F41"/>
    <w:rsid w:val="00375B1E"/>
    <w:rsid w:val="00375B33"/>
    <w:rsid w:val="00375D91"/>
    <w:rsid w:val="0037665B"/>
    <w:rsid w:val="0037668C"/>
    <w:rsid w:val="00376F82"/>
    <w:rsid w:val="003772FC"/>
    <w:rsid w:val="0037751B"/>
    <w:rsid w:val="003777E9"/>
    <w:rsid w:val="00377D48"/>
    <w:rsid w:val="00377E3C"/>
    <w:rsid w:val="00377F53"/>
    <w:rsid w:val="003800F4"/>
    <w:rsid w:val="0038026E"/>
    <w:rsid w:val="00380A94"/>
    <w:rsid w:val="00380C5C"/>
    <w:rsid w:val="00380CC4"/>
    <w:rsid w:val="00381426"/>
    <w:rsid w:val="003818B1"/>
    <w:rsid w:val="00381A72"/>
    <w:rsid w:val="00381E6F"/>
    <w:rsid w:val="00382122"/>
    <w:rsid w:val="00382942"/>
    <w:rsid w:val="00382DCA"/>
    <w:rsid w:val="00383239"/>
    <w:rsid w:val="003835E4"/>
    <w:rsid w:val="0038403F"/>
    <w:rsid w:val="003845D8"/>
    <w:rsid w:val="00384676"/>
    <w:rsid w:val="00384789"/>
    <w:rsid w:val="00384944"/>
    <w:rsid w:val="00384B6C"/>
    <w:rsid w:val="003853CA"/>
    <w:rsid w:val="003856E0"/>
    <w:rsid w:val="003857D3"/>
    <w:rsid w:val="00386397"/>
    <w:rsid w:val="00386752"/>
    <w:rsid w:val="00386AB1"/>
    <w:rsid w:val="00386AD7"/>
    <w:rsid w:val="00386F26"/>
    <w:rsid w:val="0038709E"/>
    <w:rsid w:val="003877F4"/>
    <w:rsid w:val="00390829"/>
    <w:rsid w:val="00390857"/>
    <w:rsid w:val="00390DCE"/>
    <w:rsid w:val="00390DDD"/>
    <w:rsid w:val="003914E8"/>
    <w:rsid w:val="003917C1"/>
    <w:rsid w:val="00391B32"/>
    <w:rsid w:val="00391BBB"/>
    <w:rsid w:val="00391C1D"/>
    <w:rsid w:val="00391F29"/>
    <w:rsid w:val="003928F3"/>
    <w:rsid w:val="00392AC9"/>
    <w:rsid w:val="00392DF8"/>
    <w:rsid w:val="00392E6F"/>
    <w:rsid w:val="00393312"/>
    <w:rsid w:val="00393CFF"/>
    <w:rsid w:val="0039435E"/>
    <w:rsid w:val="003948FA"/>
    <w:rsid w:val="00394B3E"/>
    <w:rsid w:val="00394C66"/>
    <w:rsid w:val="003953EF"/>
    <w:rsid w:val="0039544D"/>
    <w:rsid w:val="00395783"/>
    <w:rsid w:val="00395B05"/>
    <w:rsid w:val="00395B4A"/>
    <w:rsid w:val="00395D48"/>
    <w:rsid w:val="00396636"/>
    <w:rsid w:val="00396E05"/>
    <w:rsid w:val="0039707B"/>
    <w:rsid w:val="00397284"/>
    <w:rsid w:val="0039735D"/>
    <w:rsid w:val="00397E80"/>
    <w:rsid w:val="003A0A56"/>
    <w:rsid w:val="003A1454"/>
    <w:rsid w:val="003A154F"/>
    <w:rsid w:val="003A162D"/>
    <w:rsid w:val="003A16F3"/>
    <w:rsid w:val="003A1C15"/>
    <w:rsid w:val="003A2065"/>
    <w:rsid w:val="003A209C"/>
    <w:rsid w:val="003A2353"/>
    <w:rsid w:val="003A2890"/>
    <w:rsid w:val="003A2EFA"/>
    <w:rsid w:val="003A3125"/>
    <w:rsid w:val="003A3A11"/>
    <w:rsid w:val="003A3D4E"/>
    <w:rsid w:val="003A4347"/>
    <w:rsid w:val="003A4A83"/>
    <w:rsid w:val="003A4B7B"/>
    <w:rsid w:val="003A4BF3"/>
    <w:rsid w:val="003A4E29"/>
    <w:rsid w:val="003A5028"/>
    <w:rsid w:val="003A541C"/>
    <w:rsid w:val="003A576D"/>
    <w:rsid w:val="003A5B87"/>
    <w:rsid w:val="003A5F4D"/>
    <w:rsid w:val="003A6234"/>
    <w:rsid w:val="003A62D5"/>
    <w:rsid w:val="003A6399"/>
    <w:rsid w:val="003A6586"/>
    <w:rsid w:val="003A6EA4"/>
    <w:rsid w:val="003A729F"/>
    <w:rsid w:val="003B015B"/>
    <w:rsid w:val="003B02BC"/>
    <w:rsid w:val="003B041C"/>
    <w:rsid w:val="003B08CD"/>
    <w:rsid w:val="003B0AE3"/>
    <w:rsid w:val="003B0D32"/>
    <w:rsid w:val="003B0DB4"/>
    <w:rsid w:val="003B111E"/>
    <w:rsid w:val="003B14E8"/>
    <w:rsid w:val="003B1542"/>
    <w:rsid w:val="003B1740"/>
    <w:rsid w:val="003B1B91"/>
    <w:rsid w:val="003B1B9A"/>
    <w:rsid w:val="003B249B"/>
    <w:rsid w:val="003B2580"/>
    <w:rsid w:val="003B2B85"/>
    <w:rsid w:val="003B33C9"/>
    <w:rsid w:val="003B37D5"/>
    <w:rsid w:val="003B3948"/>
    <w:rsid w:val="003B39CE"/>
    <w:rsid w:val="003B3DA3"/>
    <w:rsid w:val="003B420D"/>
    <w:rsid w:val="003B4457"/>
    <w:rsid w:val="003B452B"/>
    <w:rsid w:val="003B46E6"/>
    <w:rsid w:val="003B4A5E"/>
    <w:rsid w:val="003B4DAB"/>
    <w:rsid w:val="003B4DDB"/>
    <w:rsid w:val="003B4E6A"/>
    <w:rsid w:val="003B5466"/>
    <w:rsid w:val="003B5E08"/>
    <w:rsid w:val="003B6AF4"/>
    <w:rsid w:val="003B711B"/>
    <w:rsid w:val="003B7144"/>
    <w:rsid w:val="003B7279"/>
    <w:rsid w:val="003C091D"/>
    <w:rsid w:val="003C09D9"/>
    <w:rsid w:val="003C0EBD"/>
    <w:rsid w:val="003C103E"/>
    <w:rsid w:val="003C133E"/>
    <w:rsid w:val="003C13F3"/>
    <w:rsid w:val="003C18E1"/>
    <w:rsid w:val="003C1975"/>
    <w:rsid w:val="003C1AAD"/>
    <w:rsid w:val="003C1BAB"/>
    <w:rsid w:val="003C325E"/>
    <w:rsid w:val="003C3B3A"/>
    <w:rsid w:val="003C3C94"/>
    <w:rsid w:val="003C3D88"/>
    <w:rsid w:val="003C3F00"/>
    <w:rsid w:val="003C42D3"/>
    <w:rsid w:val="003C447D"/>
    <w:rsid w:val="003C452D"/>
    <w:rsid w:val="003C50C4"/>
    <w:rsid w:val="003C55EB"/>
    <w:rsid w:val="003C572A"/>
    <w:rsid w:val="003C58A5"/>
    <w:rsid w:val="003C5D15"/>
    <w:rsid w:val="003C6375"/>
    <w:rsid w:val="003C6C10"/>
    <w:rsid w:val="003C6C16"/>
    <w:rsid w:val="003C6EF6"/>
    <w:rsid w:val="003C7592"/>
    <w:rsid w:val="003C75E5"/>
    <w:rsid w:val="003C78B3"/>
    <w:rsid w:val="003D01F7"/>
    <w:rsid w:val="003D0460"/>
    <w:rsid w:val="003D0573"/>
    <w:rsid w:val="003D07E4"/>
    <w:rsid w:val="003D096D"/>
    <w:rsid w:val="003D0B0C"/>
    <w:rsid w:val="003D1129"/>
    <w:rsid w:val="003D17EA"/>
    <w:rsid w:val="003D1F83"/>
    <w:rsid w:val="003D24F9"/>
    <w:rsid w:val="003D25A9"/>
    <w:rsid w:val="003D34AA"/>
    <w:rsid w:val="003D35C6"/>
    <w:rsid w:val="003D3C46"/>
    <w:rsid w:val="003D3D1F"/>
    <w:rsid w:val="003D3D40"/>
    <w:rsid w:val="003D40E7"/>
    <w:rsid w:val="003D4308"/>
    <w:rsid w:val="003D4A82"/>
    <w:rsid w:val="003D4F21"/>
    <w:rsid w:val="003D5322"/>
    <w:rsid w:val="003D5831"/>
    <w:rsid w:val="003D5855"/>
    <w:rsid w:val="003D6053"/>
    <w:rsid w:val="003D621E"/>
    <w:rsid w:val="003D676E"/>
    <w:rsid w:val="003D67D0"/>
    <w:rsid w:val="003D6994"/>
    <w:rsid w:val="003D6A35"/>
    <w:rsid w:val="003D6AC4"/>
    <w:rsid w:val="003D6DC0"/>
    <w:rsid w:val="003D6E99"/>
    <w:rsid w:val="003D7342"/>
    <w:rsid w:val="003D75F1"/>
    <w:rsid w:val="003D7805"/>
    <w:rsid w:val="003D794D"/>
    <w:rsid w:val="003D7B16"/>
    <w:rsid w:val="003D7B8B"/>
    <w:rsid w:val="003D7C5B"/>
    <w:rsid w:val="003E04EC"/>
    <w:rsid w:val="003E0609"/>
    <w:rsid w:val="003E07D6"/>
    <w:rsid w:val="003E0854"/>
    <w:rsid w:val="003E0A0C"/>
    <w:rsid w:val="003E0A83"/>
    <w:rsid w:val="003E0FB2"/>
    <w:rsid w:val="003E142E"/>
    <w:rsid w:val="003E1E6A"/>
    <w:rsid w:val="003E1F21"/>
    <w:rsid w:val="003E23BB"/>
    <w:rsid w:val="003E2519"/>
    <w:rsid w:val="003E2776"/>
    <w:rsid w:val="003E2902"/>
    <w:rsid w:val="003E2DC7"/>
    <w:rsid w:val="003E2E1F"/>
    <w:rsid w:val="003E2F11"/>
    <w:rsid w:val="003E3058"/>
    <w:rsid w:val="003E35E3"/>
    <w:rsid w:val="003E4009"/>
    <w:rsid w:val="003E4AF4"/>
    <w:rsid w:val="003E4B06"/>
    <w:rsid w:val="003E4BDA"/>
    <w:rsid w:val="003E4E10"/>
    <w:rsid w:val="003E589F"/>
    <w:rsid w:val="003E5AEF"/>
    <w:rsid w:val="003E5B83"/>
    <w:rsid w:val="003E5D4D"/>
    <w:rsid w:val="003E6216"/>
    <w:rsid w:val="003E62EA"/>
    <w:rsid w:val="003E6770"/>
    <w:rsid w:val="003E691A"/>
    <w:rsid w:val="003E6E8A"/>
    <w:rsid w:val="003E6ECD"/>
    <w:rsid w:val="003E76A9"/>
    <w:rsid w:val="003E76D9"/>
    <w:rsid w:val="003E78E5"/>
    <w:rsid w:val="003E7906"/>
    <w:rsid w:val="003E790F"/>
    <w:rsid w:val="003E7E75"/>
    <w:rsid w:val="003F0809"/>
    <w:rsid w:val="003F12CD"/>
    <w:rsid w:val="003F15D9"/>
    <w:rsid w:val="003F2107"/>
    <w:rsid w:val="003F27FF"/>
    <w:rsid w:val="003F2B73"/>
    <w:rsid w:val="003F2D9D"/>
    <w:rsid w:val="003F2DAA"/>
    <w:rsid w:val="003F4031"/>
    <w:rsid w:val="003F4D8D"/>
    <w:rsid w:val="003F52AE"/>
    <w:rsid w:val="003F5532"/>
    <w:rsid w:val="003F576B"/>
    <w:rsid w:val="003F5BC3"/>
    <w:rsid w:val="003F5D9F"/>
    <w:rsid w:val="003F5EBF"/>
    <w:rsid w:val="003F6A8C"/>
    <w:rsid w:val="003F6AA1"/>
    <w:rsid w:val="003F6B41"/>
    <w:rsid w:val="003F6EE5"/>
    <w:rsid w:val="003F6EF4"/>
    <w:rsid w:val="003F70C9"/>
    <w:rsid w:val="003F735F"/>
    <w:rsid w:val="003F7382"/>
    <w:rsid w:val="003F749C"/>
    <w:rsid w:val="003F7554"/>
    <w:rsid w:val="003F755C"/>
    <w:rsid w:val="00400146"/>
    <w:rsid w:val="004004FF"/>
    <w:rsid w:val="0040062A"/>
    <w:rsid w:val="004006EE"/>
    <w:rsid w:val="0040070F"/>
    <w:rsid w:val="00400840"/>
    <w:rsid w:val="00400FA1"/>
    <w:rsid w:val="00401111"/>
    <w:rsid w:val="00401471"/>
    <w:rsid w:val="00401ABF"/>
    <w:rsid w:val="00401F24"/>
    <w:rsid w:val="004020CA"/>
    <w:rsid w:val="004021C7"/>
    <w:rsid w:val="0040226D"/>
    <w:rsid w:val="004022E0"/>
    <w:rsid w:val="00402E59"/>
    <w:rsid w:val="00402FBD"/>
    <w:rsid w:val="00403110"/>
    <w:rsid w:val="00403943"/>
    <w:rsid w:val="004039F8"/>
    <w:rsid w:val="00405472"/>
    <w:rsid w:val="00405588"/>
    <w:rsid w:val="00405CF7"/>
    <w:rsid w:val="00405DB4"/>
    <w:rsid w:val="004064A5"/>
    <w:rsid w:val="004068D3"/>
    <w:rsid w:val="00406A04"/>
    <w:rsid w:val="00406F01"/>
    <w:rsid w:val="0040714B"/>
    <w:rsid w:val="00407AE8"/>
    <w:rsid w:val="00407C23"/>
    <w:rsid w:val="00407C51"/>
    <w:rsid w:val="004102C6"/>
    <w:rsid w:val="00410808"/>
    <w:rsid w:val="0041092F"/>
    <w:rsid w:val="00410F1D"/>
    <w:rsid w:val="0041117A"/>
    <w:rsid w:val="0041121F"/>
    <w:rsid w:val="00411389"/>
    <w:rsid w:val="0041149E"/>
    <w:rsid w:val="00411D20"/>
    <w:rsid w:val="00412CF5"/>
    <w:rsid w:val="00412DFD"/>
    <w:rsid w:val="00412EBF"/>
    <w:rsid w:val="004131D2"/>
    <w:rsid w:val="004136CF"/>
    <w:rsid w:val="0041396A"/>
    <w:rsid w:val="00413D85"/>
    <w:rsid w:val="0041418F"/>
    <w:rsid w:val="00414A5A"/>
    <w:rsid w:val="00414C6D"/>
    <w:rsid w:val="00414DE9"/>
    <w:rsid w:val="00414FE4"/>
    <w:rsid w:val="00415117"/>
    <w:rsid w:val="00415377"/>
    <w:rsid w:val="0041539F"/>
    <w:rsid w:val="004153AF"/>
    <w:rsid w:val="004157E5"/>
    <w:rsid w:val="0041593F"/>
    <w:rsid w:val="00416503"/>
    <w:rsid w:val="00416550"/>
    <w:rsid w:val="0041683B"/>
    <w:rsid w:val="004169D0"/>
    <w:rsid w:val="00416D50"/>
    <w:rsid w:val="00416DBD"/>
    <w:rsid w:val="00416EF2"/>
    <w:rsid w:val="00416FD5"/>
    <w:rsid w:val="00417772"/>
    <w:rsid w:val="00417877"/>
    <w:rsid w:val="00417E64"/>
    <w:rsid w:val="004203B2"/>
    <w:rsid w:val="00420606"/>
    <w:rsid w:val="00420983"/>
    <w:rsid w:val="004209C6"/>
    <w:rsid w:val="00420C6B"/>
    <w:rsid w:val="00420C96"/>
    <w:rsid w:val="00420D0C"/>
    <w:rsid w:val="00420E6A"/>
    <w:rsid w:val="00421253"/>
    <w:rsid w:val="0042177B"/>
    <w:rsid w:val="00421D17"/>
    <w:rsid w:val="00422118"/>
    <w:rsid w:val="004225B6"/>
    <w:rsid w:val="00422BBB"/>
    <w:rsid w:val="00422ECF"/>
    <w:rsid w:val="004232AA"/>
    <w:rsid w:val="0042338F"/>
    <w:rsid w:val="00423707"/>
    <w:rsid w:val="004238FB"/>
    <w:rsid w:val="00423A0E"/>
    <w:rsid w:val="004240EF"/>
    <w:rsid w:val="0042462D"/>
    <w:rsid w:val="00424A06"/>
    <w:rsid w:val="00424A38"/>
    <w:rsid w:val="00424A3F"/>
    <w:rsid w:val="00425A9E"/>
    <w:rsid w:val="00426558"/>
    <w:rsid w:val="00426CDB"/>
    <w:rsid w:val="00426D6B"/>
    <w:rsid w:val="00426F4E"/>
    <w:rsid w:val="00426F77"/>
    <w:rsid w:val="004276A7"/>
    <w:rsid w:val="004276F9"/>
    <w:rsid w:val="004279BE"/>
    <w:rsid w:val="00427AF3"/>
    <w:rsid w:val="00427B1A"/>
    <w:rsid w:val="00427F73"/>
    <w:rsid w:val="00430026"/>
    <w:rsid w:val="0043021C"/>
    <w:rsid w:val="004303C0"/>
    <w:rsid w:val="00430465"/>
    <w:rsid w:val="00430B56"/>
    <w:rsid w:val="00430FE9"/>
    <w:rsid w:val="00431A2E"/>
    <w:rsid w:val="00431E6C"/>
    <w:rsid w:val="00431FDB"/>
    <w:rsid w:val="00432304"/>
    <w:rsid w:val="0043294C"/>
    <w:rsid w:val="00432A34"/>
    <w:rsid w:val="00432F80"/>
    <w:rsid w:val="0043341D"/>
    <w:rsid w:val="00433A93"/>
    <w:rsid w:val="00433C24"/>
    <w:rsid w:val="00433C4A"/>
    <w:rsid w:val="00433CE7"/>
    <w:rsid w:val="00433E60"/>
    <w:rsid w:val="004340FF"/>
    <w:rsid w:val="0043429B"/>
    <w:rsid w:val="004343EF"/>
    <w:rsid w:val="004344D5"/>
    <w:rsid w:val="00435181"/>
    <w:rsid w:val="0043562D"/>
    <w:rsid w:val="004358DF"/>
    <w:rsid w:val="004365A6"/>
    <w:rsid w:val="00436A46"/>
    <w:rsid w:val="00436F95"/>
    <w:rsid w:val="004371F1"/>
    <w:rsid w:val="0043779F"/>
    <w:rsid w:val="0043784C"/>
    <w:rsid w:val="004378B7"/>
    <w:rsid w:val="00437D9E"/>
    <w:rsid w:val="00440632"/>
    <w:rsid w:val="00440937"/>
    <w:rsid w:val="00440AA7"/>
    <w:rsid w:val="004412CF"/>
    <w:rsid w:val="004414A2"/>
    <w:rsid w:val="004416B9"/>
    <w:rsid w:val="0044268E"/>
    <w:rsid w:val="0044292D"/>
    <w:rsid w:val="004429D0"/>
    <w:rsid w:val="00442BCB"/>
    <w:rsid w:val="00442D31"/>
    <w:rsid w:val="004432FA"/>
    <w:rsid w:val="00443634"/>
    <w:rsid w:val="00443843"/>
    <w:rsid w:val="00443B87"/>
    <w:rsid w:val="00443CE9"/>
    <w:rsid w:val="00443D41"/>
    <w:rsid w:val="00443ECE"/>
    <w:rsid w:val="004444A5"/>
    <w:rsid w:val="00444A48"/>
    <w:rsid w:val="00444BEC"/>
    <w:rsid w:val="004456C1"/>
    <w:rsid w:val="0044592A"/>
    <w:rsid w:val="00445AF0"/>
    <w:rsid w:val="00446494"/>
    <w:rsid w:val="004464D9"/>
    <w:rsid w:val="00446AB4"/>
    <w:rsid w:val="00446DBD"/>
    <w:rsid w:val="00446E31"/>
    <w:rsid w:val="004472BF"/>
    <w:rsid w:val="00447B31"/>
    <w:rsid w:val="00447F6A"/>
    <w:rsid w:val="00450347"/>
    <w:rsid w:val="00450549"/>
    <w:rsid w:val="00450B6B"/>
    <w:rsid w:val="00450C0A"/>
    <w:rsid w:val="00450D4D"/>
    <w:rsid w:val="00450E97"/>
    <w:rsid w:val="004513DE"/>
    <w:rsid w:val="00451754"/>
    <w:rsid w:val="00451BA2"/>
    <w:rsid w:val="00451EDA"/>
    <w:rsid w:val="00451F02"/>
    <w:rsid w:val="00452738"/>
    <w:rsid w:val="00452B54"/>
    <w:rsid w:val="00452D2E"/>
    <w:rsid w:val="00453089"/>
    <w:rsid w:val="004532BE"/>
    <w:rsid w:val="004533AB"/>
    <w:rsid w:val="0045346C"/>
    <w:rsid w:val="004537C7"/>
    <w:rsid w:val="004539C9"/>
    <w:rsid w:val="00453B33"/>
    <w:rsid w:val="00453B7E"/>
    <w:rsid w:val="00453E7D"/>
    <w:rsid w:val="00454397"/>
    <w:rsid w:val="004543FD"/>
    <w:rsid w:val="004546F1"/>
    <w:rsid w:val="00454757"/>
    <w:rsid w:val="0045482B"/>
    <w:rsid w:val="00454907"/>
    <w:rsid w:val="004558E4"/>
    <w:rsid w:val="00455988"/>
    <w:rsid w:val="00455A1E"/>
    <w:rsid w:val="00456091"/>
    <w:rsid w:val="004566B9"/>
    <w:rsid w:val="0045733C"/>
    <w:rsid w:val="00457502"/>
    <w:rsid w:val="00457BF4"/>
    <w:rsid w:val="00457D90"/>
    <w:rsid w:val="00457D97"/>
    <w:rsid w:val="00460A6E"/>
    <w:rsid w:val="00461231"/>
    <w:rsid w:val="00461D87"/>
    <w:rsid w:val="00462524"/>
    <w:rsid w:val="004625BF"/>
    <w:rsid w:val="00462638"/>
    <w:rsid w:val="0046280B"/>
    <w:rsid w:val="00462B3D"/>
    <w:rsid w:val="004633F9"/>
    <w:rsid w:val="00463472"/>
    <w:rsid w:val="004634C8"/>
    <w:rsid w:val="00463C14"/>
    <w:rsid w:val="00463CCB"/>
    <w:rsid w:val="00463F6E"/>
    <w:rsid w:val="00464619"/>
    <w:rsid w:val="0046522C"/>
    <w:rsid w:val="004658C2"/>
    <w:rsid w:val="00465A0A"/>
    <w:rsid w:val="00465E88"/>
    <w:rsid w:val="0046607F"/>
    <w:rsid w:val="00466321"/>
    <w:rsid w:val="00466EDB"/>
    <w:rsid w:val="00466F10"/>
    <w:rsid w:val="00467042"/>
    <w:rsid w:val="004676F7"/>
    <w:rsid w:val="00467BFC"/>
    <w:rsid w:val="004709CC"/>
    <w:rsid w:val="00470D93"/>
    <w:rsid w:val="00470E86"/>
    <w:rsid w:val="00471003"/>
    <w:rsid w:val="00471124"/>
    <w:rsid w:val="00471494"/>
    <w:rsid w:val="00472008"/>
    <w:rsid w:val="00472548"/>
    <w:rsid w:val="0047274A"/>
    <w:rsid w:val="004727FF"/>
    <w:rsid w:val="00472DC7"/>
    <w:rsid w:val="00472E47"/>
    <w:rsid w:val="00472E79"/>
    <w:rsid w:val="00473324"/>
    <w:rsid w:val="0047357D"/>
    <w:rsid w:val="00473950"/>
    <w:rsid w:val="00473BF7"/>
    <w:rsid w:val="00473E9D"/>
    <w:rsid w:val="00473F2D"/>
    <w:rsid w:val="004741F3"/>
    <w:rsid w:val="0047446F"/>
    <w:rsid w:val="00474478"/>
    <w:rsid w:val="004745CB"/>
    <w:rsid w:val="0047487D"/>
    <w:rsid w:val="00474893"/>
    <w:rsid w:val="00475088"/>
    <w:rsid w:val="004757E9"/>
    <w:rsid w:val="00475C77"/>
    <w:rsid w:val="00475D22"/>
    <w:rsid w:val="004763F2"/>
    <w:rsid w:val="004765C2"/>
    <w:rsid w:val="00476A75"/>
    <w:rsid w:val="00476B30"/>
    <w:rsid w:val="00476D43"/>
    <w:rsid w:val="00476E2E"/>
    <w:rsid w:val="00476E7B"/>
    <w:rsid w:val="00476F43"/>
    <w:rsid w:val="00477077"/>
    <w:rsid w:val="004771D4"/>
    <w:rsid w:val="004774B3"/>
    <w:rsid w:val="00477631"/>
    <w:rsid w:val="00477688"/>
    <w:rsid w:val="00477A89"/>
    <w:rsid w:val="00477F88"/>
    <w:rsid w:val="004806D4"/>
    <w:rsid w:val="00481782"/>
    <w:rsid w:val="004819F6"/>
    <w:rsid w:val="00481AC4"/>
    <w:rsid w:val="004825DF"/>
    <w:rsid w:val="00482642"/>
    <w:rsid w:val="004826F3"/>
    <w:rsid w:val="00482B82"/>
    <w:rsid w:val="00482BFB"/>
    <w:rsid w:val="00482D82"/>
    <w:rsid w:val="00482DF6"/>
    <w:rsid w:val="00482E4E"/>
    <w:rsid w:val="0048345C"/>
    <w:rsid w:val="004838EE"/>
    <w:rsid w:val="00483F92"/>
    <w:rsid w:val="004846C3"/>
    <w:rsid w:val="00484951"/>
    <w:rsid w:val="00484B9B"/>
    <w:rsid w:val="004854E3"/>
    <w:rsid w:val="004855F6"/>
    <w:rsid w:val="0048574B"/>
    <w:rsid w:val="004857A2"/>
    <w:rsid w:val="00485A04"/>
    <w:rsid w:val="00485AEE"/>
    <w:rsid w:val="00485E1F"/>
    <w:rsid w:val="004860B6"/>
    <w:rsid w:val="0048625C"/>
    <w:rsid w:val="00486399"/>
    <w:rsid w:val="0048661E"/>
    <w:rsid w:val="00486EF1"/>
    <w:rsid w:val="004872F3"/>
    <w:rsid w:val="00487DF8"/>
    <w:rsid w:val="00487E73"/>
    <w:rsid w:val="0049037B"/>
    <w:rsid w:val="004904D1"/>
    <w:rsid w:val="00490521"/>
    <w:rsid w:val="0049070D"/>
    <w:rsid w:val="00490995"/>
    <w:rsid w:val="00490B3D"/>
    <w:rsid w:val="00490BDC"/>
    <w:rsid w:val="00490C62"/>
    <w:rsid w:val="00490C6A"/>
    <w:rsid w:val="00491AA5"/>
    <w:rsid w:val="00491BAC"/>
    <w:rsid w:val="00491D05"/>
    <w:rsid w:val="004921FF"/>
    <w:rsid w:val="0049265A"/>
    <w:rsid w:val="00492DCA"/>
    <w:rsid w:val="004936AA"/>
    <w:rsid w:val="00493B11"/>
    <w:rsid w:val="00493D5D"/>
    <w:rsid w:val="00493D75"/>
    <w:rsid w:val="0049405F"/>
    <w:rsid w:val="004942B9"/>
    <w:rsid w:val="00494670"/>
    <w:rsid w:val="0049498C"/>
    <w:rsid w:val="00494C2E"/>
    <w:rsid w:val="004950B9"/>
    <w:rsid w:val="00495158"/>
    <w:rsid w:val="00495512"/>
    <w:rsid w:val="004958CE"/>
    <w:rsid w:val="00495988"/>
    <w:rsid w:val="00496152"/>
    <w:rsid w:val="00496D25"/>
    <w:rsid w:val="00497664"/>
    <w:rsid w:val="004978B3"/>
    <w:rsid w:val="004A00AA"/>
    <w:rsid w:val="004A04B6"/>
    <w:rsid w:val="004A06C7"/>
    <w:rsid w:val="004A0846"/>
    <w:rsid w:val="004A086F"/>
    <w:rsid w:val="004A12FB"/>
    <w:rsid w:val="004A1678"/>
    <w:rsid w:val="004A1A71"/>
    <w:rsid w:val="004A274C"/>
    <w:rsid w:val="004A2D94"/>
    <w:rsid w:val="004A3804"/>
    <w:rsid w:val="004A3823"/>
    <w:rsid w:val="004A49F2"/>
    <w:rsid w:val="004A4E21"/>
    <w:rsid w:val="004A5021"/>
    <w:rsid w:val="004A5D68"/>
    <w:rsid w:val="004A5EC1"/>
    <w:rsid w:val="004A5EF2"/>
    <w:rsid w:val="004A62A7"/>
    <w:rsid w:val="004A63A3"/>
    <w:rsid w:val="004A652C"/>
    <w:rsid w:val="004A6833"/>
    <w:rsid w:val="004A7350"/>
    <w:rsid w:val="004A7A9F"/>
    <w:rsid w:val="004A7CB4"/>
    <w:rsid w:val="004B00C4"/>
    <w:rsid w:val="004B06A1"/>
    <w:rsid w:val="004B083D"/>
    <w:rsid w:val="004B0C54"/>
    <w:rsid w:val="004B0D01"/>
    <w:rsid w:val="004B1434"/>
    <w:rsid w:val="004B1485"/>
    <w:rsid w:val="004B1FA6"/>
    <w:rsid w:val="004B2183"/>
    <w:rsid w:val="004B219F"/>
    <w:rsid w:val="004B21E6"/>
    <w:rsid w:val="004B256F"/>
    <w:rsid w:val="004B29F5"/>
    <w:rsid w:val="004B2B84"/>
    <w:rsid w:val="004B313B"/>
    <w:rsid w:val="004B35F5"/>
    <w:rsid w:val="004B3680"/>
    <w:rsid w:val="004B3856"/>
    <w:rsid w:val="004B4655"/>
    <w:rsid w:val="004B47D0"/>
    <w:rsid w:val="004B4872"/>
    <w:rsid w:val="004B4934"/>
    <w:rsid w:val="004B4D52"/>
    <w:rsid w:val="004B4DDA"/>
    <w:rsid w:val="004B53D8"/>
    <w:rsid w:val="004B58C5"/>
    <w:rsid w:val="004B5B29"/>
    <w:rsid w:val="004B5E1A"/>
    <w:rsid w:val="004B60A9"/>
    <w:rsid w:val="004B64A2"/>
    <w:rsid w:val="004B6750"/>
    <w:rsid w:val="004B684A"/>
    <w:rsid w:val="004B6BFC"/>
    <w:rsid w:val="004B6CA3"/>
    <w:rsid w:val="004B6F05"/>
    <w:rsid w:val="004B6FC8"/>
    <w:rsid w:val="004B7218"/>
    <w:rsid w:val="004B73C9"/>
    <w:rsid w:val="004B7624"/>
    <w:rsid w:val="004B7742"/>
    <w:rsid w:val="004B77EE"/>
    <w:rsid w:val="004B7A61"/>
    <w:rsid w:val="004C03F3"/>
    <w:rsid w:val="004C04FA"/>
    <w:rsid w:val="004C0FBA"/>
    <w:rsid w:val="004C1733"/>
    <w:rsid w:val="004C186A"/>
    <w:rsid w:val="004C1F60"/>
    <w:rsid w:val="004C22CF"/>
    <w:rsid w:val="004C24E6"/>
    <w:rsid w:val="004C268D"/>
    <w:rsid w:val="004C27DC"/>
    <w:rsid w:val="004C2F39"/>
    <w:rsid w:val="004C4021"/>
    <w:rsid w:val="004C44F7"/>
    <w:rsid w:val="004C4757"/>
    <w:rsid w:val="004C49B8"/>
    <w:rsid w:val="004C5043"/>
    <w:rsid w:val="004C50DD"/>
    <w:rsid w:val="004C5447"/>
    <w:rsid w:val="004C596C"/>
    <w:rsid w:val="004C68A2"/>
    <w:rsid w:val="004C68A6"/>
    <w:rsid w:val="004C6A7E"/>
    <w:rsid w:val="004C7773"/>
    <w:rsid w:val="004C77D1"/>
    <w:rsid w:val="004C785F"/>
    <w:rsid w:val="004D0191"/>
    <w:rsid w:val="004D03BE"/>
    <w:rsid w:val="004D0C43"/>
    <w:rsid w:val="004D0CEB"/>
    <w:rsid w:val="004D10C7"/>
    <w:rsid w:val="004D1821"/>
    <w:rsid w:val="004D18C6"/>
    <w:rsid w:val="004D2255"/>
    <w:rsid w:val="004D2376"/>
    <w:rsid w:val="004D25CF"/>
    <w:rsid w:val="004D2711"/>
    <w:rsid w:val="004D273D"/>
    <w:rsid w:val="004D29FB"/>
    <w:rsid w:val="004D2C29"/>
    <w:rsid w:val="004D2DAA"/>
    <w:rsid w:val="004D3B7D"/>
    <w:rsid w:val="004D41FC"/>
    <w:rsid w:val="004D4945"/>
    <w:rsid w:val="004D4DA7"/>
    <w:rsid w:val="004D5D56"/>
    <w:rsid w:val="004D5EB6"/>
    <w:rsid w:val="004D5EBA"/>
    <w:rsid w:val="004D6298"/>
    <w:rsid w:val="004D6356"/>
    <w:rsid w:val="004D6963"/>
    <w:rsid w:val="004D6D6D"/>
    <w:rsid w:val="004D70AD"/>
    <w:rsid w:val="004D7249"/>
    <w:rsid w:val="004D73A9"/>
    <w:rsid w:val="004D79B4"/>
    <w:rsid w:val="004D7B65"/>
    <w:rsid w:val="004D7E7A"/>
    <w:rsid w:val="004E0076"/>
    <w:rsid w:val="004E0123"/>
    <w:rsid w:val="004E06D3"/>
    <w:rsid w:val="004E0714"/>
    <w:rsid w:val="004E0745"/>
    <w:rsid w:val="004E08F1"/>
    <w:rsid w:val="004E0FD3"/>
    <w:rsid w:val="004E11F6"/>
    <w:rsid w:val="004E1E04"/>
    <w:rsid w:val="004E2566"/>
    <w:rsid w:val="004E29B9"/>
    <w:rsid w:val="004E2CDF"/>
    <w:rsid w:val="004E4154"/>
    <w:rsid w:val="004E415A"/>
    <w:rsid w:val="004E416B"/>
    <w:rsid w:val="004E4209"/>
    <w:rsid w:val="004E4A88"/>
    <w:rsid w:val="004E4E3F"/>
    <w:rsid w:val="004E4FD3"/>
    <w:rsid w:val="004E51B5"/>
    <w:rsid w:val="004E5211"/>
    <w:rsid w:val="004E5B69"/>
    <w:rsid w:val="004E632D"/>
    <w:rsid w:val="004E64AD"/>
    <w:rsid w:val="004E64CE"/>
    <w:rsid w:val="004E650E"/>
    <w:rsid w:val="004E6684"/>
    <w:rsid w:val="004E6946"/>
    <w:rsid w:val="004E6CB5"/>
    <w:rsid w:val="004E71FB"/>
    <w:rsid w:val="004F099C"/>
    <w:rsid w:val="004F0B2A"/>
    <w:rsid w:val="004F0B6C"/>
    <w:rsid w:val="004F0DDA"/>
    <w:rsid w:val="004F0F09"/>
    <w:rsid w:val="004F1191"/>
    <w:rsid w:val="004F120E"/>
    <w:rsid w:val="004F12D5"/>
    <w:rsid w:val="004F1482"/>
    <w:rsid w:val="004F14B3"/>
    <w:rsid w:val="004F1A14"/>
    <w:rsid w:val="004F1AD8"/>
    <w:rsid w:val="004F1BEC"/>
    <w:rsid w:val="004F1DDA"/>
    <w:rsid w:val="004F22DB"/>
    <w:rsid w:val="004F23AD"/>
    <w:rsid w:val="004F23B3"/>
    <w:rsid w:val="004F2618"/>
    <w:rsid w:val="004F29BD"/>
    <w:rsid w:val="004F2BAB"/>
    <w:rsid w:val="004F2DB8"/>
    <w:rsid w:val="004F33EA"/>
    <w:rsid w:val="004F34B5"/>
    <w:rsid w:val="004F354A"/>
    <w:rsid w:val="004F48E0"/>
    <w:rsid w:val="004F4BD1"/>
    <w:rsid w:val="004F507E"/>
    <w:rsid w:val="004F518F"/>
    <w:rsid w:val="004F52C4"/>
    <w:rsid w:val="004F5836"/>
    <w:rsid w:val="004F5E1C"/>
    <w:rsid w:val="004F604C"/>
    <w:rsid w:val="004F604F"/>
    <w:rsid w:val="004F61E4"/>
    <w:rsid w:val="004F6245"/>
    <w:rsid w:val="004F6863"/>
    <w:rsid w:val="004F6A27"/>
    <w:rsid w:val="004F6E93"/>
    <w:rsid w:val="004F7011"/>
    <w:rsid w:val="004F7078"/>
    <w:rsid w:val="004F7B0C"/>
    <w:rsid w:val="00500243"/>
    <w:rsid w:val="005003E6"/>
    <w:rsid w:val="005003E7"/>
    <w:rsid w:val="00500DFE"/>
    <w:rsid w:val="00500FCB"/>
    <w:rsid w:val="005015F2"/>
    <w:rsid w:val="00501ACD"/>
    <w:rsid w:val="00501CA7"/>
    <w:rsid w:val="00501EF2"/>
    <w:rsid w:val="0050203F"/>
    <w:rsid w:val="005022C3"/>
    <w:rsid w:val="005022EF"/>
    <w:rsid w:val="0050247E"/>
    <w:rsid w:val="00502C03"/>
    <w:rsid w:val="005033A0"/>
    <w:rsid w:val="00503457"/>
    <w:rsid w:val="00503744"/>
    <w:rsid w:val="005039CB"/>
    <w:rsid w:val="00503BFD"/>
    <w:rsid w:val="005046CB"/>
    <w:rsid w:val="00504741"/>
    <w:rsid w:val="005047DA"/>
    <w:rsid w:val="0050558F"/>
    <w:rsid w:val="005056C7"/>
    <w:rsid w:val="00505CEB"/>
    <w:rsid w:val="00506286"/>
    <w:rsid w:val="00506357"/>
    <w:rsid w:val="005063B0"/>
    <w:rsid w:val="005065F3"/>
    <w:rsid w:val="00506668"/>
    <w:rsid w:val="0050691F"/>
    <w:rsid w:val="005072FC"/>
    <w:rsid w:val="005073D6"/>
    <w:rsid w:val="00507911"/>
    <w:rsid w:val="00510223"/>
    <w:rsid w:val="00510334"/>
    <w:rsid w:val="00510393"/>
    <w:rsid w:val="00510448"/>
    <w:rsid w:val="005107E2"/>
    <w:rsid w:val="00510813"/>
    <w:rsid w:val="00510F82"/>
    <w:rsid w:val="005112FE"/>
    <w:rsid w:val="00511792"/>
    <w:rsid w:val="005117C8"/>
    <w:rsid w:val="00511990"/>
    <w:rsid w:val="00511A29"/>
    <w:rsid w:val="00511DE0"/>
    <w:rsid w:val="0051212D"/>
    <w:rsid w:val="0051242A"/>
    <w:rsid w:val="005127AE"/>
    <w:rsid w:val="00512863"/>
    <w:rsid w:val="00512C55"/>
    <w:rsid w:val="00512C63"/>
    <w:rsid w:val="00512CE3"/>
    <w:rsid w:val="005131A0"/>
    <w:rsid w:val="0051333E"/>
    <w:rsid w:val="00513A01"/>
    <w:rsid w:val="00513DEB"/>
    <w:rsid w:val="005141D5"/>
    <w:rsid w:val="005147EB"/>
    <w:rsid w:val="0051480A"/>
    <w:rsid w:val="00514870"/>
    <w:rsid w:val="00514B9B"/>
    <w:rsid w:val="0051535A"/>
    <w:rsid w:val="005153D3"/>
    <w:rsid w:val="0051541E"/>
    <w:rsid w:val="00515680"/>
    <w:rsid w:val="005157C2"/>
    <w:rsid w:val="00516428"/>
    <w:rsid w:val="00516B16"/>
    <w:rsid w:val="00516D97"/>
    <w:rsid w:val="005172E6"/>
    <w:rsid w:val="005179AD"/>
    <w:rsid w:val="00517BC3"/>
    <w:rsid w:val="00517D2E"/>
    <w:rsid w:val="00517D49"/>
    <w:rsid w:val="00517D75"/>
    <w:rsid w:val="00517DAB"/>
    <w:rsid w:val="00517F02"/>
    <w:rsid w:val="005204C8"/>
    <w:rsid w:val="005204CC"/>
    <w:rsid w:val="005209D8"/>
    <w:rsid w:val="00520F0D"/>
    <w:rsid w:val="00521482"/>
    <w:rsid w:val="00521978"/>
    <w:rsid w:val="00521C76"/>
    <w:rsid w:val="00522615"/>
    <w:rsid w:val="00522B92"/>
    <w:rsid w:val="00523380"/>
    <w:rsid w:val="005234F5"/>
    <w:rsid w:val="005239EE"/>
    <w:rsid w:val="00523D1E"/>
    <w:rsid w:val="00523D64"/>
    <w:rsid w:val="00524303"/>
    <w:rsid w:val="00524305"/>
    <w:rsid w:val="00524596"/>
    <w:rsid w:val="0052459B"/>
    <w:rsid w:val="00524D45"/>
    <w:rsid w:val="00524F79"/>
    <w:rsid w:val="005251FA"/>
    <w:rsid w:val="005258A2"/>
    <w:rsid w:val="00525B39"/>
    <w:rsid w:val="00525B8F"/>
    <w:rsid w:val="00525C16"/>
    <w:rsid w:val="00525CA1"/>
    <w:rsid w:val="005264D3"/>
    <w:rsid w:val="005269CC"/>
    <w:rsid w:val="00526DF5"/>
    <w:rsid w:val="00526FBF"/>
    <w:rsid w:val="00527567"/>
    <w:rsid w:val="00527AE4"/>
    <w:rsid w:val="00527CEC"/>
    <w:rsid w:val="0053009F"/>
    <w:rsid w:val="00530250"/>
    <w:rsid w:val="00530275"/>
    <w:rsid w:val="00530F51"/>
    <w:rsid w:val="005313A2"/>
    <w:rsid w:val="0053140C"/>
    <w:rsid w:val="0053163C"/>
    <w:rsid w:val="00531807"/>
    <w:rsid w:val="00531A34"/>
    <w:rsid w:val="00531CB8"/>
    <w:rsid w:val="00531F2A"/>
    <w:rsid w:val="005320B4"/>
    <w:rsid w:val="0053219F"/>
    <w:rsid w:val="005326DF"/>
    <w:rsid w:val="005327E6"/>
    <w:rsid w:val="00532CC4"/>
    <w:rsid w:val="00532CEF"/>
    <w:rsid w:val="00533D5B"/>
    <w:rsid w:val="005341D7"/>
    <w:rsid w:val="0053469F"/>
    <w:rsid w:val="00534CFF"/>
    <w:rsid w:val="0053515B"/>
    <w:rsid w:val="0053525D"/>
    <w:rsid w:val="00535435"/>
    <w:rsid w:val="00535C0C"/>
    <w:rsid w:val="00535EF8"/>
    <w:rsid w:val="005361EB"/>
    <w:rsid w:val="00537044"/>
    <w:rsid w:val="00540000"/>
    <w:rsid w:val="005401AE"/>
    <w:rsid w:val="00540A04"/>
    <w:rsid w:val="00540B3A"/>
    <w:rsid w:val="0054108B"/>
    <w:rsid w:val="00541864"/>
    <w:rsid w:val="00541C06"/>
    <w:rsid w:val="00541E56"/>
    <w:rsid w:val="00541F4F"/>
    <w:rsid w:val="00542881"/>
    <w:rsid w:val="00542B35"/>
    <w:rsid w:val="00542BE4"/>
    <w:rsid w:val="00542E07"/>
    <w:rsid w:val="0054314D"/>
    <w:rsid w:val="0054356A"/>
    <w:rsid w:val="00543DD5"/>
    <w:rsid w:val="00544629"/>
    <w:rsid w:val="00544636"/>
    <w:rsid w:val="00544B62"/>
    <w:rsid w:val="00544C00"/>
    <w:rsid w:val="00544E77"/>
    <w:rsid w:val="00545424"/>
    <w:rsid w:val="005459C8"/>
    <w:rsid w:val="00546492"/>
    <w:rsid w:val="00546651"/>
    <w:rsid w:val="00546A94"/>
    <w:rsid w:val="00547089"/>
    <w:rsid w:val="00547775"/>
    <w:rsid w:val="00547D9C"/>
    <w:rsid w:val="00547ED2"/>
    <w:rsid w:val="0055022D"/>
    <w:rsid w:val="00550638"/>
    <w:rsid w:val="0055099E"/>
    <w:rsid w:val="00550D8E"/>
    <w:rsid w:val="0055112F"/>
    <w:rsid w:val="005513B7"/>
    <w:rsid w:val="00551CE3"/>
    <w:rsid w:val="00551E7E"/>
    <w:rsid w:val="00551E9B"/>
    <w:rsid w:val="0055203C"/>
    <w:rsid w:val="005525A6"/>
    <w:rsid w:val="005525AB"/>
    <w:rsid w:val="00552640"/>
    <w:rsid w:val="00552777"/>
    <w:rsid w:val="00552F04"/>
    <w:rsid w:val="005532FE"/>
    <w:rsid w:val="005540FB"/>
    <w:rsid w:val="00554291"/>
    <w:rsid w:val="0055450C"/>
    <w:rsid w:val="005545A8"/>
    <w:rsid w:val="00554A7B"/>
    <w:rsid w:val="0055572C"/>
    <w:rsid w:val="00555D87"/>
    <w:rsid w:val="005561C4"/>
    <w:rsid w:val="0055640E"/>
    <w:rsid w:val="00556584"/>
    <w:rsid w:val="00556E2F"/>
    <w:rsid w:val="00557227"/>
    <w:rsid w:val="00557495"/>
    <w:rsid w:val="00557B3C"/>
    <w:rsid w:val="0056021D"/>
    <w:rsid w:val="005605BF"/>
    <w:rsid w:val="00560B6E"/>
    <w:rsid w:val="00560C74"/>
    <w:rsid w:val="00560D94"/>
    <w:rsid w:val="0056106A"/>
    <w:rsid w:val="005611A5"/>
    <w:rsid w:val="005614FA"/>
    <w:rsid w:val="00561850"/>
    <w:rsid w:val="00561F9A"/>
    <w:rsid w:val="005622F1"/>
    <w:rsid w:val="0056233A"/>
    <w:rsid w:val="00562457"/>
    <w:rsid w:val="005624E0"/>
    <w:rsid w:val="005627A1"/>
    <w:rsid w:val="00562BD8"/>
    <w:rsid w:val="00562E92"/>
    <w:rsid w:val="0056321F"/>
    <w:rsid w:val="00563A4B"/>
    <w:rsid w:val="00563A85"/>
    <w:rsid w:val="00563B33"/>
    <w:rsid w:val="0056402A"/>
    <w:rsid w:val="005641CA"/>
    <w:rsid w:val="00564270"/>
    <w:rsid w:val="005643F7"/>
    <w:rsid w:val="0056467F"/>
    <w:rsid w:val="00564CA8"/>
    <w:rsid w:val="00564F75"/>
    <w:rsid w:val="00565260"/>
    <w:rsid w:val="005655BE"/>
    <w:rsid w:val="00567374"/>
    <w:rsid w:val="0056758D"/>
    <w:rsid w:val="00567A05"/>
    <w:rsid w:val="00570240"/>
    <w:rsid w:val="00570E8B"/>
    <w:rsid w:val="00570F32"/>
    <w:rsid w:val="00570FF3"/>
    <w:rsid w:val="0057112C"/>
    <w:rsid w:val="00571ACD"/>
    <w:rsid w:val="00571AD4"/>
    <w:rsid w:val="00571B60"/>
    <w:rsid w:val="005720AE"/>
    <w:rsid w:val="00572392"/>
    <w:rsid w:val="005724E4"/>
    <w:rsid w:val="00572C03"/>
    <w:rsid w:val="00572F09"/>
    <w:rsid w:val="00573905"/>
    <w:rsid w:val="0057390C"/>
    <w:rsid w:val="00573B2F"/>
    <w:rsid w:val="00573C9F"/>
    <w:rsid w:val="00573D1A"/>
    <w:rsid w:val="00574164"/>
    <w:rsid w:val="00574385"/>
    <w:rsid w:val="00574DEA"/>
    <w:rsid w:val="0057524A"/>
    <w:rsid w:val="0057537B"/>
    <w:rsid w:val="005754ED"/>
    <w:rsid w:val="005755E3"/>
    <w:rsid w:val="00575A44"/>
    <w:rsid w:val="00575B54"/>
    <w:rsid w:val="00575E57"/>
    <w:rsid w:val="00575E84"/>
    <w:rsid w:val="005767AD"/>
    <w:rsid w:val="005767FB"/>
    <w:rsid w:val="00576FB5"/>
    <w:rsid w:val="0057702E"/>
    <w:rsid w:val="0057715E"/>
    <w:rsid w:val="00577A8C"/>
    <w:rsid w:val="00577BE4"/>
    <w:rsid w:val="0058032A"/>
    <w:rsid w:val="00581441"/>
    <w:rsid w:val="005817FA"/>
    <w:rsid w:val="005819D8"/>
    <w:rsid w:val="00582741"/>
    <w:rsid w:val="00582B6F"/>
    <w:rsid w:val="00583414"/>
    <w:rsid w:val="0058374E"/>
    <w:rsid w:val="00584197"/>
    <w:rsid w:val="005845C5"/>
    <w:rsid w:val="0058461C"/>
    <w:rsid w:val="0058498F"/>
    <w:rsid w:val="00584F7D"/>
    <w:rsid w:val="005850C0"/>
    <w:rsid w:val="005857E3"/>
    <w:rsid w:val="00585C69"/>
    <w:rsid w:val="00585DB0"/>
    <w:rsid w:val="00585EEB"/>
    <w:rsid w:val="0058669A"/>
    <w:rsid w:val="00586F37"/>
    <w:rsid w:val="00587741"/>
    <w:rsid w:val="00587873"/>
    <w:rsid w:val="00587AE3"/>
    <w:rsid w:val="005905EC"/>
    <w:rsid w:val="00590623"/>
    <w:rsid w:val="0059066F"/>
    <w:rsid w:val="005906EE"/>
    <w:rsid w:val="0059076E"/>
    <w:rsid w:val="0059099B"/>
    <w:rsid w:val="0059099F"/>
    <w:rsid w:val="005909B7"/>
    <w:rsid w:val="00590A5F"/>
    <w:rsid w:val="00590E65"/>
    <w:rsid w:val="0059112F"/>
    <w:rsid w:val="0059198C"/>
    <w:rsid w:val="00591A12"/>
    <w:rsid w:val="00591DBC"/>
    <w:rsid w:val="00591E7B"/>
    <w:rsid w:val="0059230A"/>
    <w:rsid w:val="00592458"/>
    <w:rsid w:val="00592B55"/>
    <w:rsid w:val="00592F39"/>
    <w:rsid w:val="005932AE"/>
    <w:rsid w:val="00593F04"/>
    <w:rsid w:val="005940C9"/>
    <w:rsid w:val="00594D77"/>
    <w:rsid w:val="00594DE4"/>
    <w:rsid w:val="00595127"/>
    <w:rsid w:val="00595687"/>
    <w:rsid w:val="005957E9"/>
    <w:rsid w:val="005959B0"/>
    <w:rsid w:val="00595DF9"/>
    <w:rsid w:val="00595EC8"/>
    <w:rsid w:val="00596388"/>
    <w:rsid w:val="00596400"/>
    <w:rsid w:val="00596583"/>
    <w:rsid w:val="005969E4"/>
    <w:rsid w:val="005973FB"/>
    <w:rsid w:val="00597734"/>
    <w:rsid w:val="00597AA8"/>
    <w:rsid w:val="00597AFA"/>
    <w:rsid w:val="005A0226"/>
    <w:rsid w:val="005A0346"/>
    <w:rsid w:val="005A06B7"/>
    <w:rsid w:val="005A0755"/>
    <w:rsid w:val="005A079C"/>
    <w:rsid w:val="005A084A"/>
    <w:rsid w:val="005A10B6"/>
    <w:rsid w:val="005A15E8"/>
    <w:rsid w:val="005A163A"/>
    <w:rsid w:val="005A1759"/>
    <w:rsid w:val="005A2697"/>
    <w:rsid w:val="005A2B16"/>
    <w:rsid w:val="005A2E2A"/>
    <w:rsid w:val="005A33D2"/>
    <w:rsid w:val="005A3648"/>
    <w:rsid w:val="005A3969"/>
    <w:rsid w:val="005A39CF"/>
    <w:rsid w:val="005A3CBE"/>
    <w:rsid w:val="005A3FB4"/>
    <w:rsid w:val="005A41B1"/>
    <w:rsid w:val="005A41BE"/>
    <w:rsid w:val="005A4459"/>
    <w:rsid w:val="005A493C"/>
    <w:rsid w:val="005A4A3C"/>
    <w:rsid w:val="005A4AB9"/>
    <w:rsid w:val="005A5661"/>
    <w:rsid w:val="005A5B4B"/>
    <w:rsid w:val="005A6119"/>
    <w:rsid w:val="005A63CF"/>
    <w:rsid w:val="005A670C"/>
    <w:rsid w:val="005A68A7"/>
    <w:rsid w:val="005A70C1"/>
    <w:rsid w:val="005A7479"/>
    <w:rsid w:val="005A7D56"/>
    <w:rsid w:val="005A7F12"/>
    <w:rsid w:val="005B012B"/>
    <w:rsid w:val="005B0558"/>
    <w:rsid w:val="005B056A"/>
    <w:rsid w:val="005B078C"/>
    <w:rsid w:val="005B0872"/>
    <w:rsid w:val="005B0F2A"/>
    <w:rsid w:val="005B15C1"/>
    <w:rsid w:val="005B1D1F"/>
    <w:rsid w:val="005B20D8"/>
    <w:rsid w:val="005B28E2"/>
    <w:rsid w:val="005B2C82"/>
    <w:rsid w:val="005B2D94"/>
    <w:rsid w:val="005B2F98"/>
    <w:rsid w:val="005B3BFE"/>
    <w:rsid w:val="005B3C5D"/>
    <w:rsid w:val="005B3F8C"/>
    <w:rsid w:val="005B4185"/>
    <w:rsid w:val="005B41E4"/>
    <w:rsid w:val="005B43B7"/>
    <w:rsid w:val="005B5944"/>
    <w:rsid w:val="005B5D77"/>
    <w:rsid w:val="005B5E6A"/>
    <w:rsid w:val="005B60CD"/>
    <w:rsid w:val="005B6AF9"/>
    <w:rsid w:val="005B6D31"/>
    <w:rsid w:val="005B753B"/>
    <w:rsid w:val="005B75DA"/>
    <w:rsid w:val="005B7924"/>
    <w:rsid w:val="005B7DDE"/>
    <w:rsid w:val="005B7DE6"/>
    <w:rsid w:val="005B7DFE"/>
    <w:rsid w:val="005C075B"/>
    <w:rsid w:val="005C096B"/>
    <w:rsid w:val="005C1182"/>
    <w:rsid w:val="005C1401"/>
    <w:rsid w:val="005C177E"/>
    <w:rsid w:val="005C2453"/>
    <w:rsid w:val="005C27D2"/>
    <w:rsid w:val="005C33D0"/>
    <w:rsid w:val="005C36A5"/>
    <w:rsid w:val="005C38BC"/>
    <w:rsid w:val="005C3986"/>
    <w:rsid w:val="005C3CF2"/>
    <w:rsid w:val="005C486C"/>
    <w:rsid w:val="005C5067"/>
    <w:rsid w:val="005C518D"/>
    <w:rsid w:val="005C5640"/>
    <w:rsid w:val="005C5A28"/>
    <w:rsid w:val="005C5C2C"/>
    <w:rsid w:val="005C5E0B"/>
    <w:rsid w:val="005C6275"/>
    <w:rsid w:val="005C6450"/>
    <w:rsid w:val="005C667B"/>
    <w:rsid w:val="005C6960"/>
    <w:rsid w:val="005C6D79"/>
    <w:rsid w:val="005C7275"/>
    <w:rsid w:val="005C7598"/>
    <w:rsid w:val="005D0234"/>
    <w:rsid w:val="005D030A"/>
    <w:rsid w:val="005D0498"/>
    <w:rsid w:val="005D183C"/>
    <w:rsid w:val="005D1BFD"/>
    <w:rsid w:val="005D1CE8"/>
    <w:rsid w:val="005D2CC2"/>
    <w:rsid w:val="005D2E2D"/>
    <w:rsid w:val="005D36AB"/>
    <w:rsid w:val="005D3868"/>
    <w:rsid w:val="005D39D2"/>
    <w:rsid w:val="005D3D42"/>
    <w:rsid w:val="005D3DA8"/>
    <w:rsid w:val="005D3E22"/>
    <w:rsid w:val="005D3E3A"/>
    <w:rsid w:val="005D3E43"/>
    <w:rsid w:val="005D415C"/>
    <w:rsid w:val="005D4656"/>
    <w:rsid w:val="005D470C"/>
    <w:rsid w:val="005D55C7"/>
    <w:rsid w:val="005D69F9"/>
    <w:rsid w:val="005D6BD7"/>
    <w:rsid w:val="005D6EA9"/>
    <w:rsid w:val="005D709C"/>
    <w:rsid w:val="005D74D3"/>
    <w:rsid w:val="005D7D46"/>
    <w:rsid w:val="005E0014"/>
    <w:rsid w:val="005E05EA"/>
    <w:rsid w:val="005E0622"/>
    <w:rsid w:val="005E07A2"/>
    <w:rsid w:val="005E0A7B"/>
    <w:rsid w:val="005E1943"/>
    <w:rsid w:val="005E1B0A"/>
    <w:rsid w:val="005E1B68"/>
    <w:rsid w:val="005E2205"/>
    <w:rsid w:val="005E2295"/>
    <w:rsid w:val="005E22AB"/>
    <w:rsid w:val="005E253F"/>
    <w:rsid w:val="005E25F8"/>
    <w:rsid w:val="005E2918"/>
    <w:rsid w:val="005E2AFE"/>
    <w:rsid w:val="005E2B9B"/>
    <w:rsid w:val="005E3095"/>
    <w:rsid w:val="005E34B8"/>
    <w:rsid w:val="005E3507"/>
    <w:rsid w:val="005E375F"/>
    <w:rsid w:val="005E381C"/>
    <w:rsid w:val="005E3AC8"/>
    <w:rsid w:val="005E3E4D"/>
    <w:rsid w:val="005E40BE"/>
    <w:rsid w:val="005E479A"/>
    <w:rsid w:val="005E5382"/>
    <w:rsid w:val="005E5B24"/>
    <w:rsid w:val="005E689E"/>
    <w:rsid w:val="005E6C01"/>
    <w:rsid w:val="005E6E2D"/>
    <w:rsid w:val="005E735F"/>
    <w:rsid w:val="005E7477"/>
    <w:rsid w:val="005E79A6"/>
    <w:rsid w:val="005E7C80"/>
    <w:rsid w:val="005E7DEB"/>
    <w:rsid w:val="005E7E21"/>
    <w:rsid w:val="005F012B"/>
    <w:rsid w:val="005F01B7"/>
    <w:rsid w:val="005F056B"/>
    <w:rsid w:val="005F06DA"/>
    <w:rsid w:val="005F0AF4"/>
    <w:rsid w:val="005F0C95"/>
    <w:rsid w:val="005F0CB7"/>
    <w:rsid w:val="005F102D"/>
    <w:rsid w:val="005F1084"/>
    <w:rsid w:val="005F20DD"/>
    <w:rsid w:val="005F242C"/>
    <w:rsid w:val="005F2666"/>
    <w:rsid w:val="005F2975"/>
    <w:rsid w:val="005F2C18"/>
    <w:rsid w:val="005F309A"/>
    <w:rsid w:val="005F35BF"/>
    <w:rsid w:val="005F35E1"/>
    <w:rsid w:val="005F3902"/>
    <w:rsid w:val="005F3A50"/>
    <w:rsid w:val="005F3CC2"/>
    <w:rsid w:val="005F3ED7"/>
    <w:rsid w:val="005F4D15"/>
    <w:rsid w:val="005F4E53"/>
    <w:rsid w:val="005F50CD"/>
    <w:rsid w:val="005F525D"/>
    <w:rsid w:val="005F58C1"/>
    <w:rsid w:val="005F5C5E"/>
    <w:rsid w:val="005F60B5"/>
    <w:rsid w:val="005F643E"/>
    <w:rsid w:val="005F743D"/>
    <w:rsid w:val="005F78E8"/>
    <w:rsid w:val="005F7C37"/>
    <w:rsid w:val="00600499"/>
    <w:rsid w:val="0060070D"/>
    <w:rsid w:val="00600B08"/>
    <w:rsid w:val="00600E80"/>
    <w:rsid w:val="00600ED0"/>
    <w:rsid w:val="00600F0D"/>
    <w:rsid w:val="00600F2B"/>
    <w:rsid w:val="00600FF6"/>
    <w:rsid w:val="006010ED"/>
    <w:rsid w:val="00601626"/>
    <w:rsid w:val="00601982"/>
    <w:rsid w:val="00601B7A"/>
    <w:rsid w:val="00602A85"/>
    <w:rsid w:val="00602D39"/>
    <w:rsid w:val="006034DF"/>
    <w:rsid w:val="00603540"/>
    <w:rsid w:val="00603946"/>
    <w:rsid w:val="006040E0"/>
    <w:rsid w:val="00604CD2"/>
    <w:rsid w:val="00604EF9"/>
    <w:rsid w:val="00605152"/>
    <w:rsid w:val="006051DD"/>
    <w:rsid w:val="0060561E"/>
    <w:rsid w:val="00605798"/>
    <w:rsid w:val="00605CD7"/>
    <w:rsid w:val="00605F87"/>
    <w:rsid w:val="00606171"/>
    <w:rsid w:val="00606292"/>
    <w:rsid w:val="0060637E"/>
    <w:rsid w:val="006066B1"/>
    <w:rsid w:val="006067C1"/>
    <w:rsid w:val="0060688F"/>
    <w:rsid w:val="00606BD8"/>
    <w:rsid w:val="00606D1C"/>
    <w:rsid w:val="006070E3"/>
    <w:rsid w:val="00607126"/>
    <w:rsid w:val="00607212"/>
    <w:rsid w:val="006074B4"/>
    <w:rsid w:val="00607D1B"/>
    <w:rsid w:val="006105DD"/>
    <w:rsid w:val="006107D0"/>
    <w:rsid w:val="00610A76"/>
    <w:rsid w:val="00611FC8"/>
    <w:rsid w:val="00612BDB"/>
    <w:rsid w:val="00612F81"/>
    <w:rsid w:val="00613A9B"/>
    <w:rsid w:val="00614304"/>
    <w:rsid w:val="0061462F"/>
    <w:rsid w:val="00614895"/>
    <w:rsid w:val="006149BC"/>
    <w:rsid w:val="00614A04"/>
    <w:rsid w:val="00614BA8"/>
    <w:rsid w:val="006150A3"/>
    <w:rsid w:val="0061521A"/>
    <w:rsid w:val="00615719"/>
    <w:rsid w:val="00615E8B"/>
    <w:rsid w:val="00616347"/>
    <w:rsid w:val="00616390"/>
    <w:rsid w:val="00616CC4"/>
    <w:rsid w:val="00616D7B"/>
    <w:rsid w:val="00616F3F"/>
    <w:rsid w:val="00616F88"/>
    <w:rsid w:val="00617924"/>
    <w:rsid w:val="00617CC3"/>
    <w:rsid w:val="00617FB2"/>
    <w:rsid w:val="00617FB3"/>
    <w:rsid w:val="00620885"/>
    <w:rsid w:val="006209F2"/>
    <w:rsid w:val="00620B2B"/>
    <w:rsid w:val="00620F3A"/>
    <w:rsid w:val="0062198D"/>
    <w:rsid w:val="00622003"/>
    <w:rsid w:val="006220DA"/>
    <w:rsid w:val="006222DE"/>
    <w:rsid w:val="00622C8B"/>
    <w:rsid w:val="00622DD1"/>
    <w:rsid w:val="00623572"/>
    <w:rsid w:val="0062388F"/>
    <w:rsid w:val="0062396E"/>
    <w:rsid w:val="00624059"/>
    <w:rsid w:val="0062443B"/>
    <w:rsid w:val="0062443F"/>
    <w:rsid w:val="00624833"/>
    <w:rsid w:val="00624AC7"/>
    <w:rsid w:val="00624EA8"/>
    <w:rsid w:val="0062500A"/>
    <w:rsid w:val="006256FF"/>
    <w:rsid w:val="00625917"/>
    <w:rsid w:val="00625E81"/>
    <w:rsid w:val="00625F29"/>
    <w:rsid w:val="006266B4"/>
    <w:rsid w:val="00626B5F"/>
    <w:rsid w:val="00626EB7"/>
    <w:rsid w:val="006271D7"/>
    <w:rsid w:val="006278B9"/>
    <w:rsid w:val="00627B13"/>
    <w:rsid w:val="006300C6"/>
    <w:rsid w:val="00630161"/>
    <w:rsid w:val="006304EA"/>
    <w:rsid w:val="00630585"/>
    <w:rsid w:val="00630DFA"/>
    <w:rsid w:val="00631263"/>
    <w:rsid w:val="006318CA"/>
    <w:rsid w:val="00631AFD"/>
    <w:rsid w:val="00631B0B"/>
    <w:rsid w:val="0063203E"/>
    <w:rsid w:val="006320DB"/>
    <w:rsid w:val="0063262A"/>
    <w:rsid w:val="006326F4"/>
    <w:rsid w:val="00632714"/>
    <w:rsid w:val="00632E1A"/>
    <w:rsid w:val="00632EFD"/>
    <w:rsid w:val="006339BE"/>
    <w:rsid w:val="006339FD"/>
    <w:rsid w:val="00633BE5"/>
    <w:rsid w:val="00633D93"/>
    <w:rsid w:val="00633FEC"/>
    <w:rsid w:val="00634052"/>
    <w:rsid w:val="00634063"/>
    <w:rsid w:val="006341D1"/>
    <w:rsid w:val="00634225"/>
    <w:rsid w:val="00634280"/>
    <w:rsid w:val="006345C6"/>
    <w:rsid w:val="00634B87"/>
    <w:rsid w:val="00634C27"/>
    <w:rsid w:val="00634CFF"/>
    <w:rsid w:val="00634DDB"/>
    <w:rsid w:val="00635542"/>
    <w:rsid w:val="0063673C"/>
    <w:rsid w:val="00636A49"/>
    <w:rsid w:val="00636B96"/>
    <w:rsid w:val="006374EC"/>
    <w:rsid w:val="00637658"/>
    <w:rsid w:val="0063765D"/>
    <w:rsid w:val="006377A6"/>
    <w:rsid w:val="00637913"/>
    <w:rsid w:val="00637A3D"/>
    <w:rsid w:val="006401B8"/>
    <w:rsid w:val="00640722"/>
    <w:rsid w:val="00640F9E"/>
    <w:rsid w:val="00641072"/>
    <w:rsid w:val="006411EF"/>
    <w:rsid w:val="006417FE"/>
    <w:rsid w:val="00641AAA"/>
    <w:rsid w:val="00641C15"/>
    <w:rsid w:val="00641C5F"/>
    <w:rsid w:val="00642489"/>
    <w:rsid w:val="006425DD"/>
    <w:rsid w:val="006427EB"/>
    <w:rsid w:val="00642878"/>
    <w:rsid w:val="00642962"/>
    <w:rsid w:val="006429D2"/>
    <w:rsid w:val="00642F12"/>
    <w:rsid w:val="00643726"/>
    <w:rsid w:val="006437D8"/>
    <w:rsid w:val="00643A05"/>
    <w:rsid w:val="00643BB6"/>
    <w:rsid w:val="00643BD2"/>
    <w:rsid w:val="00643CE4"/>
    <w:rsid w:val="00644072"/>
    <w:rsid w:val="006442E2"/>
    <w:rsid w:val="00644412"/>
    <w:rsid w:val="0064447D"/>
    <w:rsid w:val="00644A0F"/>
    <w:rsid w:val="00645038"/>
    <w:rsid w:val="006451D9"/>
    <w:rsid w:val="00645489"/>
    <w:rsid w:val="00645E1A"/>
    <w:rsid w:val="00645E56"/>
    <w:rsid w:val="00645E8B"/>
    <w:rsid w:val="0064712E"/>
    <w:rsid w:val="0064720E"/>
    <w:rsid w:val="00647743"/>
    <w:rsid w:val="00647953"/>
    <w:rsid w:val="006508FF"/>
    <w:rsid w:val="00650BC2"/>
    <w:rsid w:val="00650ED8"/>
    <w:rsid w:val="0065114F"/>
    <w:rsid w:val="00651235"/>
    <w:rsid w:val="006514C5"/>
    <w:rsid w:val="00651977"/>
    <w:rsid w:val="006527D2"/>
    <w:rsid w:val="00652B7E"/>
    <w:rsid w:val="00652E18"/>
    <w:rsid w:val="00652EA1"/>
    <w:rsid w:val="006534AD"/>
    <w:rsid w:val="006534E5"/>
    <w:rsid w:val="0065361D"/>
    <w:rsid w:val="00653A5E"/>
    <w:rsid w:val="00653F0F"/>
    <w:rsid w:val="00653F34"/>
    <w:rsid w:val="00653F79"/>
    <w:rsid w:val="00654537"/>
    <w:rsid w:val="006545E4"/>
    <w:rsid w:val="00654892"/>
    <w:rsid w:val="006549E8"/>
    <w:rsid w:val="00654CC2"/>
    <w:rsid w:val="00654CF3"/>
    <w:rsid w:val="00655F4E"/>
    <w:rsid w:val="0065600C"/>
    <w:rsid w:val="00656F80"/>
    <w:rsid w:val="0065722C"/>
    <w:rsid w:val="00657630"/>
    <w:rsid w:val="00657AF1"/>
    <w:rsid w:val="0066057B"/>
    <w:rsid w:val="00661AEF"/>
    <w:rsid w:val="00661FC5"/>
    <w:rsid w:val="0066249B"/>
    <w:rsid w:val="006625BF"/>
    <w:rsid w:val="00662629"/>
    <w:rsid w:val="00662B62"/>
    <w:rsid w:val="00662D0E"/>
    <w:rsid w:val="006633EB"/>
    <w:rsid w:val="0066398B"/>
    <w:rsid w:val="00663ADA"/>
    <w:rsid w:val="00663B3F"/>
    <w:rsid w:val="00663BD4"/>
    <w:rsid w:val="00664918"/>
    <w:rsid w:val="006653CD"/>
    <w:rsid w:val="006658C4"/>
    <w:rsid w:val="00665983"/>
    <w:rsid w:val="00665B02"/>
    <w:rsid w:val="00665C3E"/>
    <w:rsid w:val="00665E3D"/>
    <w:rsid w:val="00665E8D"/>
    <w:rsid w:val="006666D3"/>
    <w:rsid w:val="006667E0"/>
    <w:rsid w:val="006669FA"/>
    <w:rsid w:val="00666C22"/>
    <w:rsid w:val="00666DE7"/>
    <w:rsid w:val="006673B8"/>
    <w:rsid w:val="00667A31"/>
    <w:rsid w:val="00667B43"/>
    <w:rsid w:val="00667D10"/>
    <w:rsid w:val="00670497"/>
    <w:rsid w:val="00670A6E"/>
    <w:rsid w:val="00670EDC"/>
    <w:rsid w:val="0067174C"/>
    <w:rsid w:val="006719A6"/>
    <w:rsid w:val="00671DB9"/>
    <w:rsid w:val="00671E30"/>
    <w:rsid w:val="0067224C"/>
    <w:rsid w:val="0067235D"/>
    <w:rsid w:val="00672B07"/>
    <w:rsid w:val="00672CA9"/>
    <w:rsid w:val="00672EA7"/>
    <w:rsid w:val="00672F24"/>
    <w:rsid w:val="00672F31"/>
    <w:rsid w:val="00673BB8"/>
    <w:rsid w:val="00673D8A"/>
    <w:rsid w:val="006746E6"/>
    <w:rsid w:val="006748B8"/>
    <w:rsid w:val="00674B89"/>
    <w:rsid w:val="006751D5"/>
    <w:rsid w:val="00675249"/>
    <w:rsid w:val="00675CEC"/>
    <w:rsid w:val="00675DA7"/>
    <w:rsid w:val="00675EF5"/>
    <w:rsid w:val="006760AA"/>
    <w:rsid w:val="00676341"/>
    <w:rsid w:val="006768C3"/>
    <w:rsid w:val="00676A8B"/>
    <w:rsid w:val="00676D3A"/>
    <w:rsid w:val="00676F60"/>
    <w:rsid w:val="00676FFC"/>
    <w:rsid w:val="006770A0"/>
    <w:rsid w:val="00677522"/>
    <w:rsid w:val="006775C3"/>
    <w:rsid w:val="00677AF6"/>
    <w:rsid w:val="00680413"/>
    <w:rsid w:val="0068045E"/>
    <w:rsid w:val="00680A8A"/>
    <w:rsid w:val="00680B2C"/>
    <w:rsid w:val="00680BF1"/>
    <w:rsid w:val="0068140B"/>
    <w:rsid w:val="00681468"/>
    <w:rsid w:val="00681488"/>
    <w:rsid w:val="00681697"/>
    <w:rsid w:val="00681ACB"/>
    <w:rsid w:val="00681AEF"/>
    <w:rsid w:val="00681CEE"/>
    <w:rsid w:val="006822D0"/>
    <w:rsid w:val="00683129"/>
    <w:rsid w:val="006832A7"/>
    <w:rsid w:val="006834BC"/>
    <w:rsid w:val="006836D8"/>
    <w:rsid w:val="00683B26"/>
    <w:rsid w:val="006843AF"/>
    <w:rsid w:val="00684A20"/>
    <w:rsid w:val="00684B5F"/>
    <w:rsid w:val="006854AD"/>
    <w:rsid w:val="00685903"/>
    <w:rsid w:val="006859B3"/>
    <w:rsid w:val="00685B8F"/>
    <w:rsid w:val="006861C5"/>
    <w:rsid w:val="00686268"/>
    <w:rsid w:val="0068638B"/>
    <w:rsid w:val="006866B1"/>
    <w:rsid w:val="00686884"/>
    <w:rsid w:val="0068706F"/>
    <w:rsid w:val="006878AE"/>
    <w:rsid w:val="00687CDD"/>
    <w:rsid w:val="00690179"/>
    <w:rsid w:val="006901BC"/>
    <w:rsid w:val="00690317"/>
    <w:rsid w:val="0069052C"/>
    <w:rsid w:val="00690691"/>
    <w:rsid w:val="00690BBD"/>
    <w:rsid w:val="00690D91"/>
    <w:rsid w:val="00690F44"/>
    <w:rsid w:val="00691456"/>
    <w:rsid w:val="006920E2"/>
    <w:rsid w:val="0069234F"/>
    <w:rsid w:val="00692366"/>
    <w:rsid w:val="006923D1"/>
    <w:rsid w:val="0069290A"/>
    <w:rsid w:val="006945A8"/>
    <w:rsid w:val="0069462D"/>
    <w:rsid w:val="00694D52"/>
    <w:rsid w:val="00694F63"/>
    <w:rsid w:val="006952A1"/>
    <w:rsid w:val="00695AF2"/>
    <w:rsid w:val="00696122"/>
    <w:rsid w:val="0069615A"/>
    <w:rsid w:val="0069618D"/>
    <w:rsid w:val="00696490"/>
    <w:rsid w:val="0069650D"/>
    <w:rsid w:val="0069718F"/>
    <w:rsid w:val="0069775A"/>
    <w:rsid w:val="00697813"/>
    <w:rsid w:val="00697E3A"/>
    <w:rsid w:val="006A00A9"/>
    <w:rsid w:val="006A0E6B"/>
    <w:rsid w:val="006A11AC"/>
    <w:rsid w:val="006A11FB"/>
    <w:rsid w:val="006A1552"/>
    <w:rsid w:val="006A1944"/>
    <w:rsid w:val="006A1B6D"/>
    <w:rsid w:val="006A1B72"/>
    <w:rsid w:val="006A1EA0"/>
    <w:rsid w:val="006A2432"/>
    <w:rsid w:val="006A24CF"/>
    <w:rsid w:val="006A2C52"/>
    <w:rsid w:val="006A2D8F"/>
    <w:rsid w:val="006A2E0C"/>
    <w:rsid w:val="006A32EF"/>
    <w:rsid w:val="006A34BF"/>
    <w:rsid w:val="006A39F4"/>
    <w:rsid w:val="006A3EE8"/>
    <w:rsid w:val="006A473B"/>
    <w:rsid w:val="006A49BC"/>
    <w:rsid w:val="006A4B84"/>
    <w:rsid w:val="006A5128"/>
    <w:rsid w:val="006A5741"/>
    <w:rsid w:val="006A617A"/>
    <w:rsid w:val="006A6200"/>
    <w:rsid w:val="006A6506"/>
    <w:rsid w:val="006A6679"/>
    <w:rsid w:val="006A6885"/>
    <w:rsid w:val="006A72BF"/>
    <w:rsid w:val="006A7567"/>
    <w:rsid w:val="006A7628"/>
    <w:rsid w:val="006A781A"/>
    <w:rsid w:val="006A7E7F"/>
    <w:rsid w:val="006A7F4F"/>
    <w:rsid w:val="006A7FB1"/>
    <w:rsid w:val="006B03F2"/>
    <w:rsid w:val="006B0503"/>
    <w:rsid w:val="006B0EE2"/>
    <w:rsid w:val="006B137F"/>
    <w:rsid w:val="006B1395"/>
    <w:rsid w:val="006B1454"/>
    <w:rsid w:val="006B14C1"/>
    <w:rsid w:val="006B14FA"/>
    <w:rsid w:val="006B156F"/>
    <w:rsid w:val="006B1872"/>
    <w:rsid w:val="006B1924"/>
    <w:rsid w:val="006B1C67"/>
    <w:rsid w:val="006B273B"/>
    <w:rsid w:val="006B274D"/>
    <w:rsid w:val="006B2F2A"/>
    <w:rsid w:val="006B3522"/>
    <w:rsid w:val="006B37DC"/>
    <w:rsid w:val="006B384C"/>
    <w:rsid w:val="006B3BD2"/>
    <w:rsid w:val="006B3E80"/>
    <w:rsid w:val="006B3FDF"/>
    <w:rsid w:val="006B429D"/>
    <w:rsid w:val="006B4513"/>
    <w:rsid w:val="006B46F7"/>
    <w:rsid w:val="006B4B8D"/>
    <w:rsid w:val="006B4F68"/>
    <w:rsid w:val="006B57B3"/>
    <w:rsid w:val="006B6326"/>
    <w:rsid w:val="006B64FE"/>
    <w:rsid w:val="006B6E7C"/>
    <w:rsid w:val="006B720D"/>
    <w:rsid w:val="006B791E"/>
    <w:rsid w:val="006C003C"/>
    <w:rsid w:val="006C018B"/>
    <w:rsid w:val="006C0592"/>
    <w:rsid w:val="006C0C06"/>
    <w:rsid w:val="006C0F6C"/>
    <w:rsid w:val="006C11F8"/>
    <w:rsid w:val="006C19CA"/>
    <w:rsid w:val="006C19ED"/>
    <w:rsid w:val="006C1F80"/>
    <w:rsid w:val="006C24F4"/>
    <w:rsid w:val="006C272E"/>
    <w:rsid w:val="006C2B14"/>
    <w:rsid w:val="006C2BB7"/>
    <w:rsid w:val="006C2D55"/>
    <w:rsid w:val="006C3040"/>
    <w:rsid w:val="006C3104"/>
    <w:rsid w:val="006C37B4"/>
    <w:rsid w:val="006C3A7A"/>
    <w:rsid w:val="006C3CC1"/>
    <w:rsid w:val="006C420F"/>
    <w:rsid w:val="006C45A6"/>
    <w:rsid w:val="006C4797"/>
    <w:rsid w:val="006C491D"/>
    <w:rsid w:val="006C4B09"/>
    <w:rsid w:val="006C4B4F"/>
    <w:rsid w:val="006C50CF"/>
    <w:rsid w:val="006C530B"/>
    <w:rsid w:val="006C5479"/>
    <w:rsid w:val="006C5F0E"/>
    <w:rsid w:val="006C602A"/>
    <w:rsid w:val="006C682B"/>
    <w:rsid w:val="006C699C"/>
    <w:rsid w:val="006C69C1"/>
    <w:rsid w:val="006C6C14"/>
    <w:rsid w:val="006C71B7"/>
    <w:rsid w:val="006C75B0"/>
    <w:rsid w:val="006C75D5"/>
    <w:rsid w:val="006C7785"/>
    <w:rsid w:val="006C7AE2"/>
    <w:rsid w:val="006C7B0B"/>
    <w:rsid w:val="006C7CB6"/>
    <w:rsid w:val="006C7D94"/>
    <w:rsid w:val="006D05C0"/>
    <w:rsid w:val="006D0A76"/>
    <w:rsid w:val="006D0C0E"/>
    <w:rsid w:val="006D0F39"/>
    <w:rsid w:val="006D10CD"/>
    <w:rsid w:val="006D10E7"/>
    <w:rsid w:val="006D11D9"/>
    <w:rsid w:val="006D13B5"/>
    <w:rsid w:val="006D13DA"/>
    <w:rsid w:val="006D153D"/>
    <w:rsid w:val="006D181C"/>
    <w:rsid w:val="006D1AF2"/>
    <w:rsid w:val="006D1BCF"/>
    <w:rsid w:val="006D22DF"/>
    <w:rsid w:val="006D23EE"/>
    <w:rsid w:val="006D249B"/>
    <w:rsid w:val="006D2593"/>
    <w:rsid w:val="006D259C"/>
    <w:rsid w:val="006D2666"/>
    <w:rsid w:val="006D2BE3"/>
    <w:rsid w:val="006D36E4"/>
    <w:rsid w:val="006D3E6A"/>
    <w:rsid w:val="006D4711"/>
    <w:rsid w:val="006D476B"/>
    <w:rsid w:val="006D4915"/>
    <w:rsid w:val="006D4949"/>
    <w:rsid w:val="006D4BBB"/>
    <w:rsid w:val="006D4CD7"/>
    <w:rsid w:val="006D56CC"/>
    <w:rsid w:val="006D6799"/>
    <w:rsid w:val="006D68E2"/>
    <w:rsid w:val="006D6B04"/>
    <w:rsid w:val="006D6B6F"/>
    <w:rsid w:val="006D6DCA"/>
    <w:rsid w:val="006D6EA4"/>
    <w:rsid w:val="006D73A2"/>
    <w:rsid w:val="006D77CE"/>
    <w:rsid w:val="006D7820"/>
    <w:rsid w:val="006D7DD8"/>
    <w:rsid w:val="006D7F1B"/>
    <w:rsid w:val="006E024A"/>
    <w:rsid w:val="006E0A04"/>
    <w:rsid w:val="006E0ADE"/>
    <w:rsid w:val="006E0FB8"/>
    <w:rsid w:val="006E12FF"/>
    <w:rsid w:val="006E1D3B"/>
    <w:rsid w:val="006E325B"/>
    <w:rsid w:val="006E33A6"/>
    <w:rsid w:val="006E3D45"/>
    <w:rsid w:val="006E4095"/>
    <w:rsid w:val="006E40A0"/>
    <w:rsid w:val="006E449B"/>
    <w:rsid w:val="006E4936"/>
    <w:rsid w:val="006E51B8"/>
    <w:rsid w:val="006E559F"/>
    <w:rsid w:val="006E5617"/>
    <w:rsid w:val="006E56B7"/>
    <w:rsid w:val="006E5854"/>
    <w:rsid w:val="006E607E"/>
    <w:rsid w:val="006E60D0"/>
    <w:rsid w:val="006E6371"/>
    <w:rsid w:val="006E6557"/>
    <w:rsid w:val="006E65F7"/>
    <w:rsid w:val="006E6A6C"/>
    <w:rsid w:val="006E6E8B"/>
    <w:rsid w:val="006F000C"/>
    <w:rsid w:val="006F051E"/>
    <w:rsid w:val="006F0A58"/>
    <w:rsid w:val="006F0EA7"/>
    <w:rsid w:val="006F0F82"/>
    <w:rsid w:val="006F0F8A"/>
    <w:rsid w:val="006F15E8"/>
    <w:rsid w:val="006F165A"/>
    <w:rsid w:val="006F17C4"/>
    <w:rsid w:val="006F180F"/>
    <w:rsid w:val="006F1AB6"/>
    <w:rsid w:val="006F1E1E"/>
    <w:rsid w:val="006F1E8B"/>
    <w:rsid w:val="006F24BD"/>
    <w:rsid w:val="006F25CE"/>
    <w:rsid w:val="006F2717"/>
    <w:rsid w:val="006F2C0A"/>
    <w:rsid w:val="006F2E10"/>
    <w:rsid w:val="006F2F8A"/>
    <w:rsid w:val="006F3392"/>
    <w:rsid w:val="006F35F9"/>
    <w:rsid w:val="006F3A5C"/>
    <w:rsid w:val="006F3B30"/>
    <w:rsid w:val="006F3E13"/>
    <w:rsid w:val="006F3F9F"/>
    <w:rsid w:val="006F3FED"/>
    <w:rsid w:val="006F40F4"/>
    <w:rsid w:val="006F4278"/>
    <w:rsid w:val="006F4723"/>
    <w:rsid w:val="006F4978"/>
    <w:rsid w:val="006F5219"/>
    <w:rsid w:val="006F5982"/>
    <w:rsid w:val="006F5AF9"/>
    <w:rsid w:val="006F5B8F"/>
    <w:rsid w:val="006F5BA3"/>
    <w:rsid w:val="006F5EC4"/>
    <w:rsid w:val="006F609F"/>
    <w:rsid w:val="006F6851"/>
    <w:rsid w:val="006F6E54"/>
    <w:rsid w:val="006F6FF5"/>
    <w:rsid w:val="006F7F06"/>
    <w:rsid w:val="007002F3"/>
    <w:rsid w:val="00700AAA"/>
    <w:rsid w:val="00700FCD"/>
    <w:rsid w:val="0070105D"/>
    <w:rsid w:val="00702AE5"/>
    <w:rsid w:val="00702DA6"/>
    <w:rsid w:val="00702F79"/>
    <w:rsid w:val="00703100"/>
    <w:rsid w:val="007032DF"/>
    <w:rsid w:val="007038C0"/>
    <w:rsid w:val="00703BC3"/>
    <w:rsid w:val="00703E59"/>
    <w:rsid w:val="00704915"/>
    <w:rsid w:val="00704F2C"/>
    <w:rsid w:val="00704F7A"/>
    <w:rsid w:val="007051DD"/>
    <w:rsid w:val="00705990"/>
    <w:rsid w:val="00705B22"/>
    <w:rsid w:val="00705B2A"/>
    <w:rsid w:val="00705CCE"/>
    <w:rsid w:val="00705D22"/>
    <w:rsid w:val="00705DB1"/>
    <w:rsid w:val="007064F8"/>
    <w:rsid w:val="00706715"/>
    <w:rsid w:val="0070680E"/>
    <w:rsid w:val="00706C5D"/>
    <w:rsid w:val="0070730E"/>
    <w:rsid w:val="00707454"/>
    <w:rsid w:val="007077C6"/>
    <w:rsid w:val="007078FB"/>
    <w:rsid w:val="00707A5D"/>
    <w:rsid w:val="007101B4"/>
    <w:rsid w:val="0071046C"/>
    <w:rsid w:val="0071073B"/>
    <w:rsid w:val="00710945"/>
    <w:rsid w:val="0071251A"/>
    <w:rsid w:val="00713684"/>
    <w:rsid w:val="00713C5B"/>
    <w:rsid w:val="007141E8"/>
    <w:rsid w:val="0071462F"/>
    <w:rsid w:val="00714989"/>
    <w:rsid w:val="00714B80"/>
    <w:rsid w:val="00714D11"/>
    <w:rsid w:val="00715169"/>
    <w:rsid w:val="007154D2"/>
    <w:rsid w:val="007155DD"/>
    <w:rsid w:val="0071569E"/>
    <w:rsid w:val="0071583C"/>
    <w:rsid w:val="00715862"/>
    <w:rsid w:val="007158CA"/>
    <w:rsid w:val="00715E2F"/>
    <w:rsid w:val="00715EC8"/>
    <w:rsid w:val="007163D4"/>
    <w:rsid w:val="00716A11"/>
    <w:rsid w:val="00716B3C"/>
    <w:rsid w:val="007173F4"/>
    <w:rsid w:val="007174DE"/>
    <w:rsid w:val="00717BED"/>
    <w:rsid w:val="007203B5"/>
    <w:rsid w:val="00720589"/>
    <w:rsid w:val="007205F1"/>
    <w:rsid w:val="00720CD7"/>
    <w:rsid w:val="00720CF1"/>
    <w:rsid w:val="00720E25"/>
    <w:rsid w:val="00720F4E"/>
    <w:rsid w:val="00720F95"/>
    <w:rsid w:val="00721A0D"/>
    <w:rsid w:val="00721AE9"/>
    <w:rsid w:val="00721C78"/>
    <w:rsid w:val="00722B4B"/>
    <w:rsid w:val="00722D8F"/>
    <w:rsid w:val="00722F5D"/>
    <w:rsid w:val="00723F2B"/>
    <w:rsid w:val="0072435A"/>
    <w:rsid w:val="0072480C"/>
    <w:rsid w:val="00724F51"/>
    <w:rsid w:val="0072501D"/>
    <w:rsid w:val="00726377"/>
    <w:rsid w:val="00726A50"/>
    <w:rsid w:val="00727097"/>
    <w:rsid w:val="007274EC"/>
    <w:rsid w:val="00727702"/>
    <w:rsid w:val="0072798D"/>
    <w:rsid w:val="00727A5F"/>
    <w:rsid w:val="00730222"/>
    <w:rsid w:val="0073036C"/>
    <w:rsid w:val="0073058C"/>
    <w:rsid w:val="00730866"/>
    <w:rsid w:val="00730BA6"/>
    <w:rsid w:val="00731502"/>
    <w:rsid w:val="0073175A"/>
    <w:rsid w:val="00731762"/>
    <w:rsid w:val="00731B60"/>
    <w:rsid w:val="00731F2D"/>
    <w:rsid w:val="00731F61"/>
    <w:rsid w:val="00731FBF"/>
    <w:rsid w:val="00731FD4"/>
    <w:rsid w:val="007320BB"/>
    <w:rsid w:val="0073222F"/>
    <w:rsid w:val="00732566"/>
    <w:rsid w:val="00732922"/>
    <w:rsid w:val="007329D0"/>
    <w:rsid w:val="007331AE"/>
    <w:rsid w:val="007333CE"/>
    <w:rsid w:val="0073358E"/>
    <w:rsid w:val="00734264"/>
    <w:rsid w:val="0073476B"/>
    <w:rsid w:val="00734AC0"/>
    <w:rsid w:val="0073636B"/>
    <w:rsid w:val="00737437"/>
    <w:rsid w:val="00737C97"/>
    <w:rsid w:val="007402CB"/>
    <w:rsid w:val="0074066B"/>
    <w:rsid w:val="00740C5B"/>
    <w:rsid w:val="00740CB1"/>
    <w:rsid w:val="00740E46"/>
    <w:rsid w:val="00740EF6"/>
    <w:rsid w:val="00740FB4"/>
    <w:rsid w:val="007410A2"/>
    <w:rsid w:val="007410B0"/>
    <w:rsid w:val="00741520"/>
    <w:rsid w:val="00741580"/>
    <w:rsid w:val="007415C1"/>
    <w:rsid w:val="0074166C"/>
    <w:rsid w:val="00741866"/>
    <w:rsid w:val="00741A5F"/>
    <w:rsid w:val="00741A7B"/>
    <w:rsid w:val="00741DB5"/>
    <w:rsid w:val="007422AB"/>
    <w:rsid w:val="007426EA"/>
    <w:rsid w:val="007427F1"/>
    <w:rsid w:val="00742828"/>
    <w:rsid w:val="00742A1C"/>
    <w:rsid w:val="00742A2C"/>
    <w:rsid w:val="0074311E"/>
    <w:rsid w:val="00743494"/>
    <w:rsid w:val="007437FE"/>
    <w:rsid w:val="00743869"/>
    <w:rsid w:val="00743B61"/>
    <w:rsid w:val="00743CA5"/>
    <w:rsid w:val="00743E8A"/>
    <w:rsid w:val="007441E6"/>
    <w:rsid w:val="0074528E"/>
    <w:rsid w:val="00745CC3"/>
    <w:rsid w:val="007460FA"/>
    <w:rsid w:val="00746A6D"/>
    <w:rsid w:val="007472BA"/>
    <w:rsid w:val="00747AAB"/>
    <w:rsid w:val="00747B25"/>
    <w:rsid w:val="00747E55"/>
    <w:rsid w:val="0075004B"/>
    <w:rsid w:val="007500DF"/>
    <w:rsid w:val="0075019D"/>
    <w:rsid w:val="007502C4"/>
    <w:rsid w:val="007503D3"/>
    <w:rsid w:val="00750ACD"/>
    <w:rsid w:val="00750F8E"/>
    <w:rsid w:val="007510EB"/>
    <w:rsid w:val="00751249"/>
    <w:rsid w:val="00751379"/>
    <w:rsid w:val="0075162E"/>
    <w:rsid w:val="00751720"/>
    <w:rsid w:val="00751A4C"/>
    <w:rsid w:val="00751BBB"/>
    <w:rsid w:val="00751E21"/>
    <w:rsid w:val="00752031"/>
    <w:rsid w:val="00752750"/>
    <w:rsid w:val="007529A4"/>
    <w:rsid w:val="007529B0"/>
    <w:rsid w:val="00752BD4"/>
    <w:rsid w:val="007531E8"/>
    <w:rsid w:val="007534D7"/>
    <w:rsid w:val="00753668"/>
    <w:rsid w:val="00753A8A"/>
    <w:rsid w:val="00753B57"/>
    <w:rsid w:val="00754034"/>
    <w:rsid w:val="007547CC"/>
    <w:rsid w:val="00754DC1"/>
    <w:rsid w:val="007553C4"/>
    <w:rsid w:val="00755408"/>
    <w:rsid w:val="00755825"/>
    <w:rsid w:val="00755BE0"/>
    <w:rsid w:val="00755C1D"/>
    <w:rsid w:val="00756255"/>
    <w:rsid w:val="00756556"/>
    <w:rsid w:val="00756A27"/>
    <w:rsid w:val="00756B96"/>
    <w:rsid w:val="00756F69"/>
    <w:rsid w:val="00756FA8"/>
    <w:rsid w:val="007577DF"/>
    <w:rsid w:val="00757BAD"/>
    <w:rsid w:val="0076030E"/>
    <w:rsid w:val="00760415"/>
    <w:rsid w:val="00760963"/>
    <w:rsid w:val="00760E88"/>
    <w:rsid w:val="007615CA"/>
    <w:rsid w:val="007618C4"/>
    <w:rsid w:val="00761A67"/>
    <w:rsid w:val="00761C56"/>
    <w:rsid w:val="00762043"/>
    <w:rsid w:val="00762566"/>
    <w:rsid w:val="007628CD"/>
    <w:rsid w:val="00762F4E"/>
    <w:rsid w:val="007630FD"/>
    <w:rsid w:val="007633EC"/>
    <w:rsid w:val="00763ABE"/>
    <w:rsid w:val="00763C55"/>
    <w:rsid w:val="00763D11"/>
    <w:rsid w:val="00763F67"/>
    <w:rsid w:val="00764074"/>
    <w:rsid w:val="007640DE"/>
    <w:rsid w:val="007641B8"/>
    <w:rsid w:val="007645B8"/>
    <w:rsid w:val="007647F7"/>
    <w:rsid w:val="00764A78"/>
    <w:rsid w:val="00764C09"/>
    <w:rsid w:val="00764F44"/>
    <w:rsid w:val="007651CD"/>
    <w:rsid w:val="007655F3"/>
    <w:rsid w:val="00765880"/>
    <w:rsid w:val="00765921"/>
    <w:rsid w:val="00765DDA"/>
    <w:rsid w:val="00765F9C"/>
    <w:rsid w:val="00766C37"/>
    <w:rsid w:val="0076753C"/>
    <w:rsid w:val="0076788A"/>
    <w:rsid w:val="00767980"/>
    <w:rsid w:val="00767AC7"/>
    <w:rsid w:val="00767B57"/>
    <w:rsid w:val="00767C79"/>
    <w:rsid w:val="00767D9D"/>
    <w:rsid w:val="007701F4"/>
    <w:rsid w:val="0077048D"/>
    <w:rsid w:val="007706C1"/>
    <w:rsid w:val="00770885"/>
    <w:rsid w:val="00770AD5"/>
    <w:rsid w:val="00770ADE"/>
    <w:rsid w:val="00770B19"/>
    <w:rsid w:val="0077129C"/>
    <w:rsid w:val="0077143C"/>
    <w:rsid w:val="00771495"/>
    <w:rsid w:val="00771672"/>
    <w:rsid w:val="00771A5E"/>
    <w:rsid w:val="00771E05"/>
    <w:rsid w:val="00772700"/>
    <w:rsid w:val="00772FBE"/>
    <w:rsid w:val="00773309"/>
    <w:rsid w:val="00773423"/>
    <w:rsid w:val="007736B8"/>
    <w:rsid w:val="00773A89"/>
    <w:rsid w:val="00773EB3"/>
    <w:rsid w:val="00773ED0"/>
    <w:rsid w:val="0077463F"/>
    <w:rsid w:val="00774A11"/>
    <w:rsid w:val="00774A6E"/>
    <w:rsid w:val="0077515A"/>
    <w:rsid w:val="007751D7"/>
    <w:rsid w:val="007753BF"/>
    <w:rsid w:val="007755E8"/>
    <w:rsid w:val="00775BF6"/>
    <w:rsid w:val="007766B0"/>
    <w:rsid w:val="00776CF2"/>
    <w:rsid w:val="00776DD4"/>
    <w:rsid w:val="00776EF0"/>
    <w:rsid w:val="0077718B"/>
    <w:rsid w:val="0077735E"/>
    <w:rsid w:val="00777FB3"/>
    <w:rsid w:val="00780A0D"/>
    <w:rsid w:val="00780AFD"/>
    <w:rsid w:val="00780CAF"/>
    <w:rsid w:val="00780D1D"/>
    <w:rsid w:val="0078169F"/>
    <w:rsid w:val="00781744"/>
    <w:rsid w:val="00781B6D"/>
    <w:rsid w:val="00781F49"/>
    <w:rsid w:val="00782111"/>
    <w:rsid w:val="00782421"/>
    <w:rsid w:val="0078265E"/>
    <w:rsid w:val="00782660"/>
    <w:rsid w:val="007826A4"/>
    <w:rsid w:val="0078271D"/>
    <w:rsid w:val="00782C77"/>
    <w:rsid w:val="007836EA"/>
    <w:rsid w:val="0078400B"/>
    <w:rsid w:val="0078426B"/>
    <w:rsid w:val="007842C4"/>
    <w:rsid w:val="0078456F"/>
    <w:rsid w:val="00784979"/>
    <w:rsid w:val="00784C22"/>
    <w:rsid w:val="00784CDA"/>
    <w:rsid w:val="007850DD"/>
    <w:rsid w:val="007856E1"/>
    <w:rsid w:val="00785730"/>
    <w:rsid w:val="00785B01"/>
    <w:rsid w:val="00785EE5"/>
    <w:rsid w:val="00786959"/>
    <w:rsid w:val="00786E79"/>
    <w:rsid w:val="00786EF2"/>
    <w:rsid w:val="00787083"/>
    <w:rsid w:val="007872E1"/>
    <w:rsid w:val="007876C9"/>
    <w:rsid w:val="0078793E"/>
    <w:rsid w:val="007879C1"/>
    <w:rsid w:val="007902CC"/>
    <w:rsid w:val="007902DE"/>
    <w:rsid w:val="007905D8"/>
    <w:rsid w:val="007906C4"/>
    <w:rsid w:val="00790967"/>
    <w:rsid w:val="0079099B"/>
    <w:rsid w:val="00791058"/>
    <w:rsid w:val="007913D2"/>
    <w:rsid w:val="00792D0F"/>
    <w:rsid w:val="00792D40"/>
    <w:rsid w:val="00792D4F"/>
    <w:rsid w:val="007934F5"/>
    <w:rsid w:val="00793A04"/>
    <w:rsid w:val="007940EA"/>
    <w:rsid w:val="00794917"/>
    <w:rsid w:val="00794C5A"/>
    <w:rsid w:val="00794DD8"/>
    <w:rsid w:val="00794E8D"/>
    <w:rsid w:val="00794F31"/>
    <w:rsid w:val="0079505F"/>
    <w:rsid w:val="007953E3"/>
    <w:rsid w:val="00795F18"/>
    <w:rsid w:val="007966D7"/>
    <w:rsid w:val="007966FB"/>
    <w:rsid w:val="007967E8"/>
    <w:rsid w:val="0079681F"/>
    <w:rsid w:val="00796932"/>
    <w:rsid w:val="0079707A"/>
    <w:rsid w:val="0079776A"/>
    <w:rsid w:val="00797BB1"/>
    <w:rsid w:val="00797C55"/>
    <w:rsid w:val="00797C93"/>
    <w:rsid w:val="00797F95"/>
    <w:rsid w:val="007A0D65"/>
    <w:rsid w:val="007A0DBF"/>
    <w:rsid w:val="007A1562"/>
    <w:rsid w:val="007A1C60"/>
    <w:rsid w:val="007A2170"/>
    <w:rsid w:val="007A22BF"/>
    <w:rsid w:val="007A2524"/>
    <w:rsid w:val="007A2538"/>
    <w:rsid w:val="007A2760"/>
    <w:rsid w:val="007A2F1C"/>
    <w:rsid w:val="007A2F44"/>
    <w:rsid w:val="007A3323"/>
    <w:rsid w:val="007A3AA6"/>
    <w:rsid w:val="007A3AD8"/>
    <w:rsid w:val="007A434E"/>
    <w:rsid w:val="007A438D"/>
    <w:rsid w:val="007A4767"/>
    <w:rsid w:val="007A5A5D"/>
    <w:rsid w:val="007A5ABE"/>
    <w:rsid w:val="007A5BC3"/>
    <w:rsid w:val="007A62ED"/>
    <w:rsid w:val="007A6744"/>
    <w:rsid w:val="007A6EFC"/>
    <w:rsid w:val="007A7301"/>
    <w:rsid w:val="007A736B"/>
    <w:rsid w:val="007A7820"/>
    <w:rsid w:val="007A7D50"/>
    <w:rsid w:val="007A7E25"/>
    <w:rsid w:val="007A7EF1"/>
    <w:rsid w:val="007B009B"/>
    <w:rsid w:val="007B0179"/>
    <w:rsid w:val="007B03DB"/>
    <w:rsid w:val="007B0E96"/>
    <w:rsid w:val="007B1637"/>
    <w:rsid w:val="007B16E7"/>
    <w:rsid w:val="007B176B"/>
    <w:rsid w:val="007B1B86"/>
    <w:rsid w:val="007B1EF3"/>
    <w:rsid w:val="007B250B"/>
    <w:rsid w:val="007B2755"/>
    <w:rsid w:val="007B27FD"/>
    <w:rsid w:val="007B29AA"/>
    <w:rsid w:val="007B2D1B"/>
    <w:rsid w:val="007B2F5F"/>
    <w:rsid w:val="007B359B"/>
    <w:rsid w:val="007B36A5"/>
    <w:rsid w:val="007B4069"/>
    <w:rsid w:val="007B4828"/>
    <w:rsid w:val="007B4A83"/>
    <w:rsid w:val="007B4C03"/>
    <w:rsid w:val="007B4D52"/>
    <w:rsid w:val="007B4EE2"/>
    <w:rsid w:val="007B53AB"/>
    <w:rsid w:val="007B5447"/>
    <w:rsid w:val="007B5803"/>
    <w:rsid w:val="007B5AFF"/>
    <w:rsid w:val="007B5BD6"/>
    <w:rsid w:val="007B5C43"/>
    <w:rsid w:val="007B6587"/>
    <w:rsid w:val="007B68EF"/>
    <w:rsid w:val="007B6C79"/>
    <w:rsid w:val="007B72AD"/>
    <w:rsid w:val="007B72B8"/>
    <w:rsid w:val="007B7A58"/>
    <w:rsid w:val="007B7C2C"/>
    <w:rsid w:val="007C0553"/>
    <w:rsid w:val="007C09E2"/>
    <w:rsid w:val="007C0CB6"/>
    <w:rsid w:val="007C0ED3"/>
    <w:rsid w:val="007C1712"/>
    <w:rsid w:val="007C1C1F"/>
    <w:rsid w:val="007C1FE1"/>
    <w:rsid w:val="007C21B5"/>
    <w:rsid w:val="007C2B03"/>
    <w:rsid w:val="007C2E00"/>
    <w:rsid w:val="007C2EE0"/>
    <w:rsid w:val="007C3895"/>
    <w:rsid w:val="007C3FBC"/>
    <w:rsid w:val="007C4080"/>
    <w:rsid w:val="007C42B2"/>
    <w:rsid w:val="007C42B5"/>
    <w:rsid w:val="007C4428"/>
    <w:rsid w:val="007C5793"/>
    <w:rsid w:val="007C5B1F"/>
    <w:rsid w:val="007C5B73"/>
    <w:rsid w:val="007C5D2C"/>
    <w:rsid w:val="007C5D8E"/>
    <w:rsid w:val="007C61B2"/>
    <w:rsid w:val="007C6322"/>
    <w:rsid w:val="007C65F6"/>
    <w:rsid w:val="007C6C6F"/>
    <w:rsid w:val="007C6E12"/>
    <w:rsid w:val="007C702C"/>
    <w:rsid w:val="007C70A4"/>
    <w:rsid w:val="007C7F32"/>
    <w:rsid w:val="007D0047"/>
    <w:rsid w:val="007D0500"/>
    <w:rsid w:val="007D0FAF"/>
    <w:rsid w:val="007D1165"/>
    <w:rsid w:val="007D150E"/>
    <w:rsid w:val="007D1830"/>
    <w:rsid w:val="007D1956"/>
    <w:rsid w:val="007D1D1C"/>
    <w:rsid w:val="007D3163"/>
    <w:rsid w:val="007D340F"/>
    <w:rsid w:val="007D377D"/>
    <w:rsid w:val="007D3DE4"/>
    <w:rsid w:val="007D4DFB"/>
    <w:rsid w:val="007D4E14"/>
    <w:rsid w:val="007D53B1"/>
    <w:rsid w:val="007D53DD"/>
    <w:rsid w:val="007D6484"/>
    <w:rsid w:val="007D68B7"/>
    <w:rsid w:val="007D6DB8"/>
    <w:rsid w:val="007D6E6F"/>
    <w:rsid w:val="007D729F"/>
    <w:rsid w:val="007D7333"/>
    <w:rsid w:val="007D742D"/>
    <w:rsid w:val="007D7458"/>
    <w:rsid w:val="007D78E4"/>
    <w:rsid w:val="007E0B2F"/>
    <w:rsid w:val="007E13DA"/>
    <w:rsid w:val="007E16AE"/>
    <w:rsid w:val="007E25E2"/>
    <w:rsid w:val="007E274C"/>
    <w:rsid w:val="007E276E"/>
    <w:rsid w:val="007E285B"/>
    <w:rsid w:val="007E2EFB"/>
    <w:rsid w:val="007E307A"/>
    <w:rsid w:val="007E3A40"/>
    <w:rsid w:val="007E3F78"/>
    <w:rsid w:val="007E445D"/>
    <w:rsid w:val="007E4BD2"/>
    <w:rsid w:val="007E4EB0"/>
    <w:rsid w:val="007E53BE"/>
    <w:rsid w:val="007E5C1F"/>
    <w:rsid w:val="007E613F"/>
    <w:rsid w:val="007E6601"/>
    <w:rsid w:val="007E68A4"/>
    <w:rsid w:val="007E6AD6"/>
    <w:rsid w:val="007E6C58"/>
    <w:rsid w:val="007E712B"/>
    <w:rsid w:val="007E7483"/>
    <w:rsid w:val="007E774D"/>
    <w:rsid w:val="007E7782"/>
    <w:rsid w:val="007F0451"/>
    <w:rsid w:val="007F046A"/>
    <w:rsid w:val="007F04D5"/>
    <w:rsid w:val="007F13CA"/>
    <w:rsid w:val="007F140E"/>
    <w:rsid w:val="007F1B76"/>
    <w:rsid w:val="007F1D22"/>
    <w:rsid w:val="007F24B8"/>
    <w:rsid w:val="007F24E5"/>
    <w:rsid w:val="007F2628"/>
    <w:rsid w:val="007F28BD"/>
    <w:rsid w:val="007F2970"/>
    <w:rsid w:val="007F2A30"/>
    <w:rsid w:val="007F2CBC"/>
    <w:rsid w:val="007F2EE2"/>
    <w:rsid w:val="007F3319"/>
    <w:rsid w:val="007F34F6"/>
    <w:rsid w:val="007F3562"/>
    <w:rsid w:val="007F38E3"/>
    <w:rsid w:val="007F39B8"/>
    <w:rsid w:val="007F4095"/>
    <w:rsid w:val="007F4164"/>
    <w:rsid w:val="007F453B"/>
    <w:rsid w:val="007F45D2"/>
    <w:rsid w:val="007F495E"/>
    <w:rsid w:val="007F495F"/>
    <w:rsid w:val="007F5007"/>
    <w:rsid w:val="007F57C0"/>
    <w:rsid w:val="007F5887"/>
    <w:rsid w:val="007F5C15"/>
    <w:rsid w:val="007F5F74"/>
    <w:rsid w:val="007F62F3"/>
    <w:rsid w:val="007F6420"/>
    <w:rsid w:val="007F6B33"/>
    <w:rsid w:val="007F6FAB"/>
    <w:rsid w:val="007F772A"/>
    <w:rsid w:val="007F7FD7"/>
    <w:rsid w:val="00800456"/>
    <w:rsid w:val="008005B2"/>
    <w:rsid w:val="00801033"/>
    <w:rsid w:val="00801393"/>
    <w:rsid w:val="008013DF"/>
    <w:rsid w:val="0080172A"/>
    <w:rsid w:val="00801AE2"/>
    <w:rsid w:val="00801C56"/>
    <w:rsid w:val="00801C79"/>
    <w:rsid w:val="00801D1F"/>
    <w:rsid w:val="00802410"/>
    <w:rsid w:val="0080246F"/>
    <w:rsid w:val="008026CB"/>
    <w:rsid w:val="00802BCA"/>
    <w:rsid w:val="00802CD2"/>
    <w:rsid w:val="00802D90"/>
    <w:rsid w:val="00802F88"/>
    <w:rsid w:val="008032E1"/>
    <w:rsid w:val="008036F8"/>
    <w:rsid w:val="00803CE5"/>
    <w:rsid w:val="00805365"/>
    <w:rsid w:val="008053A5"/>
    <w:rsid w:val="00805631"/>
    <w:rsid w:val="00805CA8"/>
    <w:rsid w:val="0080627B"/>
    <w:rsid w:val="008065C8"/>
    <w:rsid w:val="0080661D"/>
    <w:rsid w:val="008068ED"/>
    <w:rsid w:val="00806D69"/>
    <w:rsid w:val="00806DD2"/>
    <w:rsid w:val="008076DE"/>
    <w:rsid w:val="00807A30"/>
    <w:rsid w:val="00807A4B"/>
    <w:rsid w:val="00807B02"/>
    <w:rsid w:val="00807BFF"/>
    <w:rsid w:val="00807D30"/>
    <w:rsid w:val="0081060B"/>
    <w:rsid w:val="00810756"/>
    <w:rsid w:val="008107F8"/>
    <w:rsid w:val="008109B4"/>
    <w:rsid w:val="00810DAE"/>
    <w:rsid w:val="00810E2F"/>
    <w:rsid w:val="0081114B"/>
    <w:rsid w:val="008118DA"/>
    <w:rsid w:val="00811A74"/>
    <w:rsid w:val="00812044"/>
    <w:rsid w:val="008120E3"/>
    <w:rsid w:val="00812312"/>
    <w:rsid w:val="00812512"/>
    <w:rsid w:val="00812594"/>
    <w:rsid w:val="0081265E"/>
    <w:rsid w:val="0081268D"/>
    <w:rsid w:val="0081293E"/>
    <w:rsid w:val="00812975"/>
    <w:rsid w:val="00812AFE"/>
    <w:rsid w:val="00812C1A"/>
    <w:rsid w:val="00812F63"/>
    <w:rsid w:val="008132A1"/>
    <w:rsid w:val="008132B5"/>
    <w:rsid w:val="00813559"/>
    <w:rsid w:val="00813849"/>
    <w:rsid w:val="008145C2"/>
    <w:rsid w:val="00814E00"/>
    <w:rsid w:val="008150D2"/>
    <w:rsid w:val="00815328"/>
    <w:rsid w:val="00815465"/>
    <w:rsid w:val="0081557A"/>
    <w:rsid w:val="00815C6F"/>
    <w:rsid w:val="00815CAF"/>
    <w:rsid w:val="00815E9D"/>
    <w:rsid w:val="00816312"/>
    <w:rsid w:val="008164FC"/>
    <w:rsid w:val="008166D9"/>
    <w:rsid w:val="008174C2"/>
    <w:rsid w:val="00817576"/>
    <w:rsid w:val="008175A0"/>
    <w:rsid w:val="0081761E"/>
    <w:rsid w:val="00817C87"/>
    <w:rsid w:val="00817E9A"/>
    <w:rsid w:val="0082031F"/>
    <w:rsid w:val="00820FFC"/>
    <w:rsid w:val="008216FB"/>
    <w:rsid w:val="00821860"/>
    <w:rsid w:val="008218E1"/>
    <w:rsid w:val="00821D6F"/>
    <w:rsid w:val="00821F7F"/>
    <w:rsid w:val="0082215C"/>
    <w:rsid w:val="008223FE"/>
    <w:rsid w:val="00823346"/>
    <w:rsid w:val="00823B4A"/>
    <w:rsid w:val="00823C1C"/>
    <w:rsid w:val="00823E56"/>
    <w:rsid w:val="00824236"/>
    <w:rsid w:val="00824980"/>
    <w:rsid w:val="008254CC"/>
    <w:rsid w:val="00825A38"/>
    <w:rsid w:val="00826233"/>
    <w:rsid w:val="00826399"/>
    <w:rsid w:val="008268CD"/>
    <w:rsid w:val="00826D10"/>
    <w:rsid w:val="0082726C"/>
    <w:rsid w:val="008272CC"/>
    <w:rsid w:val="00827816"/>
    <w:rsid w:val="008300E9"/>
    <w:rsid w:val="0083069E"/>
    <w:rsid w:val="008306BD"/>
    <w:rsid w:val="00830DCC"/>
    <w:rsid w:val="00830F27"/>
    <w:rsid w:val="008310EF"/>
    <w:rsid w:val="0083139A"/>
    <w:rsid w:val="00831483"/>
    <w:rsid w:val="0083149C"/>
    <w:rsid w:val="008314BC"/>
    <w:rsid w:val="0083150F"/>
    <w:rsid w:val="0083199C"/>
    <w:rsid w:val="00831A80"/>
    <w:rsid w:val="00831D5E"/>
    <w:rsid w:val="008320A9"/>
    <w:rsid w:val="008322A6"/>
    <w:rsid w:val="00832946"/>
    <w:rsid w:val="00832B79"/>
    <w:rsid w:val="00832BEB"/>
    <w:rsid w:val="00833743"/>
    <w:rsid w:val="00833C78"/>
    <w:rsid w:val="008340A4"/>
    <w:rsid w:val="008341D6"/>
    <w:rsid w:val="00834789"/>
    <w:rsid w:val="00834B95"/>
    <w:rsid w:val="00834C88"/>
    <w:rsid w:val="008352E6"/>
    <w:rsid w:val="00835397"/>
    <w:rsid w:val="008353B6"/>
    <w:rsid w:val="00835431"/>
    <w:rsid w:val="008356F5"/>
    <w:rsid w:val="00835890"/>
    <w:rsid w:val="00835B76"/>
    <w:rsid w:val="00835C75"/>
    <w:rsid w:val="008363E7"/>
    <w:rsid w:val="008365FB"/>
    <w:rsid w:val="00836AF1"/>
    <w:rsid w:val="00836BCA"/>
    <w:rsid w:val="00836CA4"/>
    <w:rsid w:val="00836CD7"/>
    <w:rsid w:val="0083729E"/>
    <w:rsid w:val="008402C0"/>
    <w:rsid w:val="008403AE"/>
    <w:rsid w:val="008406DA"/>
    <w:rsid w:val="00840769"/>
    <w:rsid w:val="008409E0"/>
    <w:rsid w:val="008412C6"/>
    <w:rsid w:val="008413F5"/>
    <w:rsid w:val="008414B7"/>
    <w:rsid w:val="00841678"/>
    <w:rsid w:val="0084194C"/>
    <w:rsid w:val="008420A2"/>
    <w:rsid w:val="008423CD"/>
    <w:rsid w:val="00842452"/>
    <w:rsid w:val="00843141"/>
    <w:rsid w:val="00843234"/>
    <w:rsid w:val="008433D8"/>
    <w:rsid w:val="00843F46"/>
    <w:rsid w:val="00844153"/>
    <w:rsid w:val="00844647"/>
    <w:rsid w:val="00844A66"/>
    <w:rsid w:val="00844AC2"/>
    <w:rsid w:val="00845009"/>
    <w:rsid w:val="00845138"/>
    <w:rsid w:val="008451EB"/>
    <w:rsid w:val="008455D1"/>
    <w:rsid w:val="00845737"/>
    <w:rsid w:val="00845AA5"/>
    <w:rsid w:val="00845D34"/>
    <w:rsid w:val="00845F60"/>
    <w:rsid w:val="0084609A"/>
    <w:rsid w:val="008461E7"/>
    <w:rsid w:val="00846438"/>
    <w:rsid w:val="0084644C"/>
    <w:rsid w:val="00846726"/>
    <w:rsid w:val="00846865"/>
    <w:rsid w:val="008469F5"/>
    <w:rsid w:val="00846CB7"/>
    <w:rsid w:val="00847CB8"/>
    <w:rsid w:val="00847E71"/>
    <w:rsid w:val="008504AD"/>
    <w:rsid w:val="00850667"/>
    <w:rsid w:val="00850EA1"/>
    <w:rsid w:val="0085118A"/>
    <w:rsid w:val="00851194"/>
    <w:rsid w:val="008518BF"/>
    <w:rsid w:val="00851937"/>
    <w:rsid w:val="008529F7"/>
    <w:rsid w:val="00852DB0"/>
    <w:rsid w:val="00852ECF"/>
    <w:rsid w:val="008531D0"/>
    <w:rsid w:val="0085388C"/>
    <w:rsid w:val="00853B1F"/>
    <w:rsid w:val="00853C02"/>
    <w:rsid w:val="00853E96"/>
    <w:rsid w:val="008556FA"/>
    <w:rsid w:val="008559D0"/>
    <w:rsid w:val="00855AEA"/>
    <w:rsid w:val="00855E5A"/>
    <w:rsid w:val="00856367"/>
    <w:rsid w:val="0085654D"/>
    <w:rsid w:val="00856ADB"/>
    <w:rsid w:val="00856D2D"/>
    <w:rsid w:val="00856D57"/>
    <w:rsid w:val="00857036"/>
    <w:rsid w:val="008579DA"/>
    <w:rsid w:val="00857F2D"/>
    <w:rsid w:val="00857F7F"/>
    <w:rsid w:val="00860BFB"/>
    <w:rsid w:val="00860DE8"/>
    <w:rsid w:val="00860FA0"/>
    <w:rsid w:val="008614FF"/>
    <w:rsid w:val="00861593"/>
    <w:rsid w:val="008615C3"/>
    <w:rsid w:val="00861857"/>
    <w:rsid w:val="008618E7"/>
    <w:rsid w:val="00862098"/>
    <w:rsid w:val="00862388"/>
    <w:rsid w:val="008624E1"/>
    <w:rsid w:val="00862770"/>
    <w:rsid w:val="00862C47"/>
    <w:rsid w:val="0086323C"/>
    <w:rsid w:val="008632C7"/>
    <w:rsid w:val="0086387F"/>
    <w:rsid w:val="00863D60"/>
    <w:rsid w:val="00864166"/>
    <w:rsid w:val="00864873"/>
    <w:rsid w:val="00864C08"/>
    <w:rsid w:val="00864F06"/>
    <w:rsid w:val="00865DA1"/>
    <w:rsid w:val="00866626"/>
    <w:rsid w:val="008670C9"/>
    <w:rsid w:val="008671A1"/>
    <w:rsid w:val="008673D5"/>
    <w:rsid w:val="00867480"/>
    <w:rsid w:val="00867651"/>
    <w:rsid w:val="00867DC2"/>
    <w:rsid w:val="00870576"/>
    <w:rsid w:val="0087073E"/>
    <w:rsid w:val="00870B2E"/>
    <w:rsid w:val="00870DCA"/>
    <w:rsid w:val="00870EFE"/>
    <w:rsid w:val="0087135F"/>
    <w:rsid w:val="008716AD"/>
    <w:rsid w:val="00871E05"/>
    <w:rsid w:val="008721BE"/>
    <w:rsid w:val="00872D94"/>
    <w:rsid w:val="008735E9"/>
    <w:rsid w:val="00873CF7"/>
    <w:rsid w:val="00873DCB"/>
    <w:rsid w:val="00874B4E"/>
    <w:rsid w:val="0087545B"/>
    <w:rsid w:val="0087616E"/>
    <w:rsid w:val="00876250"/>
    <w:rsid w:val="008767E5"/>
    <w:rsid w:val="00876D26"/>
    <w:rsid w:val="00877223"/>
    <w:rsid w:val="008773D7"/>
    <w:rsid w:val="00877749"/>
    <w:rsid w:val="0087774D"/>
    <w:rsid w:val="008777C3"/>
    <w:rsid w:val="0088026A"/>
    <w:rsid w:val="008802A6"/>
    <w:rsid w:val="00880364"/>
    <w:rsid w:val="00880AEC"/>
    <w:rsid w:val="00881135"/>
    <w:rsid w:val="00881521"/>
    <w:rsid w:val="00881680"/>
    <w:rsid w:val="00881798"/>
    <w:rsid w:val="008817B2"/>
    <w:rsid w:val="008817FC"/>
    <w:rsid w:val="008818B4"/>
    <w:rsid w:val="00882133"/>
    <w:rsid w:val="00882287"/>
    <w:rsid w:val="00882668"/>
    <w:rsid w:val="00882706"/>
    <w:rsid w:val="008827C4"/>
    <w:rsid w:val="00882BEE"/>
    <w:rsid w:val="00882FC4"/>
    <w:rsid w:val="008831C8"/>
    <w:rsid w:val="008834E6"/>
    <w:rsid w:val="00883816"/>
    <w:rsid w:val="00883AFC"/>
    <w:rsid w:val="00883CC5"/>
    <w:rsid w:val="00883CD3"/>
    <w:rsid w:val="00883D64"/>
    <w:rsid w:val="00883F5E"/>
    <w:rsid w:val="008845DB"/>
    <w:rsid w:val="008845F0"/>
    <w:rsid w:val="00884EF2"/>
    <w:rsid w:val="008850C9"/>
    <w:rsid w:val="0088543E"/>
    <w:rsid w:val="00885F0D"/>
    <w:rsid w:val="00885F5B"/>
    <w:rsid w:val="00885F79"/>
    <w:rsid w:val="008863C1"/>
    <w:rsid w:val="0088659C"/>
    <w:rsid w:val="0088665C"/>
    <w:rsid w:val="008869F0"/>
    <w:rsid w:val="00886F93"/>
    <w:rsid w:val="008900AF"/>
    <w:rsid w:val="0089012E"/>
    <w:rsid w:val="008904AC"/>
    <w:rsid w:val="008905DA"/>
    <w:rsid w:val="008906EF"/>
    <w:rsid w:val="00891008"/>
    <w:rsid w:val="008913B3"/>
    <w:rsid w:val="00891592"/>
    <w:rsid w:val="00891E9E"/>
    <w:rsid w:val="008920EF"/>
    <w:rsid w:val="00892200"/>
    <w:rsid w:val="00892647"/>
    <w:rsid w:val="008928B1"/>
    <w:rsid w:val="00892AC8"/>
    <w:rsid w:val="00892E27"/>
    <w:rsid w:val="0089366E"/>
    <w:rsid w:val="00893DFF"/>
    <w:rsid w:val="008942F9"/>
    <w:rsid w:val="008944C0"/>
    <w:rsid w:val="008944C2"/>
    <w:rsid w:val="008944E8"/>
    <w:rsid w:val="00894601"/>
    <w:rsid w:val="00894AFE"/>
    <w:rsid w:val="0089512C"/>
    <w:rsid w:val="00895922"/>
    <w:rsid w:val="0089599A"/>
    <w:rsid w:val="00895BB4"/>
    <w:rsid w:val="00895C70"/>
    <w:rsid w:val="008962F9"/>
    <w:rsid w:val="00896672"/>
    <w:rsid w:val="0089692C"/>
    <w:rsid w:val="0089722C"/>
    <w:rsid w:val="0089728C"/>
    <w:rsid w:val="008975C7"/>
    <w:rsid w:val="00897AF9"/>
    <w:rsid w:val="008A0161"/>
    <w:rsid w:val="008A18B6"/>
    <w:rsid w:val="008A1E0B"/>
    <w:rsid w:val="008A1F8E"/>
    <w:rsid w:val="008A256A"/>
    <w:rsid w:val="008A2F68"/>
    <w:rsid w:val="008A3071"/>
    <w:rsid w:val="008A3276"/>
    <w:rsid w:val="008A350E"/>
    <w:rsid w:val="008A3B32"/>
    <w:rsid w:val="008A3CF0"/>
    <w:rsid w:val="008A3E47"/>
    <w:rsid w:val="008A3E5A"/>
    <w:rsid w:val="008A4236"/>
    <w:rsid w:val="008A423A"/>
    <w:rsid w:val="008A4648"/>
    <w:rsid w:val="008A5F76"/>
    <w:rsid w:val="008A6414"/>
    <w:rsid w:val="008A66BF"/>
    <w:rsid w:val="008A68E0"/>
    <w:rsid w:val="008A6FED"/>
    <w:rsid w:val="008A7225"/>
    <w:rsid w:val="008A7D5D"/>
    <w:rsid w:val="008A7EF5"/>
    <w:rsid w:val="008B01F0"/>
    <w:rsid w:val="008B04D7"/>
    <w:rsid w:val="008B0666"/>
    <w:rsid w:val="008B0E24"/>
    <w:rsid w:val="008B1262"/>
    <w:rsid w:val="008B16C2"/>
    <w:rsid w:val="008B1EC4"/>
    <w:rsid w:val="008B205B"/>
    <w:rsid w:val="008B2481"/>
    <w:rsid w:val="008B267D"/>
    <w:rsid w:val="008B327A"/>
    <w:rsid w:val="008B35FF"/>
    <w:rsid w:val="008B3981"/>
    <w:rsid w:val="008B3D1F"/>
    <w:rsid w:val="008B3E3F"/>
    <w:rsid w:val="008B3F30"/>
    <w:rsid w:val="008B3F91"/>
    <w:rsid w:val="008B4EC5"/>
    <w:rsid w:val="008B4FA6"/>
    <w:rsid w:val="008B5282"/>
    <w:rsid w:val="008B53F3"/>
    <w:rsid w:val="008B54F7"/>
    <w:rsid w:val="008B570F"/>
    <w:rsid w:val="008B58BF"/>
    <w:rsid w:val="008B5A2D"/>
    <w:rsid w:val="008B5F1D"/>
    <w:rsid w:val="008B60E2"/>
    <w:rsid w:val="008B67A4"/>
    <w:rsid w:val="008B71D3"/>
    <w:rsid w:val="008B7264"/>
    <w:rsid w:val="008B72E6"/>
    <w:rsid w:val="008B73BC"/>
    <w:rsid w:val="008B74D1"/>
    <w:rsid w:val="008B7572"/>
    <w:rsid w:val="008B7775"/>
    <w:rsid w:val="008B7AF1"/>
    <w:rsid w:val="008B7C17"/>
    <w:rsid w:val="008B7E16"/>
    <w:rsid w:val="008B7FA9"/>
    <w:rsid w:val="008C046C"/>
    <w:rsid w:val="008C0998"/>
    <w:rsid w:val="008C0B1D"/>
    <w:rsid w:val="008C0D9E"/>
    <w:rsid w:val="008C128B"/>
    <w:rsid w:val="008C130B"/>
    <w:rsid w:val="008C1C6B"/>
    <w:rsid w:val="008C2723"/>
    <w:rsid w:val="008C290F"/>
    <w:rsid w:val="008C2D01"/>
    <w:rsid w:val="008C320F"/>
    <w:rsid w:val="008C3269"/>
    <w:rsid w:val="008C36B2"/>
    <w:rsid w:val="008C3CDF"/>
    <w:rsid w:val="008C40E6"/>
    <w:rsid w:val="008C4795"/>
    <w:rsid w:val="008C4B9F"/>
    <w:rsid w:val="008C50C2"/>
    <w:rsid w:val="008C5425"/>
    <w:rsid w:val="008C550F"/>
    <w:rsid w:val="008C5CD3"/>
    <w:rsid w:val="008C69B2"/>
    <w:rsid w:val="008C69CD"/>
    <w:rsid w:val="008C6A67"/>
    <w:rsid w:val="008C6B29"/>
    <w:rsid w:val="008C6B35"/>
    <w:rsid w:val="008C6C49"/>
    <w:rsid w:val="008C6D48"/>
    <w:rsid w:val="008C6F95"/>
    <w:rsid w:val="008D0068"/>
    <w:rsid w:val="008D04C6"/>
    <w:rsid w:val="008D0701"/>
    <w:rsid w:val="008D093B"/>
    <w:rsid w:val="008D0F7A"/>
    <w:rsid w:val="008D1176"/>
    <w:rsid w:val="008D1CF9"/>
    <w:rsid w:val="008D1E5E"/>
    <w:rsid w:val="008D2321"/>
    <w:rsid w:val="008D2498"/>
    <w:rsid w:val="008D2569"/>
    <w:rsid w:val="008D25FB"/>
    <w:rsid w:val="008D2682"/>
    <w:rsid w:val="008D2897"/>
    <w:rsid w:val="008D2954"/>
    <w:rsid w:val="008D2ACF"/>
    <w:rsid w:val="008D2E3F"/>
    <w:rsid w:val="008D33AB"/>
    <w:rsid w:val="008D3502"/>
    <w:rsid w:val="008D3649"/>
    <w:rsid w:val="008D3777"/>
    <w:rsid w:val="008D3C15"/>
    <w:rsid w:val="008D4112"/>
    <w:rsid w:val="008D4123"/>
    <w:rsid w:val="008D41D1"/>
    <w:rsid w:val="008D4775"/>
    <w:rsid w:val="008D4834"/>
    <w:rsid w:val="008D4ECB"/>
    <w:rsid w:val="008D564F"/>
    <w:rsid w:val="008D57F2"/>
    <w:rsid w:val="008D5B3E"/>
    <w:rsid w:val="008D5E22"/>
    <w:rsid w:val="008D617C"/>
    <w:rsid w:val="008D622B"/>
    <w:rsid w:val="008D64EB"/>
    <w:rsid w:val="008D68E4"/>
    <w:rsid w:val="008D69BC"/>
    <w:rsid w:val="008D6A07"/>
    <w:rsid w:val="008D6F75"/>
    <w:rsid w:val="008D6FE1"/>
    <w:rsid w:val="008D75B6"/>
    <w:rsid w:val="008D7A70"/>
    <w:rsid w:val="008E0506"/>
    <w:rsid w:val="008E0561"/>
    <w:rsid w:val="008E0676"/>
    <w:rsid w:val="008E077B"/>
    <w:rsid w:val="008E0CFF"/>
    <w:rsid w:val="008E14B8"/>
    <w:rsid w:val="008E19AC"/>
    <w:rsid w:val="008E1C19"/>
    <w:rsid w:val="008E1F08"/>
    <w:rsid w:val="008E20EF"/>
    <w:rsid w:val="008E23E4"/>
    <w:rsid w:val="008E32FC"/>
    <w:rsid w:val="008E38A2"/>
    <w:rsid w:val="008E3F3E"/>
    <w:rsid w:val="008E4381"/>
    <w:rsid w:val="008E515B"/>
    <w:rsid w:val="008E51F1"/>
    <w:rsid w:val="008E5202"/>
    <w:rsid w:val="008E57EA"/>
    <w:rsid w:val="008E5D6B"/>
    <w:rsid w:val="008E5EB4"/>
    <w:rsid w:val="008E5F5E"/>
    <w:rsid w:val="008E60D1"/>
    <w:rsid w:val="008E631E"/>
    <w:rsid w:val="008E6388"/>
    <w:rsid w:val="008E66D9"/>
    <w:rsid w:val="008E6CFD"/>
    <w:rsid w:val="008E6F64"/>
    <w:rsid w:val="008E7047"/>
    <w:rsid w:val="008E7076"/>
    <w:rsid w:val="008E71D9"/>
    <w:rsid w:val="008E747D"/>
    <w:rsid w:val="008E76F0"/>
    <w:rsid w:val="008E7889"/>
    <w:rsid w:val="008E7A4D"/>
    <w:rsid w:val="008F01A8"/>
    <w:rsid w:val="008F0231"/>
    <w:rsid w:val="008F0510"/>
    <w:rsid w:val="008F05A2"/>
    <w:rsid w:val="008F0905"/>
    <w:rsid w:val="008F0A3F"/>
    <w:rsid w:val="008F0C44"/>
    <w:rsid w:val="008F0F34"/>
    <w:rsid w:val="008F10F1"/>
    <w:rsid w:val="008F116E"/>
    <w:rsid w:val="008F12AE"/>
    <w:rsid w:val="008F15FE"/>
    <w:rsid w:val="008F19AD"/>
    <w:rsid w:val="008F1D3D"/>
    <w:rsid w:val="008F1F95"/>
    <w:rsid w:val="008F22A8"/>
    <w:rsid w:val="008F24C2"/>
    <w:rsid w:val="008F2616"/>
    <w:rsid w:val="008F2887"/>
    <w:rsid w:val="008F28ED"/>
    <w:rsid w:val="008F2D29"/>
    <w:rsid w:val="008F2DB5"/>
    <w:rsid w:val="008F2E5D"/>
    <w:rsid w:val="008F2F8F"/>
    <w:rsid w:val="008F3149"/>
    <w:rsid w:val="008F3BB2"/>
    <w:rsid w:val="008F458C"/>
    <w:rsid w:val="008F459A"/>
    <w:rsid w:val="008F47EB"/>
    <w:rsid w:val="008F4E6E"/>
    <w:rsid w:val="008F4F99"/>
    <w:rsid w:val="008F5187"/>
    <w:rsid w:val="008F51A7"/>
    <w:rsid w:val="008F5535"/>
    <w:rsid w:val="008F5ADB"/>
    <w:rsid w:val="008F60D8"/>
    <w:rsid w:val="008F65A9"/>
    <w:rsid w:val="008F66F3"/>
    <w:rsid w:val="008F717D"/>
    <w:rsid w:val="008F7AF6"/>
    <w:rsid w:val="008F7C68"/>
    <w:rsid w:val="008F7F43"/>
    <w:rsid w:val="008F7FA8"/>
    <w:rsid w:val="00900563"/>
    <w:rsid w:val="00900CB0"/>
    <w:rsid w:val="00900CF5"/>
    <w:rsid w:val="009010A1"/>
    <w:rsid w:val="009014E1"/>
    <w:rsid w:val="00901592"/>
    <w:rsid w:val="009019B8"/>
    <w:rsid w:val="00901C87"/>
    <w:rsid w:val="00902369"/>
    <w:rsid w:val="00902406"/>
    <w:rsid w:val="0090241C"/>
    <w:rsid w:val="00902699"/>
    <w:rsid w:val="00902727"/>
    <w:rsid w:val="009027A8"/>
    <w:rsid w:val="00902C58"/>
    <w:rsid w:val="00902C8F"/>
    <w:rsid w:val="00903097"/>
    <w:rsid w:val="0090312B"/>
    <w:rsid w:val="009031EE"/>
    <w:rsid w:val="00903291"/>
    <w:rsid w:val="0090330E"/>
    <w:rsid w:val="0090347E"/>
    <w:rsid w:val="009038D2"/>
    <w:rsid w:val="00903AC0"/>
    <w:rsid w:val="00903B58"/>
    <w:rsid w:val="00903D9B"/>
    <w:rsid w:val="00904EF7"/>
    <w:rsid w:val="00905318"/>
    <w:rsid w:val="0090547C"/>
    <w:rsid w:val="00905528"/>
    <w:rsid w:val="009057B9"/>
    <w:rsid w:val="00905809"/>
    <w:rsid w:val="009059E5"/>
    <w:rsid w:val="00905EC3"/>
    <w:rsid w:val="00905F1B"/>
    <w:rsid w:val="0090616B"/>
    <w:rsid w:val="0090628B"/>
    <w:rsid w:val="009062DA"/>
    <w:rsid w:val="009066BE"/>
    <w:rsid w:val="0090677E"/>
    <w:rsid w:val="009068D2"/>
    <w:rsid w:val="00906973"/>
    <w:rsid w:val="009072E8"/>
    <w:rsid w:val="0090761E"/>
    <w:rsid w:val="00907701"/>
    <w:rsid w:val="00907AD7"/>
    <w:rsid w:val="00907D2A"/>
    <w:rsid w:val="00907F09"/>
    <w:rsid w:val="009100A6"/>
    <w:rsid w:val="0091066D"/>
    <w:rsid w:val="0091087B"/>
    <w:rsid w:val="00910978"/>
    <w:rsid w:val="00911053"/>
    <w:rsid w:val="0091141D"/>
    <w:rsid w:val="00911E76"/>
    <w:rsid w:val="009123FC"/>
    <w:rsid w:val="00912563"/>
    <w:rsid w:val="00912573"/>
    <w:rsid w:val="00912A01"/>
    <w:rsid w:val="00913223"/>
    <w:rsid w:val="0091360E"/>
    <w:rsid w:val="0091394A"/>
    <w:rsid w:val="00913A58"/>
    <w:rsid w:val="0091418E"/>
    <w:rsid w:val="00914259"/>
    <w:rsid w:val="009149A5"/>
    <w:rsid w:val="00914AFA"/>
    <w:rsid w:val="00914CB3"/>
    <w:rsid w:val="00914EF0"/>
    <w:rsid w:val="00914EF3"/>
    <w:rsid w:val="00915112"/>
    <w:rsid w:val="00916177"/>
    <w:rsid w:val="00916648"/>
    <w:rsid w:val="00916A2D"/>
    <w:rsid w:val="009172E0"/>
    <w:rsid w:val="0091736D"/>
    <w:rsid w:val="00917820"/>
    <w:rsid w:val="009178D6"/>
    <w:rsid w:val="009206F3"/>
    <w:rsid w:val="00920BF0"/>
    <w:rsid w:val="00920D05"/>
    <w:rsid w:val="00920DAC"/>
    <w:rsid w:val="00920F7C"/>
    <w:rsid w:val="00920FB7"/>
    <w:rsid w:val="009210E8"/>
    <w:rsid w:val="009213A5"/>
    <w:rsid w:val="009216C4"/>
    <w:rsid w:val="00921778"/>
    <w:rsid w:val="00921FE9"/>
    <w:rsid w:val="00922174"/>
    <w:rsid w:val="009221AE"/>
    <w:rsid w:val="00922243"/>
    <w:rsid w:val="009225F2"/>
    <w:rsid w:val="009232DA"/>
    <w:rsid w:val="0092340D"/>
    <w:rsid w:val="0092378D"/>
    <w:rsid w:val="00923E9C"/>
    <w:rsid w:val="00923EE1"/>
    <w:rsid w:val="009241E7"/>
    <w:rsid w:val="0092441F"/>
    <w:rsid w:val="009244A9"/>
    <w:rsid w:val="00924531"/>
    <w:rsid w:val="009246AB"/>
    <w:rsid w:val="00924885"/>
    <w:rsid w:val="00924D2A"/>
    <w:rsid w:val="00924D52"/>
    <w:rsid w:val="00925189"/>
    <w:rsid w:val="00925938"/>
    <w:rsid w:val="00925A0E"/>
    <w:rsid w:val="00925EEA"/>
    <w:rsid w:val="0092605B"/>
    <w:rsid w:val="0092653D"/>
    <w:rsid w:val="0092660C"/>
    <w:rsid w:val="00926893"/>
    <w:rsid w:val="00926AD8"/>
    <w:rsid w:val="0092754D"/>
    <w:rsid w:val="00927C63"/>
    <w:rsid w:val="0093037A"/>
    <w:rsid w:val="009304CC"/>
    <w:rsid w:val="00931BC9"/>
    <w:rsid w:val="00932258"/>
    <w:rsid w:val="00932347"/>
    <w:rsid w:val="00932375"/>
    <w:rsid w:val="009323AE"/>
    <w:rsid w:val="009329B2"/>
    <w:rsid w:val="00932D13"/>
    <w:rsid w:val="0093361A"/>
    <w:rsid w:val="0093375D"/>
    <w:rsid w:val="00934330"/>
    <w:rsid w:val="0093479C"/>
    <w:rsid w:val="009347A2"/>
    <w:rsid w:val="009349E9"/>
    <w:rsid w:val="00935671"/>
    <w:rsid w:val="0093569C"/>
    <w:rsid w:val="00935D79"/>
    <w:rsid w:val="00935E30"/>
    <w:rsid w:val="009361FB"/>
    <w:rsid w:val="00936A03"/>
    <w:rsid w:val="00936D88"/>
    <w:rsid w:val="0093715F"/>
    <w:rsid w:val="00937B02"/>
    <w:rsid w:val="00937B1E"/>
    <w:rsid w:val="009406D3"/>
    <w:rsid w:val="00940A87"/>
    <w:rsid w:val="00940C75"/>
    <w:rsid w:val="00941340"/>
    <w:rsid w:val="00941426"/>
    <w:rsid w:val="00941475"/>
    <w:rsid w:val="0094154D"/>
    <w:rsid w:val="00941C7E"/>
    <w:rsid w:val="00941E62"/>
    <w:rsid w:val="00941ECF"/>
    <w:rsid w:val="009426E6"/>
    <w:rsid w:val="00942BC6"/>
    <w:rsid w:val="00942E22"/>
    <w:rsid w:val="00942E86"/>
    <w:rsid w:val="00943019"/>
    <w:rsid w:val="00943168"/>
    <w:rsid w:val="00943599"/>
    <w:rsid w:val="00943706"/>
    <w:rsid w:val="00943E96"/>
    <w:rsid w:val="0094442B"/>
    <w:rsid w:val="009449A8"/>
    <w:rsid w:val="00944B49"/>
    <w:rsid w:val="00944C1F"/>
    <w:rsid w:val="00944D2A"/>
    <w:rsid w:val="00944F9A"/>
    <w:rsid w:val="00945999"/>
    <w:rsid w:val="00945AE8"/>
    <w:rsid w:val="0094601D"/>
    <w:rsid w:val="0094603C"/>
    <w:rsid w:val="0094632B"/>
    <w:rsid w:val="009464E2"/>
    <w:rsid w:val="00946598"/>
    <w:rsid w:val="009476A7"/>
    <w:rsid w:val="0094796A"/>
    <w:rsid w:val="00947ED6"/>
    <w:rsid w:val="00950332"/>
    <w:rsid w:val="00950688"/>
    <w:rsid w:val="0095108A"/>
    <w:rsid w:val="009511B3"/>
    <w:rsid w:val="009513BA"/>
    <w:rsid w:val="0095155F"/>
    <w:rsid w:val="00951BE3"/>
    <w:rsid w:val="0095202A"/>
    <w:rsid w:val="00952212"/>
    <w:rsid w:val="00952305"/>
    <w:rsid w:val="0095249F"/>
    <w:rsid w:val="0095288B"/>
    <w:rsid w:val="00953681"/>
    <w:rsid w:val="009538AF"/>
    <w:rsid w:val="00953F65"/>
    <w:rsid w:val="00953F87"/>
    <w:rsid w:val="00954304"/>
    <w:rsid w:val="00954429"/>
    <w:rsid w:val="009547E3"/>
    <w:rsid w:val="00954819"/>
    <w:rsid w:val="00954B2D"/>
    <w:rsid w:val="00954BEA"/>
    <w:rsid w:val="00954E35"/>
    <w:rsid w:val="00954E48"/>
    <w:rsid w:val="009553FF"/>
    <w:rsid w:val="0095567B"/>
    <w:rsid w:val="00955F46"/>
    <w:rsid w:val="009563CE"/>
    <w:rsid w:val="00956B0F"/>
    <w:rsid w:val="00956D03"/>
    <w:rsid w:val="00956E0B"/>
    <w:rsid w:val="00957EAB"/>
    <w:rsid w:val="00960018"/>
    <w:rsid w:val="00960089"/>
    <w:rsid w:val="00960466"/>
    <w:rsid w:val="009607C1"/>
    <w:rsid w:val="009609A9"/>
    <w:rsid w:val="00960A37"/>
    <w:rsid w:val="009614E7"/>
    <w:rsid w:val="0096161E"/>
    <w:rsid w:val="0096183B"/>
    <w:rsid w:val="00961C50"/>
    <w:rsid w:val="00961D97"/>
    <w:rsid w:val="00961E76"/>
    <w:rsid w:val="00962A1A"/>
    <w:rsid w:val="00962ACA"/>
    <w:rsid w:val="00962D84"/>
    <w:rsid w:val="00963113"/>
    <w:rsid w:val="00963292"/>
    <w:rsid w:val="009633F0"/>
    <w:rsid w:val="00963794"/>
    <w:rsid w:val="00963D66"/>
    <w:rsid w:val="009644D1"/>
    <w:rsid w:val="009645B2"/>
    <w:rsid w:val="00964689"/>
    <w:rsid w:val="00964AF4"/>
    <w:rsid w:val="00964C16"/>
    <w:rsid w:val="00964F61"/>
    <w:rsid w:val="00965502"/>
    <w:rsid w:val="009656A9"/>
    <w:rsid w:val="00965962"/>
    <w:rsid w:val="00966C20"/>
    <w:rsid w:val="00966E9E"/>
    <w:rsid w:val="00966FF1"/>
    <w:rsid w:val="00967BC7"/>
    <w:rsid w:val="00967D15"/>
    <w:rsid w:val="0097076C"/>
    <w:rsid w:val="009709DC"/>
    <w:rsid w:val="0097148B"/>
    <w:rsid w:val="00971E01"/>
    <w:rsid w:val="0097280B"/>
    <w:rsid w:val="00972906"/>
    <w:rsid w:val="00972ADF"/>
    <w:rsid w:val="0097326B"/>
    <w:rsid w:val="00973499"/>
    <w:rsid w:val="00973541"/>
    <w:rsid w:val="00973663"/>
    <w:rsid w:val="00973E65"/>
    <w:rsid w:val="00973F1C"/>
    <w:rsid w:val="009749B0"/>
    <w:rsid w:val="00974AB2"/>
    <w:rsid w:val="00975538"/>
    <w:rsid w:val="00975C6E"/>
    <w:rsid w:val="00976328"/>
    <w:rsid w:val="009764B3"/>
    <w:rsid w:val="0097680D"/>
    <w:rsid w:val="00976CA6"/>
    <w:rsid w:val="00976F40"/>
    <w:rsid w:val="009773BB"/>
    <w:rsid w:val="00977627"/>
    <w:rsid w:val="00977816"/>
    <w:rsid w:val="00977D5D"/>
    <w:rsid w:val="00981215"/>
    <w:rsid w:val="009812CC"/>
    <w:rsid w:val="00981A75"/>
    <w:rsid w:val="009822B4"/>
    <w:rsid w:val="00982438"/>
    <w:rsid w:val="009824E5"/>
    <w:rsid w:val="00983055"/>
    <w:rsid w:val="009838E8"/>
    <w:rsid w:val="00983B68"/>
    <w:rsid w:val="0098404C"/>
    <w:rsid w:val="00984180"/>
    <w:rsid w:val="00984656"/>
    <w:rsid w:val="00984681"/>
    <w:rsid w:val="00984ABD"/>
    <w:rsid w:val="00985283"/>
    <w:rsid w:val="0098535F"/>
    <w:rsid w:val="00986436"/>
    <w:rsid w:val="00986952"/>
    <w:rsid w:val="0098699C"/>
    <w:rsid w:val="00986B4C"/>
    <w:rsid w:val="00986E79"/>
    <w:rsid w:val="0098715B"/>
    <w:rsid w:val="009872A9"/>
    <w:rsid w:val="009874FE"/>
    <w:rsid w:val="00987628"/>
    <w:rsid w:val="00987856"/>
    <w:rsid w:val="00987A46"/>
    <w:rsid w:val="00987AFA"/>
    <w:rsid w:val="00987B27"/>
    <w:rsid w:val="00990122"/>
    <w:rsid w:val="009901EC"/>
    <w:rsid w:val="00990509"/>
    <w:rsid w:val="00990538"/>
    <w:rsid w:val="009908D7"/>
    <w:rsid w:val="009909E8"/>
    <w:rsid w:val="00990B9E"/>
    <w:rsid w:val="00990C14"/>
    <w:rsid w:val="009911EB"/>
    <w:rsid w:val="00991260"/>
    <w:rsid w:val="00991ABF"/>
    <w:rsid w:val="009921D6"/>
    <w:rsid w:val="00992281"/>
    <w:rsid w:val="00992612"/>
    <w:rsid w:val="00992836"/>
    <w:rsid w:val="00992ACE"/>
    <w:rsid w:val="00992FA2"/>
    <w:rsid w:val="009930B3"/>
    <w:rsid w:val="00993243"/>
    <w:rsid w:val="009936C3"/>
    <w:rsid w:val="00993B6D"/>
    <w:rsid w:val="00994430"/>
    <w:rsid w:val="0099443A"/>
    <w:rsid w:val="00994696"/>
    <w:rsid w:val="00994717"/>
    <w:rsid w:val="00994B94"/>
    <w:rsid w:val="00994BEF"/>
    <w:rsid w:val="00994C74"/>
    <w:rsid w:val="00995004"/>
    <w:rsid w:val="0099592A"/>
    <w:rsid w:val="00995992"/>
    <w:rsid w:val="00995C60"/>
    <w:rsid w:val="00996867"/>
    <w:rsid w:val="009968E0"/>
    <w:rsid w:val="00997048"/>
    <w:rsid w:val="0099761A"/>
    <w:rsid w:val="00997622"/>
    <w:rsid w:val="009978FB"/>
    <w:rsid w:val="00997EA3"/>
    <w:rsid w:val="009A03E5"/>
    <w:rsid w:val="009A0AA0"/>
    <w:rsid w:val="009A0CD0"/>
    <w:rsid w:val="009A0F1E"/>
    <w:rsid w:val="009A0F3B"/>
    <w:rsid w:val="009A0FA4"/>
    <w:rsid w:val="009A1617"/>
    <w:rsid w:val="009A1A09"/>
    <w:rsid w:val="009A1BB4"/>
    <w:rsid w:val="009A1F68"/>
    <w:rsid w:val="009A2628"/>
    <w:rsid w:val="009A27AF"/>
    <w:rsid w:val="009A27D5"/>
    <w:rsid w:val="009A2EC6"/>
    <w:rsid w:val="009A3133"/>
    <w:rsid w:val="009A3200"/>
    <w:rsid w:val="009A348E"/>
    <w:rsid w:val="009A351A"/>
    <w:rsid w:val="009A37C9"/>
    <w:rsid w:val="009A3C7A"/>
    <w:rsid w:val="009A3C98"/>
    <w:rsid w:val="009A4752"/>
    <w:rsid w:val="009A4809"/>
    <w:rsid w:val="009A4843"/>
    <w:rsid w:val="009A4BA1"/>
    <w:rsid w:val="009A4D81"/>
    <w:rsid w:val="009A55C4"/>
    <w:rsid w:val="009A591B"/>
    <w:rsid w:val="009A5BF5"/>
    <w:rsid w:val="009A5DD8"/>
    <w:rsid w:val="009A60F9"/>
    <w:rsid w:val="009A64EC"/>
    <w:rsid w:val="009A6F77"/>
    <w:rsid w:val="009B0897"/>
    <w:rsid w:val="009B0D97"/>
    <w:rsid w:val="009B1589"/>
    <w:rsid w:val="009B15E4"/>
    <w:rsid w:val="009B1950"/>
    <w:rsid w:val="009B20CC"/>
    <w:rsid w:val="009B2711"/>
    <w:rsid w:val="009B2A87"/>
    <w:rsid w:val="009B2C38"/>
    <w:rsid w:val="009B2DB4"/>
    <w:rsid w:val="009B2EDD"/>
    <w:rsid w:val="009B3046"/>
    <w:rsid w:val="009B32B6"/>
    <w:rsid w:val="009B34F1"/>
    <w:rsid w:val="009B35EE"/>
    <w:rsid w:val="009B38D7"/>
    <w:rsid w:val="009B3A34"/>
    <w:rsid w:val="009B3DF7"/>
    <w:rsid w:val="009B3F97"/>
    <w:rsid w:val="009B462F"/>
    <w:rsid w:val="009B47B5"/>
    <w:rsid w:val="009B4B56"/>
    <w:rsid w:val="009B4BB7"/>
    <w:rsid w:val="009B4C41"/>
    <w:rsid w:val="009B4E02"/>
    <w:rsid w:val="009B5401"/>
    <w:rsid w:val="009B5C6E"/>
    <w:rsid w:val="009B5EC3"/>
    <w:rsid w:val="009B611B"/>
    <w:rsid w:val="009B68EF"/>
    <w:rsid w:val="009B7327"/>
    <w:rsid w:val="009B7991"/>
    <w:rsid w:val="009B7BD9"/>
    <w:rsid w:val="009C0136"/>
    <w:rsid w:val="009C1289"/>
    <w:rsid w:val="009C1611"/>
    <w:rsid w:val="009C22A0"/>
    <w:rsid w:val="009C274A"/>
    <w:rsid w:val="009C2907"/>
    <w:rsid w:val="009C2966"/>
    <w:rsid w:val="009C2C70"/>
    <w:rsid w:val="009C32C5"/>
    <w:rsid w:val="009C3868"/>
    <w:rsid w:val="009C3914"/>
    <w:rsid w:val="009C39F0"/>
    <w:rsid w:val="009C4515"/>
    <w:rsid w:val="009C494F"/>
    <w:rsid w:val="009C49EC"/>
    <w:rsid w:val="009C4D45"/>
    <w:rsid w:val="009C5300"/>
    <w:rsid w:val="009C5434"/>
    <w:rsid w:val="009C55FD"/>
    <w:rsid w:val="009C593D"/>
    <w:rsid w:val="009C65F3"/>
    <w:rsid w:val="009C661B"/>
    <w:rsid w:val="009C7037"/>
    <w:rsid w:val="009C7121"/>
    <w:rsid w:val="009C71CE"/>
    <w:rsid w:val="009C78C2"/>
    <w:rsid w:val="009C7A36"/>
    <w:rsid w:val="009C7DD5"/>
    <w:rsid w:val="009C7EEE"/>
    <w:rsid w:val="009D050F"/>
    <w:rsid w:val="009D0D69"/>
    <w:rsid w:val="009D13DB"/>
    <w:rsid w:val="009D1FC8"/>
    <w:rsid w:val="009D3791"/>
    <w:rsid w:val="009D3A27"/>
    <w:rsid w:val="009D3CA2"/>
    <w:rsid w:val="009D3F7A"/>
    <w:rsid w:val="009D450A"/>
    <w:rsid w:val="009D47FA"/>
    <w:rsid w:val="009D4C1F"/>
    <w:rsid w:val="009D54BD"/>
    <w:rsid w:val="009D5C48"/>
    <w:rsid w:val="009D5FC4"/>
    <w:rsid w:val="009D6323"/>
    <w:rsid w:val="009D65F3"/>
    <w:rsid w:val="009D6B97"/>
    <w:rsid w:val="009D70E5"/>
    <w:rsid w:val="009D7568"/>
    <w:rsid w:val="009D763E"/>
    <w:rsid w:val="009E0450"/>
    <w:rsid w:val="009E077A"/>
    <w:rsid w:val="009E08D0"/>
    <w:rsid w:val="009E0932"/>
    <w:rsid w:val="009E0C0F"/>
    <w:rsid w:val="009E0DEC"/>
    <w:rsid w:val="009E0F95"/>
    <w:rsid w:val="009E1222"/>
    <w:rsid w:val="009E13CE"/>
    <w:rsid w:val="009E15E2"/>
    <w:rsid w:val="009E1AB8"/>
    <w:rsid w:val="009E1AD8"/>
    <w:rsid w:val="009E227D"/>
    <w:rsid w:val="009E2B91"/>
    <w:rsid w:val="009E3380"/>
    <w:rsid w:val="009E3F1A"/>
    <w:rsid w:val="009E41CB"/>
    <w:rsid w:val="009E46F0"/>
    <w:rsid w:val="009E47EB"/>
    <w:rsid w:val="009E48C6"/>
    <w:rsid w:val="009E4D5C"/>
    <w:rsid w:val="009E4D72"/>
    <w:rsid w:val="009E4FD3"/>
    <w:rsid w:val="009E5017"/>
    <w:rsid w:val="009E5019"/>
    <w:rsid w:val="009E5142"/>
    <w:rsid w:val="009E5232"/>
    <w:rsid w:val="009E559D"/>
    <w:rsid w:val="009E57A9"/>
    <w:rsid w:val="009E57D9"/>
    <w:rsid w:val="009E5B72"/>
    <w:rsid w:val="009E5BEA"/>
    <w:rsid w:val="009E5CBE"/>
    <w:rsid w:val="009E5F38"/>
    <w:rsid w:val="009E602F"/>
    <w:rsid w:val="009E606A"/>
    <w:rsid w:val="009E6239"/>
    <w:rsid w:val="009E6814"/>
    <w:rsid w:val="009E6976"/>
    <w:rsid w:val="009E6AD2"/>
    <w:rsid w:val="009E6D48"/>
    <w:rsid w:val="009E706D"/>
    <w:rsid w:val="009E784E"/>
    <w:rsid w:val="009E78F5"/>
    <w:rsid w:val="009E79A6"/>
    <w:rsid w:val="009E7CF8"/>
    <w:rsid w:val="009F1C54"/>
    <w:rsid w:val="009F1EBC"/>
    <w:rsid w:val="009F2599"/>
    <w:rsid w:val="009F2748"/>
    <w:rsid w:val="009F278C"/>
    <w:rsid w:val="009F2C9F"/>
    <w:rsid w:val="009F2DAE"/>
    <w:rsid w:val="009F2FFC"/>
    <w:rsid w:val="009F3134"/>
    <w:rsid w:val="009F33D3"/>
    <w:rsid w:val="009F3581"/>
    <w:rsid w:val="009F3722"/>
    <w:rsid w:val="009F39A2"/>
    <w:rsid w:val="009F4366"/>
    <w:rsid w:val="009F497A"/>
    <w:rsid w:val="009F4AC0"/>
    <w:rsid w:val="009F4E4D"/>
    <w:rsid w:val="009F546B"/>
    <w:rsid w:val="009F69D8"/>
    <w:rsid w:val="009F6C13"/>
    <w:rsid w:val="009F6FD5"/>
    <w:rsid w:val="009F703D"/>
    <w:rsid w:val="009F7608"/>
    <w:rsid w:val="009F7BD8"/>
    <w:rsid w:val="00A00184"/>
    <w:rsid w:val="00A006F4"/>
    <w:rsid w:val="00A0105A"/>
    <w:rsid w:val="00A01089"/>
    <w:rsid w:val="00A018E9"/>
    <w:rsid w:val="00A02097"/>
    <w:rsid w:val="00A020A6"/>
    <w:rsid w:val="00A020AA"/>
    <w:rsid w:val="00A0232E"/>
    <w:rsid w:val="00A025AB"/>
    <w:rsid w:val="00A02F29"/>
    <w:rsid w:val="00A032AC"/>
    <w:rsid w:val="00A03392"/>
    <w:rsid w:val="00A033EB"/>
    <w:rsid w:val="00A03626"/>
    <w:rsid w:val="00A03C05"/>
    <w:rsid w:val="00A03D8E"/>
    <w:rsid w:val="00A04100"/>
    <w:rsid w:val="00A0425D"/>
    <w:rsid w:val="00A04636"/>
    <w:rsid w:val="00A04ACB"/>
    <w:rsid w:val="00A04C3A"/>
    <w:rsid w:val="00A04DDE"/>
    <w:rsid w:val="00A04E3D"/>
    <w:rsid w:val="00A04F1B"/>
    <w:rsid w:val="00A0501B"/>
    <w:rsid w:val="00A057C9"/>
    <w:rsid w:val="00A05815"/>
    <w:rsid w:val="00A0595E"/>
    <w:rsid w:val="00A05AA9"/>
    <w:rsid w:val="00A05ACE"/>
    <w:rsid w:val="00A05B66"/>
    <w:rsid w:val="00A05BB1"/>
    <w:rsid w:val="00A06450"/>
    <w:rsid w:val="00A06570"/>
    <w:rsid w:val="00A066E6"/>
    <w:rsid w:val="00A06D91"/>
    <w:rsid w:val="00A0732B"/>
    <w:rsid w:val="00A07A3A"/>
    <w:rsid w:val="00A07A54"/>
    <w:rsid w:val="00A07D3A"/>
    <w:rsid w:val="00A10873"/>
    <w:rsid w:val="00A10B87"/>
    <w:rsid w:val="00A110FA"/>
    <w:rsid w:val="00A1111C"/>
    <w:rsid w:val="00A1165C"/>
    <w:rsid w:val="00A11BC6"/>
    <w:rsid w:val="00A11FDC"/>
    <w:rsid w:val="00A12062"/>
    <w:rsid w:val="00A120D2"/>
    <w:rsid w:val="00A12401"/>
    <w:rsid w:val="00A127A6"/>
    <w:rsid w:val="00A12CB8"/>
    <w:rsid w:val="00A12E62"/>
    <w:rsid w:val="00A12FE7"/>
    <w:rsid w:val="00A132C3"/>
    <w:rsid w:val="00A1363D"/>
    <w:rsid w:val="00A1366C"/>
    <w:rsid w:val="00A13F66"/>
    <w:rsid w:val="00A1424D"/>
    <w:rsid w:val="00A14947"/>
    <w:rsid w:val="00A149D3"/>
    <w:rsid w:val="00A14AFF"/>
    <w:rsid w:val="00A14BE2"/>
    <w:rsid w:val="00A14FD1"/>
    <w:rsid w:val="00A154CE"/>
    <w:rsid w:val="00A1555D"/>
    <w:rsid w:val="00A1617E"/>
    <w:rsid w:val="00A161AB"/>
    <w:rsid w:val="00A166CD"/>
    <w:rsid w:val="00A16FB2"/>
    <w:rsid w:val="00A1727D"/>
    <w:rsid w:val="00A17488"/>
    <w:rsid w:val="00A17A69"/>
    <w:rsid w:val="00A17F2E"/>
    <w:rsid w:val="00A20437"/>
    <w:rsid w:val="00A20661"/>
    <w:rsid w:val="00A2090E"/>
    <w:rsid w:val="00A20E08"/>
    <w:rsid w:val="00A20EF9"/>
    <w:rsid w:val="00A2131E"/>
    <w:rsid w:val="00A2210B"/>
    <w:rsid w:val="00A2214A"/>
    <w:rsid w:val="00A227B3"/>
    <w:rsid w:val="00A228B3"/>
    <w:rsid w:val="00A228DB"/>
    <w:rsid w:val="00A22988"/>
    <w:rsid w:val="00A22D24"/>
    <w:rsid w:val="00A230AE"/>
    <w:rsid w:val="00A23144"/>
    <w:rsid w:val="00A23588"/>
    <w:rsid w:val="00A23A83"/>
    <w:rsid w:val="00A24652"/>
    <w:rsid w:val="00A24855"/>
    <w:rsid w:val="00A24A7B"/>
    <w:rsid w:val="00A24D36"/>
    <w:rsid w:val="00A25A97"/>
    <w:rsid w:val="00A25FD5"/>
    <w:rsid w:val="00A260A4"/>
    <w:rsid w:val="00A265AB"/>
    <w:rsid w:val="00A26976"/>
    <w:rsid w:val="00A26AA7"/>
    <w:rsid w:val="00A26C8E"/>
    <w:rsid w:val="00A26E1E"/>
    <w:rsid w:val="00A26F63"/>
    <w:rsid w:val="00A2751B"/>
    <w:rsid w:val="00A27915"/>
    <w:rsid w:val="00A279FB"/>
    <w:rsid w:val="00A27FF2"/>
    <w:rsid w:val="00A300A9"/>
    <w:rsid w:val="00A30138"/>
    <w:rsid w:val="00A302D9"/>
    <w:rsid w:val="00A303E9"/>
    <w:rsid w:val="00A305BD"/>
    <w:rsid w:val="00A307E1"/>
    <w:rsid w:val="00A30939"/>
    <w:rsid w:val="00A30AF7"/>
    <w:rsid w:val="00A30BCC"/>
    <w:rsid w:val="00A30E95"/>
    <w:rsid w:val="00A31592"/>
    <w:rsid w:val="00A3161A"/>
    <w:rsid w:val="00A31FDF"/>
    <w:rsid w:val="00A32A77"/>
    <w:rsid w:val="00A32A83"/>
    <w:rsid w:val="00A33668"/>
    <w:rsid w:val="00A337E3"/>
    <w:rsid w:val="00A33A85"/>
    <w:rsid w:val="00A33FED"/>
    <w:rsid w:val="00A34078"/>
    <w:rsid w:val="00A34242"/>
    <w:rsid w:val="00A34426"/>
    <w:rsid w:val="00A34463"/>
    <w:rsid w:val="00A34F6E"/>
    <w:rsid w:val="00A3533D"/>
    <w:rsid w:val="00A35373"/>
    <w:rsid w:val="00A35406"/>
    <w:rsid w:val="00A357D4"/>
    <w:rsid w:val="00A35870"/>
    <w:rsid w:val="00A35A35"/>
    <w:rsid w:val="00A35B38"/>
    <w:rsid w:val="00A36830"/>
    <w:rsid w:val="00A368DB"/>
    <w:rsid w:val="00A36CFB"/>
    <w:rsid w:val="00A37272"/>
    <w:rsid w:val="00A3738F"/>
    <w:rsid w:val="00A37AC7"/>
    <w:rsid w:val="00A37C7C"/>
    <w:rsid w:val="00A37FE7"/>
    <w:rsid w:val="00A401B3"/>
    <w:rsid w:val="00A406C1"/>
    <w:rsid w:val="00A40C49"/>
    <w:rsid w:val="00A423AA"/>
    <w:rsid w:val="00A42A8D"/>
    <w:rsid w:val="00A42C98"/>
    <w:rsid w:val="00A4344F"/>
    <w:rsid w:val="00A43521"/>
    <w:rsid w:val="00A43BC0"/>
    <w:rsid w:val="00A43CE8"/>
    <w:rsid w:val="00A44627"/>
    <w:rsid w:val="00A4469A"/>
    <w:rsid w:val="00A446BB"/>
    <w:rsid w:val="00A44749"/>
    <w:rsid w:val="00A44BD7"/>
    <w:rsid w:val="00A45127"/>
    <w:rsid w:val="00A45BFB"/>
    <w:rsid w:val="00A45C38"/>
    <w:rsid w:val="00A464E8"/>
    <w:rsid w:val="00A4652C"/>
    <w:rsid w:val="00A46737"/>
    <w:rsid w:val="00A467FB"/>
    <w:rsid w:val="00A4690A"/>
    <w:rsid w:val="00A4695B"/>
    <w:rsid w:val="00A46982"/>
    <w:rsid w:val="00A46BFD"/>
    <w:rsid w:val="00A50228"/>
    <w:rsid w:val="00A50731"/>
    <w:rsid w:val="00A508EF"/>
    <w:rsid w:val="00A5099E"/>
    <w:rsid w:val="00A50CFD"/>
    <w:rsid w:val="00A50DB8"/>
    <w:rsid w:val="00A50F4F"/>
    <w:rsid w:val="00A51847"/>
    <w:rsid w:val="00A51903"/>
    <w:rsid w:val="00A52288"/>
    <w:rsid w:val="00A528AD"/>
    <w:rsid w:val="00A53049"/>
    <w:rsid w:val="00A534AE"/>
    <w:rsid w:val="00A53714"/>
    <w:rsid w:val="00A53900"/>
    <w:rsid w:val="00A5394C"/>
    <w:rsid w:val="00A53A56"/>
    <w:rsid w:val="00A53EC6"/>
    <w:rsid w:val="00A54AC1"/>
    <w:rsid w:val="00A54C06"/>
    <w:rsid w:val="00A54DD0"/>
    <w:rsid w:val="00A55374"/>
    <w:rsid w:val="00A5567B"/>
    <w:rsid w:val="00A55C0F"/>
    <w:rsid w:val="00A55E58"/>
    <w:rsid w:val="00A56562"/>
    <w:rsid w:val="00A56A62"/>
    <w:rsid w:val="00A56CFA"/>
    <w:rsid w:val="00A571D5"/>
    <w:rsid w:val="00A5749B"/>
    <w:rsid w:val="00A579F1"/>
    <w:rsid w:val="00A60867"/>
    <w:rsid w:val="00A61465"/>
    <w:rsid w:val="00A614D6"/>
    <w:rsid w:val="00A618C5"/>
    <w:rsid w:val="00A6194D"/>
    <w:rsid w:val="00A61EC5"/>
    <w:rsid w:val="00A6248B"/>
    <w:rsid w:val="00A6258F"/>
    <w:rsid w:val="00A626F8"/>
    <w:rsid w:val="00A62B38"/>
    <w:rsid w:val="00A62D45"/>
    <w:rsid w:val="00A6317C"/>
    <w:rsid w:val="00A639DF"/>
    <w:rsid w:val="00A63BA1"/>
    <w:rsid w:val="00A64F4B"/>
    <w:rsid w:val="00A6536E"/>
    <w:rsid w:val="00A657E8"/>
    <w:rsid w:val="00A65B9E"/>
    <w:rsid w:val="00A65C56"/>
    <w:rsid w:val="00A65D60"/>
    <w:rsid w:val="00A66009"/>
    <w:rsid w:val="00A66117"/>
    <w:rsid w:val="00A66134"/>
    <w:rsid w:val="00A6657E"/>
    <w:rsid w:val="00A66732"/>
    <w:rsid w:val="00A66A28"/>
    <w:rsid w:val="00A66D21"/>
    <w:rsid w:val="00A67284"/>
    <w:rsid w:val="00A6734F"/>
    <w:rsid w:val="00A67568"/>
    <w:rsid w:val="00A67A7A"/>
    <w:rsid w:val="00A67C64"/>
    <w:rsid w:val="00A67D34"/>
    <w:rsid w:val="00A67DAE"/>
    <w:rsid w:val="00A67DFD"/>
    <w:rsid w:val="00A67E12"/>
    <w:rsid w:val="00A67E16"/>
    <w:rsid w:val="00A70639"/>
    <w:rsid w:val="00A70877"/>
    <w:rsid w:val="00A70B81"/>
    <w:rsid w:val="00A7141B"/>
    <w:rsid w:val="00A71C3E"/>
    <w:rsid w:val="00A71DB1"/>
    <w:rsid w:val="00A721F3"/>
    <w:rsid w:val="00A72F65"/>
    <w:rsid w:val="00A73066"/>
    <w:rsid w:val="00A7321E"/>
    <w:rsid w:val="00A732C6"/>
    <w:rsid w:val="00A73676"/>
    <w:rsid w:val="00A73DC9"/>
    <w:rsid w:val="00A74109"/>
    <w:rsid w:val="00A74838"/>
    <w:rsid w:val="00A74A6E"/>
    <w:rsid w:val="00A74B21"/>
    <w:rsid w:val="00A74E1F"/>
    <w:rsid w:val="00A7591C"/>
    <w:rsid w:val="00A75A37"/>
    <w:rsid w:val="00A76374"/>
    <w:rsid w:val="00A76455"/>
    <w:rsid w:val="00A7733C"/>
    <w:rsid w:val="00A77574"/>
    <w:rsid w:val="00A7768F"/>
    <w:rsid w:val="00A77816"/>
    <w:rsid w:val="00A779E2"/>
    <w:rsid w:val="00A77E05"/>
    <w:rsid w:val="00A77E60"/>
    <w:rsid w:val="00A77F38"/>
    <w:rsid w:val="00A8028C"/>
    <w:rsid w:val="00A805DC"/>
    <w:rsid w:val="00A8067E"/>
    <w:rsid w:val="00A80851"/>
    <w:rsid w:val="00A80871"/>
    <w:rsid w:val="00A810D6"/>
    <w:rsid w:val="00A816FC"/>
    <w:rsid w:val="00A81CD9"/>
    <w:rsid w:val="00A81E12"/>
    <w:rsid w:val="00A822EC"/>
    <w:rsid w:val="00A82876"/>
    <w:rsid w:val="00A828D5"/>
    <w:rsid w:val="00A833D2"/>
    <w:rsid w:val="00A834D1"/>
    <w:rsid w:val="00A8399C"/>
    <w:rsid w:val="00A83D03"/>
    <w:rsid w:val="00A85494"/>
    <w:rsid w:val="00A858E5"/>
    <w:rsid w:val="00A85923"/>
    <w:rsid w:val="00A85F83"/>
    <w:rsid w:val="00A864DB"/>
    <w:rsid w:val="00A86B6E"/>
    <w:rsid w:val="00A86DBF"/>
    <w:rsid w:val="00A86E72"/>
    <w:rsid w:val="00A87135"/>
    <w:rsid w:val="00A8713F"/>
    <w:rsid w:val="00A87315"/>
    <w:rsid w:val="00A8768D"/>
    <w:rsid w:val="00A903A1"/>
    <w:rsid w:val="00A904FD"/>
    <w:rsid w:val="00A90662"/>
    <w:rsid w:val="00A9095B"/>
    <w:rsid w:val="00A90AAD"/>
    <w:rsid w:val="00A90BA1"/>
    <w:rsid w:val="00A91A61"/>
    <w:rsid w:val="00A921D6"/>
    <w:rsid w:val="00A924E0"/>
    <w:rsid w:val="00A924EC"/>
    <w:rsid w:val="00A92851"/>
    <w:rsid w:val="00A92AD4"/>
    <w:rsid w:val="00A935DF"/>
    <w:rsid w:val="00A93939"/>
    <w:rsid w:val="00A94616"/>
    <w:rsid w:val="00A947CA"/>
    <w:rsid w:val="00A9521F"/>
    <w:rsid w:val="00A95403"/>
    <w:rsid w:val="00A95679"/>
    <w:rsid w:val="00A95AD6"/>
    <w:rsid w:val="00A95DDA"/>
    <w:rsid w:val="00A95E48"/>
    <w:rsid w:val="00A960E3"/>
    <w:rsid w:val="00A96202"/>
    <w:rsid w:val="00A96506"/>
    <w:rsid w:val="00A966F7"/>
    <w:rsid w:val="00A96976"/>
    <w:rsid w:val="00A96C0C"/>
    <w:rsid w:val="00A97195"/>
    <w:rsid w:val="00A973AD"/>
    <w:rsid w:val="00A97445"/>
    <w:rsid w:val="00A97A9A"/>
    <w:rsid w:val="00A97C75"/>
    <w:rsid w:val="00AA0671"/>
    <w:rsid w:val="00AA0838"/>
    <w:rsid w:val="00AA0F05"/>
    <w:rsid w:val="00AA13BD"/>
    <w:rsid w:val="00AA141D"/>
    <w:rsid w:val="00AA146B"/>
    <w:rsid w:val="00AA17F8"/>
    <w:rsid w:val="00AA1926"/>
    <w:rsid w:val="00AA1B0A"/>
    <w:rsid w:val="00AA1C8B"/>
    <w:rsid w:val="00AA203C"/>
    <w:rsid w:val="00AA2146"/>
    <w:rsid w:val="00AA23C7"/>
    <w:rsid w:val="00AA2531"/>
    <w:rsid w:val="00AA254A"/>
    <w:rsid w:val="00AA2726"/>
    <w:rsid w:val="00AA283E"/>
    <w:rsid w:val="00AA293B"/>
    <w:rsid w:val="00AA2A9F"/>
    <w:rsid w:val="00AA2B6B"/>
    <w:rsid w:val="00AA2C3A"/>
    <w:rsid w:val="00AA2D75"/>
    <w:rsid w:val="00AA2E4E"/>
    <w:rsid w:val="00AA31EA"/>
    <w:rsid w:val="00AA38C8"/>
    <w:rsid w:val="00AA422E"/>
    <w:rsid w:val="00AA4285"/>
    <w:rsid w:val="00AA46A6"/>
    <w:rsid w:val="00AA47AA"/>
    <w:rsid w:val="00AA4E8A"/>
    <w:rsid w:val="00AA5A67"/>
    <w:rsid w:val="00AA5E4C"/>
    <w:rsid w:val="00AA6693"/>
    <w:rsid w:val="00AA696B"/>
    <w:rsid w:val="00AA73F8"/>
    <w:rsid w:val="00AA7865"/>
    <w:rsid w:val="00AB03B5"/>
    <w:rsid w:val="00AB04B8"/>
    <w:rsid w:val="00AB08E3"/>
    <w:rsid w:val="00AB1053"/>
    <w:rsid w:val="00AB1189"/>
    <w:rsid w:val="00AB1244"/>
    <w:rsid w:val="00AB1549"/>
    <w:rsid w:val="00AB17BA"/>
    <w:rsid w:val="00AB1839"/>
    <w:rsid w:val="00AB19F6"/>
    <w:rsid w:val="00AB1B8C"/>
    <w:rsid w:val="00AB1D8F"/>
    <w:rsid w:val="00AB1E09"/>
    <w:rsid w:val="00AB205F"/>
    <w:rsid w:val="00AB232C"/>
    <w:rsid w:val="00AB23A2"/>
    <w:rsid w:val="00AB2786"/>
    <w:rsid w:val="00AB2920"/>
    <w:rsid w:val="00AB2F33"/>
    <w:rsid w:val="00AB3066"/>
    <w:rsid w:val="00AB30D9"/>
    <w:rsid w:val="00AB3768"/>
    <w:rsid w:val="00AB3C75"/>
    <w:rsid w:val="00AB4584"/>
    <w:rsid w:val="00AB45EA"/>
    <w:rsid w:val="00AB45FA"/>
    <w:rsid w:val="00AB4665"/>
    <w:rsid w:val="00AB4A90"/>
    <w:rsid w:val="00AB4FF7"/>
    <w:rsid w:val="00AB505A"/>
    <w:rsid w:val="00AB5330"/>
    <w:rsid w:val="00AB54D9"/>
    <w:rsid w:val="00AB55C8"/>
    <w:rsid w:val="00AB5B9B"/>
    <w:rsid w:val="00AB5E45"/>
    <w:rsid w:val="00AB659A"/>
    <w:rsid w:val="00AB75FB"/>
    <w:rsid w:val="00AB7747"/>
    <w:rsid w:val="00AB77E2"/>
    <w:rsid w:val="00AB782B"/>
    <w:rsid w:val="00AB7920"/>
    <w:rsid w:val="00AB7956"/>
    <w:rsid w:val="00AB7A4B"/>
    <w:rsid w:val="00AB7C6B"/>
    <w:rsid w:val="00AB7D13"/>
    <w:rsid w:val="00AC00D7"/>
    <w:rsid w:val="00AC00E6"/>
    <w:rsid w:val="00AC019C"/>
    <w:rsid w:val="00AC01D2"/>
    <w:rsid w:val="00AC035A"/>
    <w:rsid w:val="00AC03F9"/>
    <w:rsid w:val="00AC07C4"/>
    <w:rsid w:val="00AC08A6"/>
    <w:rsid w:val="00AC090A"/>
    <w:rsid w:val="00AC0FE9"/>
    <w:rsid w:val="00AC14CE"/>
    <w:rsid w:val="00AC1574"/>
    <w:rsid w:val="00AC17BB"/>
    <w:rsid w:val="00AC18DC"/>
    <w:rsid w:val="00AC1B5B"/>
    <w:rsid w:val="00AC1C65"/>
    <w:rsid w:val="00AC1F8A"/>
    <w:rsid w:val="00AC27EE"/>
    <w:rsid w:val="00AC27F6"/>
    <w:rsid w:val="00AC2A56"/>
    <w:rsid w:val="00AC333D"/>
    <w:rsid w:val="00AC3CD6"/>
    <w:rsid w:val="00AC3D56"/>
    <w:rsid w:val="00AC3DE7"/>
    <w:rsid w:val="00AC46FF"/>
    <w:rsid w:val="00AC4D59"/>
    <w:rsid w:val="00AC4F2E"/>
    <w:rsid w:val="00AC4F79"/>
    <w:rsid w:val="00AC4FCB"/>
    <w:rsid w:val="00AC5025"/>
    <w:rsid w:val="00AC55C4"/>
    <w:rsid w:val="00AC6438"/>
    <w:rsid w:val="00AC6DAC"/>
    <w:rsid w:val="00AC6F09"/>
    <w:rsid w:val="00AC7143"/>
    <w:rsid w:val="00AC795A"/>
    <w:rsid w:val="00AC79F5"/>
    <w:rsid w:val="00AC7E61"/>
    <w:rsid w:val="00AC7F60"/>
    <w:rsid w:val="00AD008F"/>
    <w:rsid w:val="00AD022C"/>
    <w:rsid w:val="00AD044D"/>
    <w:rsid w:val="00AD055E"/>
    <w:rsid w:val="00AD118D"/>
    <w:rsid w:val="00AD1303"/>
    <w:rsid w:val="00AD15FE"/>
    <w:rsid w:val="00AD170B"/>
    <w:rsid w:val="00AD25B3"/>
    <w:rsid w:val="00AD25FF"/>
    <w:rsid w:val="00AD2767"/>
    <w:rsid w:val="00AD2A8E"/>
    <w:rsid w:val="00AD2E95"/>
    <w:rsid w:val="00AD2FC2"/>
    <w:rsid w:val="00AD390A"/>
    <w:rsid w:val="00AD3DB6"/>
    <w:rsid w:val="00AD47A7"/>
    <w:rsid w:val="00AD4A26"/>
    <w:rsid w:val="00AD4FA0"/>
    <w:rsid w:val="00AD5431"/>
    <w:rsid w:val="00AD56D3"/>
    <w:rsid w:val="00AD5D39"/>
    <w:rsid w:val="00AD5E2B"/>
    <w:rsid w:val="00AD6630"/>
    <w:rsid w:val="00AD6786"/>
    <w:rsid w:val="00AD6B23"/>
    <w:rsid w:val="00AD6EEB"/>
    <w:rsid w:val="00AD6FC0"/>
    <w:rsid w:val="00AD7FED"/>
    <w:rsid w:val="00AE0528"/>
    <w:rsid w:val="00AE08AF"/>
    <w:rsid w:val="00AE0BCA"/>
    <w:rsid w:val="00AE0F56"/>
    <w:rsid w:val="00AE17B0"/>
    <w:rsid w:val="00AE1836"/>
    <w:rsid w:val="00AE1864"/>
    <w:rsid w:val="00AE1F02"/>
    <w:rsid w:val="00AE20F8"/>
    <w:rsid w:val="00AE269C"/>
    <w:rsid w:val="00AE27E0"/>
    <w:rsid w:val="00AE2CE0"/>
    <w:rsid w:val="00AE340B"/>
    <w:rsid w:val="00AE35B1"/>
    <w:rsid w:val="00AE38E7"/>
    <w:rsid w:val="00AE3CB7"/>
    <w:rsid w:val="00AE3D7B"/>
    <w:rsid w:val="00AE3EF8"/>
    <w:rsid w:val="00AE4696"/>
    <w:rsid w:val="00AE469E"/>
    <w:rsid w:val="00AE46C2"/>
    <w:rsid w:val="00AE46CE"/>
    <w:rsid w:val="00AE48B6"/>
    <w:rsid w:val="00AE4ABA"/>
    <w:rsid w:val="00AE4CCB"/>
    <w:rsid w:val="00AE4D86"/>
    <w:rsid w:val="00AE4E1E"/>
    <w:rsid w:val="00AE4FD5"/>
    <w:rsid w:val="00AE58C2"/>
    <w:rsid w:val="00AE599E"/>
    <w:rsid w:val="00AE59AE"/>
    <w:rsid w:val="00AE5B51"/>
    <w:rsid w:val="00AE5DCD"/>
    <w:rsid w:val="00AE608F"/>
    <w:rsid w:val="00AE617D"/>
    <w:rsid w:val="00AE62B9"/>
    <w:rsid w:val="00AE67DB"/>
    <w:rsid w:val="00AE68C4"/>
    <w:rsid w:val="00AE6A2C"/>
    <w:rsid w:val="00AE6AD7"/>
    <w:rsid w:val="00AE6C64"/>
    <w:rsid w:val="00AE74D9"/>
    <w:rsid w:val="00AE77F2"/>
    <w:rsid w:val="00AE7818"/>
    <w:rsid w:val="00AE7B47"/>
    <w:rsid w:val="00AE7C3B"/>
    <w:rsid w:val="00AE7F8A"/>
    <w:rsid w:val="00AF0056"/>
    <w:rsid w:val="00AF0192"/>
    <w:rsid w:val="00AF02B3"/>
    <w:rsid w:val="00AF0CBF"/>
    <w:rsid w:val="00AF112F"/>
    <w:rsid w:val="00AF11E6"/>
    <w:rsid w:val="00AF159F"/>
    <w:rsid w:val="00AF19D2"/>
    <w:rsid w:val="00AF207B"/>
    <w:rsid w:val="00AF231D"/>
    <w:rsid w:val="00AF257F"/>
    <w:rsid w:val="00AF26B0"/>
    <w:rsid w:val="00AF289F"/>
    <w:rsid w:val="00AF30C9"/>
    <w:rsid w:val="00AF33CF"/>
    <w:rsid w:val="00AF34BD"/>
    <w:rsid w:val="00AF37AA"/>
    <w:rsid w:val="00AF3997"/>
    <w:rsid w:val="00AF48A0"/>
    <w:rsid w:val="00AF4ADD"/>
    <w:rsid w:val="00AF4D50"/>
    <w:rsid w:val="00AF4DA9"/>
    <w:rsid w:val="00AF4F13"/>
    <w:rsid w:val="00AF4FE0"/>
    <w:rsid w:val="00AF58FE"/>
    <w:rsid w:val="00AF5C16"/>
    <w:rsid w:val="00AF6179"/>
    <w:rsid w:val="00AF61E1"/>
    <w:rsid w:val="00AF62AD"/>
    <w:rsid w:val="00AF67EB"/>
    <w:rsid w:val="00AF6CBD"/>
    <w:rsid w:val="00AF6CDB"/>
    <w:rsid w:val="00AF7243"/>
    <w:rsid w:val="00B00234"/>
    <w:rsid w:val="00B00651"/>
    <w:rsid w:val="00B007EF"/>
    <w:rsid w:val="00B00FCF"/>
    <w:rsid w:val="00B010F8"/>
    <w:rsid w:val="00B01382"/>
    <w:rsid w:val="00B01547"/>
    <w:rsid w:val="00B018EF"/>
    <w:rsid w:val="00B02E65"/>
    <w:rsid w:val="00B02EB7"/>
    <w:rsid w:val="00B03E6B"/>
    <w:rsid w:val="00B04321"/>
    <w:rsid w:val="00B04870"/>
    <w:rsid w:val="00B04C92"/>
    <w:rsid w:val="00B04F15"/>
    <w:rsid w:val="00B05AB2"/>
    <w:rsid w:val="00B05DAA"/>
    <w:rsid w:val="00B0604D"/>
    <w:rsid w:val="00B068C0"/>
    <w:rsid w:val="00B06DEF"/>
    <w:rsid w:val="00B06FE9"/>
    <w:rsid w:val="00B0726A"/>
    <w:rsid w:val="00B072EF"/>
    <w:rsid w:val="00B078F9"/>
    <w:rsid w:val="00B07A3C"/>
    <w:rsid w:val="00B07C75"/>
    <w:rsid w:val="00B1010E"/>
    <w:rsid w:val="00B10D12"/>
    <w:rsid w:val="00B10D7A"/>
    <w:rsid w:val="00B10D98"/>
    <w:rsid w:val="00B10F71"/>
    <w:rsid w:val="00B114D1"/>
    <w:rsid w:val="00B1196C"/>
    <w:rsid w:val="00B11B7C"/>
    <w:rsid w:val="00B11C39"/>
    <w:rsid w:val="00B12529"/>
    <w:rsid w:val="00B1254B"/>
    <w:rsid w:val="00B1295A"/>
    <w:rsid w:val="00B12A47"/>
    <w:rsid w:val="00B1397A"/>
    <w:rsid w:val="00B13D94"/>
    <w:rsid w:val="00B1434E"/>
    <w:rsid w:val="00B1505B"/>
    <w:rsid w:val="00B1528D"/>
    <w:rsid w:val="00B156F9"/>
    <w:rsid w:val="00B15E08"/>
    <w:rsid w:val="00B15EE0"/>
    <w:rsid w:val="00B16227"/>
    <w:rsid w:val="00B16851"/>
    <w:rsid w:val="00B169CF"/>
    <w:rsid w:val="00B16B1F"/>
    <w:rsid w:val="00B16B7C"/>
    <w:rsid w:val="00B16BAE"/>
    <w:rsid w:val="00B17425"/>
    <w:rsid w:val="00B1758E"/>
    <w:rsid w:val="00B17932"/>
    <w:rsid w:val="00B17B16"/>
    <w:rsid w:val="00B17B9F"/>
    <w:rsid w:val="00B17ED0"/>
    <w:rsid w:val="00B20167"/>
    <w:rsid w:val="00B20A45"/>
    <w:rsid w:val="00B20DB8"/>
    <w:rsid w:val="00B20E82"/>
    <w:rsid w:val="00B20E84"/>
    <w:rsid w:val="00B211AA"/>
    <w:rsid w:val="00B2135D"/>
    <w:rsid w:val="00B21527"/>
    <w:rsid w:val="00B21610"/>
    <w:rsid w:val="00B21701"/>
    <w:rsid w:val="00B217A6"/>
    <w:rsid w:val="00B21909"/>
    <w:rsid w:val="00B21FED"/>
    <w:rsid w:val="00B22256"/>
    <w:rsid w:val="00B2243F"/>
    <w:rsid w:val="00B2249A"/>
    <w:rsid w:val="00B22838"/>
    <w:rsid w:val="00B22C5C"/>
    <w:rsid w:val="00B22CC4"/>
    <w:rsid w:val="00B22E99"/>
    <w:rsid w:val="00B2316F"/>
    <w:rsid w:val="00B23226"/>
    <w:rsid w:val="00B233D6"/>
    <w:rsid w:val="00B23889"/>
    <w:rsid w:val="00B238B7"/>
    <w:rsid w:val="00B23B1B"/>
    <w:rsid w:val="00B23CFC"/>
    <w:rsid w:val="00B23FB6"/>
    <w:rsid w:val="00B243E0"/>
    <w:rsid w:val="00B24B83"/>
    <w:rsid w:val="00B24D5D"/>
    <w:rsid w:val="00B24F30"/>
    <w:rsid w:val="00B25716"/>
    <w:rsid w:val="00B257EC"/>
    <w:rsid w:val="00B260F9"/>
    <w:rsid w:val="00B26E5B"/>
    <w:rsid w:val="00B27731"/>
    <w:rsid w:val="00B27850"/>
    <w:rsid w:val="00B27D78"/>
    <w:rsid w:val="00B27D7E"/>
    <w:rsid w:val="00B27E78"/>
    <w:rsid w:val="00B30828"/>
    <w:rsid w:val="00B3091E"/>
    <w:rsid w:val="00B30AD3"/>
    <w:rsid w:val="00B30E78"/>
    <w:rsid w:val="00B30EBA"/>
    <w:rsid w:val="00B3127B"/>
    <w:rsid w:val="00B316B6"/>
    <w:rsid w:val="00B31ABF"/>
    <w:rsid w:val="00B31CFE"/>
    <w:rsid w:val="00B3205B"/>
    <w:rsid w:val="00B321EA"/>
    <w:rsid w:val="00B3221D"/>
    <w:rsid w:val="00B32647"/>
    <w:rsid w:val="00B32666"/>
    <w:rsid w:val="00B32D1E"/>
    <w:rsid w:val="00B32D47"/>
    <w:rsid w:val="00B32E2F"/>
    <w:rsid w:val="00B32ECC"/>
    <w:rsid w:val="00B334A0"/>
    <w:rsid w:val="00B3351F"/>
    <w:rsid w:val="00B33530"/>
    <w:rsid w:val="00B33BE3"/>
    <w:rsid w:val="00B3441B"/>
    <w:rsid w:val="00B3441F"/>
    <w:rsid w:val="00B34527"/>
    <w:rsid w:val="00B355F3"/>
    <w:rsid w:val="00B358EB"/>
    <w:rsid w:val="00B358EF"/>
    <w:rsid w:val="00B3593A"/>
    <w:rsid w:val="00B35B5D"/>
    <w:rsid w:val="00B35B66"/>
    <w:rsid w:val="00B366B2"/>
    <w:rsid w:val="00B3677A"/>
    <w:rsid w:val="00B36A2E"/>
    <w:rsid w:val="00B377FD"/>
    <w:rsid w:val="00B4000C"/>
    <w:rsid w:val="00B40C29"/>
    <w:rsid w:val="00B40E7A"/>
    <w:rsid w:val="00B40F0A"/>
    <w:rsid w:val="00B4104C"/>
    <w:rsid w:val="00B416C1"/>
    <w:rsid w:val="00B417F2"/>
    <w:rsid w:val="00B41A27"/>
    <w:rsid w:val="00B41E5E"/>
    <w:rsid w:val="00B41E69"/>
    <w:rsid w:val="00B4203E"/>
    <w:rsid w:val="00B42529"/>
    <w:rsid w:val="00B4318D"/>
    <w:rsid w:val="00B4369D"/>
    <w:rsid w:val="00B43F67"/>
    <w:rsid w:val="00B441A6"/>
    <w:rsid w:val="00B44625"/>
    <w:rsid w:val="00B44FC9"/>
    <w:rsid w:val="00B4500C"/>
    <w:rsid w:val="00B455E1"/>
    <w:rsid w:val="00B4573B"/>
    <w:rsid w:val="00B457E8"/>
    <w:rsid w:val="00B4588D"/>
    <w:rsid w:val="00B458D4"/>
    <w:rsid w:val="00B459D4"/>
    <w:rsid w:val="00B45C90"/>
    <w:rsid w:val="00B46178"/>
    <w:rsid w:val="00B46182"/>
    <w:rsid w:val="00B461B0"/>
    <w:rsid w:val="00B461FB"/>
    <w:rsid w:val="00B4638A"/>
    <w:rsid w:val="00B463D9"/>
    <w:rsid w:val="00B46A25"/>
    <w:rsid w:val="00B46F47"/>
    <w:rsid w:val="00B4797F"/>
    <w:rsid w:val="00B501DF"/>
    <w:rsid w:val="00B50A68"/>
    <w:rsid w:val="00B50F54"/>
    <w:rsid w:val="00B514C0"/>
    <w:rsid w:val="00B51B02"/>
    <w:rsid w:val="00B51D99"/>
    <w:rsid w:val="00B51E0F"/>
    <w:rsid w:val="00B5215A"/>
    <w:rsid w:val="00B525ED"/>
    <w:rsid w:val="00B526A5"/>
    <w:rsid w:val="00B5289A"/>
    <w:rsid w:val="00B52C88"/>
    <w:rsid w:val="00B52E62"/>
    <w:rsid w:val="00B52EA1"/>
    <w:rsid w:val="00B5379B"/>
    <w:rsid w:val="00B53924"/>
    <w:rsid w:val="00B53B5D"/>
    <w:rsid w:val="00B53B6B"/>
    <w:rsid w:val="00B54663"/>
    <w:rsid w:val="00B547A5"/>
    <w:rsid w:val="00B547EA"/>
    <w:rsid w:val="00B548D3"/>
    <w:rsid w:val="00B54D7F"/>
    <w:rsid w:val="00B54E94"/>
    <w:rsid w:val="00B55657"/>
    <w:rsid w:val="00B558B6"/>
    <w:rsid w:val="00B569A5"/>
    <w:rsid w:val="00B56AE9"/>
    <w:rsid w:val="00B56B78"/>
    <w:rsid w:val="00B56BDE"/>
    <w:rsid w:val="00B56C7A"/>
    <w:rsid w:val="00B56CD6"/>
    <w:rsid w:val="00B5737D"/>
    <w:rsid w:val="00B57FCE"/>
    <w:rsid w:val="00B6009E"/>
    <w:rsid w:val="00B6055E"/>
    <w:rsid w:val="00B60857"/>
    <w:rsid w:val="00B60B47"/>
    <w:rsid w:val="00B60B97"/>
    <w:rsid w:val="00B60CD6"/>
    <w:rsid w:val="00B61235"/>
    <w:rsid w:val="00B61895"/>
    <w:rsid w:val="00B619FB"/>
    <w:rsid w:val="00B61B17"/>
    <w:rsid w:val="00B61DEE"/>
    <w:rsid w:val="00B62514"/>
    <w:rsid w:val="00B6266B"/>
    <w:rsid w:val="00B6279C"/>
    <w:rsid w:val="00B628A1"/>
    <w:rsid w:val="00B62B1B"/>
    <w:rsid w:val="00B62B40"/>
    <w:rsid w:val="00B6317D"/>
    <w:rsid w:val="00B63592"/>
    <w:rsid w:val="00B63624"/>
    <w:rsid w:val="00B641B7"/>
    <w:rsid w:val="00B6438C"/>
    <w:rsid w:val="00B64861"/>
    <w:rsid w:val="00B64A76"/>
    <w:rsid w:val="00B64F18"/>
    <w:rsid w:val="00B652BA"/>
    <w:rsid w:val="00B653D1"/>
    <w:rsid w:val="00B6563E"/>
    <w:rsid w:val="00B656F8"/>
    <w:rsid w:val="00B65AAE"/>
    <w:rsid w:val="00B65CAF"/>
    <w:rsid w:val="00B65CE0"/>
    <w:rsid w:val="00B66404"/>
    <w:rsid w:val="00B669FC"/>
    <w:rsid w:val="00B66D76"/>
    <w:rsid w:val="00B66E5E"/>
    <w:rsid w:val="00B66EBD"/>
    <w:rsid w:val="00B67257"/>
    <w:rsid w:val="00B672D4"/>
    <w:rsid w:val="00B6738F"/>
    <w:rsid w:val="00B673F3"/>
    <w:rsid w:val="00B6752F"/>
    <w:rsid w:val="00B67D10"/>
    <w:rsid w:val="00B701D0"/>
    <w:rsid w:val="00B70848"/>
    <w:rsid w:val="00B708FE"/>
    <w:rsid w:val="00B70A30"/>
    <w:rsid w:val="00B710DE"/>
    <w:rsid w:val="00B7147E"/>
    <w:rsid w:val="00B7148F"/>
    <w:rsid w:val="00B71987"/>
    <w:rsid w:val="00B71CE2"/>
    <w:rsid w:val="00B71F82"/>
    <w:rsid w:val="00B71FF3"/>
    <w:rsid w:val="00B72FD9"/>
    <w:rsid w:val="00B74150"/>
    <w:rsid w:val="00B7490D"/>
    <w:rsid w:val="00B749FF"/>
    <w:rsid w:val="00B74CDF"/>
    <w:rsid w:val="00B74D9B"/>
    <w:rsid w:val="00B75163"/>
    <w:rsid w:val="00B753FC"/>
    <w:rsid w:val="00B75A95"/>
    <w:rsid w:val="00B75CA3"/>
    <w:rsid w:val="00B766C9"/>
    <w:rsid w:val="00B76766"/>
    <w:rsid w:val="00B76831"/>
    <w:rsid w:val="00B76A37"/>
    <w:rsid w:val="00B7710B"/>
    <w:rsid w:val="00B77135"/>
    <w:rsid w:val="00B7723F"/>
    <w:rsid w:val="00B777AD"/>
    <w:rsid w:val="00B778DA"/>
    <w:rsid w:val="00B77F43"/>
    <w:rsid w:val="00B80071"/>
    <w:rsid w:val="00B80410"/>
    <w:rsid w:val="00B80482"/>
    <w:rsid w:val="00B80534"/>
    <w:rsid w:val="00B80BEB"/>
    <w:rsid w:val="00B80D12"/>
    <w:rsid w:val="00B80FA8"/>
    <w:rsid w:val="00B82011"/>
    <w:rsid w:val="00B822E4"/>
    <w:rsid w:val="00B823B9"/>
    <w:rsid w:val="00B8247C"/>
    <w:rsid w:val="00B82703"/>
    <w:rsid w:val="00B830A9"/>
    <w:rsid w:val="00B832B3"/>
    <w:rsid w:val="00B832EE"/>
    <w:rsid w:val="00B836F7"/>
    <w:rsid w:val="00B83DF8"/>
    <w:rsid w:val="00B840FA"/>
    <w:rsid w:val="00B8433C"/>
    <w:rsid w:val="00B844EF"/>
    <w:rsid w:val="00B84873"/>
    <w:rsid w:val="00B84BAC"/>
    <w:rsid w:val="00B84CED"/>
    <w:rsid w:val="00B85177"/>
    <w:rsid w:val="00B85902"/>
    <w:rsid w:val="00B86022"/>
    <w:rsid w:val="00B86679"/>
    <w:rsid w:val="00B86724"/>
    <w:rsid w:val="00B8681B"/>
    <w:rsid w:val="00B86B1D"/>
    <w:rsid w:val="00B86E2D"/>
    <w:rsid w:val="00B870FC"/>
    <w:rsid w:val="00B87491"/>
    <w:rsid w:val="00B875B7"/>
    <w:rsid w:val="00B876E2"/>
    <w:rsid w:val="00B87915"/>
    <w:rsid w:val="00B87F73"/>
    <w:rsid w:val="00B87F7E"/>
    <w:rsid w:val="00B87FD7"/>
    <w:rsid w:val="00B90D07"/>
    <w:rsid w:val="00B90E34"/>
    <w:rsid w:val="00B91157"/>
    <w:rsid w:val="00B911A0"/>
    <w:rsid w:val="00B912A7"/>
    <w:rsid w:val="00B912D3"/>
    <w:rsid w:val="00B915DC"/>
    <w:rsid w:val="00B91CFF"/>
    <w:rsid w:val="00B921D7"/>
    <w:rsid w:val="00B924DF"/>
    <w:rsid w:val="00B92670"/>
    <w:rsid w:val="00B92965"/>
    <w:rsid w:val="00B929E2"/>
    <w:rsid w:val="00B92A2F"/>
    <w:rsid w:val="00B92B37"/>
    <w:rsid w:val="00B92F44"/>
    <w:rsid w:val="00B930A9"/>
    <w:rsid w:val="00B93211"/>
    <w:rsid w:val="00B934FB"/>
    <w:rsid w:val="00B93937"/>
    <w:rsid w:val="00B939B4"/>
    <w:rsid w:val="00B94A54"/>
    <w:rsid w:val="00B94D31"/>
    <w:rsid w:val="00B94FEE"/>
    <w:rsid w:val="00B95351"/>
    <w:rsid w:val="00B9547C"/>
    <w:rsid w:val="00B95BF3"/>
    <w:rsid w:val="00B95DAB"/>
    <w:rsid w:val="00B96054"/>
    <w:rsid w:val="00B961F5"/>
    <w:rsid w:val="00B963A3"/>
    <w:rsid w:val="00B96578"/>
    <w:rsid w:val="00B96AD9"/>
    <w:rsid w:val="00B96D5A"/>
    <w:rsid w:val="00B96DDB"/>
    <w:rsid w:val="00B97070"/>
    <w:rsid w:val="00B97086"/>
    <w:rsid w:val="00B97157"/>
    <w:rsid w:val="00B974D0"/>
    <w:rsid w:val="00B976D8"/>
    <w:rsid w:val="00B97884"/>
    <w:rsid w:val="00B97F6E"/>
    <w:rsid w:val="00BA065A"/>
    <w:rsid w:val="00BA067A"/>
    <w:rsid w:val="00BA083E"/>
    <w:rsid w:val="00BA09F2"/>
    <w:rsid w:val="00BA0A19"/>
    <w:rsid w:val="00BA0A9E"/>
    <w:rsid w:val="00BA0FD0"/>
    <w:rsid w:val="00BA0FFD"/>
    <w:rsid w:val="00BA17B1"/>
    <w:rsid w:val="00BA17D1"/>
    <w:rsid w:val="00BA17F8"/>
    <w:rsid w:val="00BA20A8"/>
    <w:rsid w:val="00BA231C"/>
    <w:rsid w:val="00BA2513"/>
    <w:rsid w:val="00BA29E9"/>
    <w:rsid w:val="00BA2A47"/>
    <w:rsid w:val="00BA30FA"/>
    <w:rsid w:val="00BA3120"/>
    <w:rsid w:val="00BA3C70"/>
    <w:rsid w:val="00BA3D12"/>
    <w:rsid w:val="00BA472D"/>
    <w:rsid w:val="00BA47DE"/>
    <w:rsid w:val="00BA4C41"/>
    <w:rsid w:val="00BA5115"/>
    <w:rsid w:val="00BA5145"/>
    <w:rsid w:val="00BA51D3"/>
    <w:rsid w:val="00BA5459"/>
    <w:rsid w:val="00BA5823"/>
    <w:rsid w:val="00BA5D82"/>
    <w:rsid w:val="00BA6482"/>
    <w:rsid w:val="00BA6C3F"/>
    <w:rsid w:val="00BA7142"/>
    <w:rsid w:val="00BA72C9"/>
    <w:rsid w:val="00BA78A8"/>
    <w:rsid w:val="00BA7B39"/>
    <w:rsid w:val="00BA7C6C"/>
    <w:rsid w:val="00BA7CC1"/>
    <w:rsid w:val="00BA7F4A"/>
    <w:rsid w:val="00BB0373"/>
    <w:rsid w:val="00BB07A0"/>
    <w:rsid w:val="00BB0817"/>
    <w:rsid w:val="00BB0B22"/>
    <w:rsid w:val="00BB1647"/>
    <w:rsid w:val="00BB1F31"/>
    <w:rsid w:val="00BB234C"/>
    <w:rsid w:val="00BB237C"/>
    <w:rsid w:val="00BB24B5"/>
    <w:rsid w:val="00BB260B"/>
    <w:rsid w:val="00BB2801"/>
    <w:rsid w:val="00BB33BA"/>
    <w:rsid w:val="00BB3A8E"/>
    <w:rsid w:val="00BB41A3"/>
    <w:rsid w:val="00BB4CD6"/>
    <w:rsid w:val="00BB51AA"/>
    <w:rsid w:val="00BB521E"/>
    <w:rsid w:val="00BB580D"/>
    <w:rsid w:val="00BB5967"/>
    <w:rsid w:val="00BB68AB"/>
    <w:rsid w:val="00BB7061"/>
    <w:rsid w:val="00BB740A"/>
    <w:rsid w:val="00BB751E"/>
    <w:rsid w:val="00BB773C"/>
    <w:rsid w:val="00BB7A66"/>
    <w:rsid w:val="00BB7D48"/>
    <w:rsid w:val="00BC174A"/>
    <w:rsid w:val="00BC1842"/>
    <w:rsid w:val="00BC19C3"/>
    <w:rsid w:val="00BC1C5F"/>
    <w:rsid w:val="00BC22C6"/>
    <w:rsid w:val="00BC2A0A"/>
    <w:rsid w:val="00BC2F22"/>
    <w:rsid w:val="00BC31B1"/>
    <w:rsid w:val="00BC32DC"/>
    <w:rsid w:val="00BC35B6"/>
    <w:rsid w:val="00BC35F1"/>
    <w:rsid w:val="00BC38B0"/>
    <w:rsid w:val="00BC3E46"/>
    <w:rsid w:val="00BC3EDE"/>
    <w:rsid w:val="00BC4ACF"/>
    <w:rsid w:val="00BC4C53"/>
    <w:rsid w:val="00BC4DD1"/>
    <w:rsid w:val="00BC5053"/>
    <w:rsid w:val="00BC51E0"/>
    <w:rsid w:val="00BC5201"/>
    <w:rsid w:val="00BC5417"/>
    <w:rsid w:val="00BC589A"/>
    <w:rsid w:val="00BC5AD1"/>
    <w:rsid w:val="00BC5C6F"/>
    <w:rsid w:val="00BC6172"/>
    <w:rsid w:val="00BC659F"/>
    <w:rsid w:val="00BC6A62"/>
    <w:rsid w:val="00BC73D4"/>
    <w:rsid w:val="00BC7900"/>
    <w:rsid w:val="00BC7E8A"/>
    <w:rsid w:val="00BD0A5A"/>
    <w:rsid w:val="00BD108E"/>
    <w:rsid w:val="00BD13D9"/>
    <w:rsid w:val="00BD16CB"/>
    <w:rsid w:val="00BD1B51"/>
    <w:rsid w:val="00BD1BCA"/>
    <w:rsid w:val="00BD1D07"/>
    <w:rsid w:val="00BD1F6F"/>
    <w:rsid w:val="00BD22BD"/>
    <w:rsid w:val="00BD322B"/>
    <w:rsid w:val="00BD3567"/>
    <w:rsid w:val="00BD382F"/>
    <w:rsid w:val="00BD3896"/>
    <w:rsid w:val="00BD3A19"/>
    <w:rsid w:val="00BD3F25"/>
    <w:rsid w:val="00BD447E"/>
    <w:rsid w:val="00BD4596"/>
    <w:rsid w:val="00BD4FB1"/>
    <w:rsid w:val="00BD52CF"/>
    <w:rsid w:val="00BD551E"/>
    <w:rsid w:val="00BD5D56"/>
    <w:rsid w:val="00BD5DB7"/>
    <w:rsid w:val="00BD6648"/>
    <w:rsid w:val="00BD6842"/>
    <w:rsid w:val="00BD6DEB"/>
    <w:rsid w:val="00BD7294"/>
    <w:rsid w:val="00BD7691"/>
    <w:rsid w:val="00BD79A0"/>
    <w:rsid w:val="00BD7CB1"/>
    <w:rsid w:val="00BE0196"/>
    <w:rsid w:val="00BE0740"/>
    <w:rsid w:val="00BE0AF7"/>
    <w:rsid w:val="00BE10F0"/>
    <w:rsid w:val="00BE1405"/>
    <w:rsid w:val="00BE1961"/>
    <w:rsid w:val="00BE19D2"/>
    <w:rsid w:val="00BE25C3"/>
    <w:rsid w:val="00BE2A75"/>
    <w:rsid w:val="00BE2E0C"/>
    <w:rsid w:val="00BE312D"/>
    <w:rsid w:val="00BE34E8"/>
    <w:rsid w:val="00BE3FA4"/>
    <w:rsid w:val="00BE4215"/>
    <w:rsid w:val="00BE440F"/>
    <w:rsid w:val="00BE4458"/>
    <w:rsid w:val="00BE4691"/>
    <w:rsid w:val="00BE46FC"/>
    <w:rsid w:val="00BE4AF1"/>
    <w:rsid w:val="00BE4B4B"/>
    <w:rsid w:val="00BE50AC"/>
    <w:rsid w:val="00BE5460"/>
    <w:rsid w:val="00BE5A86"/>
    <w:rsid w:val="00BE5FAD"/>
    <w:rsid w:val="00BE6650"/>
    <w:rsid w:val="00BE6E64"/>
    <w:rsid w:val="00BE6EAB"/>
    <w:rsid w:val="00BE7746"/>
    <w:rsid w:val="00BE797F"/>
    <w:rsid w:val="00BE7B4C"/>
    <w:rsid w:val="00BE7BB9"/>
    <w:rsid w:val="00BF0F91"/>
    <w:rsid w:val="00BF107B"/>
    <w:rsid w:val="00BF1180"/>
    <w:rsid w:val="00BF1263"/>
    <w:rsid w:val="00BF13B8"/>
    <w:rsid w:val="00BF19E8"/>
    <w:rsid w:val="00BF1A50"/>
    <w:rsid w:val="00BF1C20"/>
    <w:rsid w:val="00BF1C3B"/>
    <w:rsid w:val="00BF1C71"/>
    <w:rsid w:val="00BF1FBE"/>
    <w:rsid w:val="00BF2359"/>
    <w:rsid w:val="00BF27CF"/>
    <w:rsid w:val="00BF29AE"/>
    <w:rsid w:val="00BF29BB"/>
    <w:rsid w:val="00BF2C49"/>
    <w:rsid w:val="00BF2EDC"/>
    <w:rsid w:val="00BF3C21"/>
    <w:rsid w:val="00BF3DD0"/>
    <w:rsid w:val="00BF3FAE"/>
    <w:rsid w:val="00BF4BC8"/>
    <w:rsid w:val="00BF54F3"/>
    <w:rsid w:val="00BF5CA1"/>
    <w:rsid w:val="00BF5EFE"/>
    <w:rsid w:val="00BF6111"/>
    <w:rsid w:val="00BF6AD6"/>
    <w:rsid w:val="00BF6E70"/>
    <w:rsid w:val="00BF6F19"/>
    <w:rsid w:val="00BF7C78"/>
    <w:rsid w:val="00C0033C"/>
    <w:rsid w:val="00C00555"/>
    <w:rsid w:val="00C005AA"/>
    <w:rsid w:val="00C009BD"/>
    <w:rsid w:val="00C009BE"/>
    <w:rsid w:val="00C00A63"/>
    <w:rsid w:val="00C00B74"/>
    <w:rsid w:val="00C00C48"/>
    <w:rsid w:val="00C01255"/>
    <w:rsid w:val="00C015EA"/>
    <w:rsid w:val="00C01C6E"/>
    <w:rsid w:val="00C021DC"/>
    <w:rsid w:val="00C031BC"/>
    <w:rsid w:val="00C032AF"/>
    <w:rsid w:val="00C03E89"/>
    <w:rsid w:val="00C03EA6"/>
    <w:rsid w:val="00C044FF"/>
    <w:rsid w:val="00C04B03"/>
    <w:rsid w:val="00C04F1A"/>
    <w:rsid w:val="00C05193"/>
    <w:rsid w:val="00C05278"/>
    <w:rsid w:val="00C052E3"/>
    <w:rsid w:val="00C052EC"/>
    <w:rsid w:val="00C0547E"/>
    <w:rsid w:val="00C05E1D"/>
    <w:rsid w:val="00C063B7"/>
    <w:rsid w:val="00C06938"/>
    <w:rsid w:val="00C06AA1"/>
    <w:rsid w:val="00C06D52"/>
    <w:rsid w:val="00C06E2F"/>
    <w:rsid w:val="00C06EB3"/>
    <w:rsid w:val="00C07051"/>
    <w:rsid w:val="00C07103"/>
    <w:rsid w:val="00C073ED"/>
    <w:rsid w:val="00C07801"/>
    <w:rsid w:val="00C079C1"/>
    <w:rsid w:val="00C10105"/>
    <w:rsid w:val="00C10423"/>
    <w:rsid w:val="00C10578"/>
    <w:rsid w:val="00C106CD"/>
    <w:rsid w:val="00C1070B"/>
    <w:rsid w:val="00C10A86"/>
    <w:rsid w:val="00C10D1D"/>
    <w:rsid w:val="00C11717"/>
    <w:rsid w:val="00C1190E"/>
    <w:rsid w:val="00C11AF6"/>
    <w:rsid w:val="00C1218C"/>
    <w:rsid w:val="00C122FA"/>
    <w:rsid w:val="00C12363"/>
    <w:rsid w:val="00C1239C"/>
    <w:rsid w:val="00C12D40"/>
    <w:rsid w:val="00C135BC"/>
    <w:rsid w:val="00C141CB"/>
    <w:rsid w:val="00C1464C"/>
    <w:rsid w:val="00C14667"/>
    <w:rsid w:val="00C1482C"/>
    <w:rsid w:val="00C14C82"/>
    <w:rsid w:val="00C14EF2"/>
    <w:rsid w:val="00C15245"/>
    <w:rsid w:val="00C15714"/>
    <w:rsid w:val="00C15C95"/>
    <w:rsid w:val="00C15E4B"/>
    <w:rsid w:val="00C160C4"/>
    <w:rsid w:val="00C1621F"/>
    <w:rsid w:val="00C16515"/>
    <w:rsid w:val="00C16D59"/>
    <w:rsid w:val="00C16DFF"/>
    <w:rsid w:val="00C1704E"/>
    <w:rsid w:val="00C1725D"/>
    <w:rsid w:val="00C17845"/>
    <w:rsid w:val="00C17B92"/>
    <w:rsid w:val="00C17CE2"/>
    <w:rsid w:val="00C20276"/>
    <w:rsid w:val="00C21016"/>
    <w:rsid w:val="00C21AC5"/>
    <w:rsid w:val="00C21B3E"/>
    <w:rsid w:val="00C22100"/>
    <w:rsid w:val="00C226E3"/>
    <w:rsid w:val="00C22C90"/>
    <w:rsid w:val="00C22FD6"/>
    <w:rsid w:val="00C230B9"/>
    <w:rsid w:val="00C23159"/>
    <w:rsid w:val="00C234D5"/>
    <w:rsid w:val="00C23B10"/>
    <w:rsid w:val="00C24328"/>
    <w:rsid w:val="00C24A47"/>
    <w:rsid w:val="00C24A56"/>
    <w:rsid w:val="00C252A7"/>
    <w:rsid w:val="00C2543A"/>
    <w:rsid w:val="00C2557A"/>
    <w:rsid w:val="00C2584C"/>
    <w:rsid w:val="00C25899"/>
    <w:rsid w:val="00C2589D"/>
    <w:rsid w:val="00C2596A"/>
    <w:rsid w:val="00C259DC"/>
    <w:rsid w:val="00C262E1"/>
    <w:rsid w:val="00C265FF"/>
    <w:rsid w:val="00C26765"/>
    <w:rsid w:val="00C26C7E"/>
    <w:rsid w:val="00C26D8B"/>
    <w:rsid w:val="00C2709A"/>
    <w:rsid w:val="00C2747B"/>
    <w:rsid w:val="00C27510"/>
    <w:rsid w:val="00C27537"/>
    <w:rsid w:val="00C2772E"/>
    <w:rsid w:val="00C278A4"/>
    <w:rsid w:val="00C27A04"/>
    <w:rsid w:val="00C27C04"/>
    <w:rsid w:val="00C27D52"/>
    <w:rsid w:val="00C30275"/>
    <w:rsid w:val="00C30BB4"/>
    <w:rsid w:val="00C30E74"/>
    <w:rsid w:val="00C316D1"/>
    <w:rsid w:val="00C31794"/>
    <w:rsid w:val="00C319EB"/>
    <w:rsid w:val="00C31EF2"/>
    <w:rsid w:val="00C32321"/>
    <w:rsid w:val="00C324DE"/>
    <w:rsid w:val="00C325AB"/>
    <w:rsid w:val="00C328FE"/>
    <w:rsid w:val="00C32D5A"/>
    <w:rsid w:val="00C331C4"/>
    <w:rsid w:val="00C33507"/>
    <w:rsid w:val="00C33523"/>
    <w:rsid w:val="00C336F3"/>
    <w:rsid w:val="00C3372E"/>
    <w:rsid w:val="00C337E9"/>
    <w:rsid w:val="00C33A61"/>
    <w:rsid w:val="00C33E12"/>
    <w:rsid w:val="00C34148"/>
    <w:rsid w:val="00C34792"/>
    <w:rsid w:val="00C34CF5"/>
    <w:rsid w:val="00C34DEF"/>
    <w:rsid w:val="00C35384"/>
    <w:rsid w:val="00C361BA"/>
    <w:rsid w:val="00C36394"/>
    <w:rsid w:val="00C366E8"/>
    <w:rsid w:val="00C36D6B"/>
    <w:rsid w:val="00C36E01"/>
    <w:rsid w:val="00C374A8"/>
    <w:rsid w:val="00C37719"/>
    <w:rsid w:val="00C3776F"/>
    <w:rsid w:val="00C37AFC"/>
    <w:rsid w:val="00C37CC7"/>
    <w:rsid w:val="00C37CCA"/>
    <w:rsid w:val="00C4076E"/>
    <w:rsid w:val="00C40FB8"/>
    <w:rsid w:val="00C40FBC"/>
    <w:rsid w:val="00C4148C"/>
    <w:rsid w:val="00C41572"/>
    <w:rsid w:val="00C41618"/>
    <w:rsid w:val="00C41A79"/>
    <w:rsid w:val="00C41AA1"/>
    <w:rsid w:val="00C42471"/>
    <w:rsid w:val="00C42900"/>
    <w:rsid w:val="00C42BE5"/>
    <w:rsid w:val="00C4342B"/>
    <w:rsid w:val="00C43708"/>
    <w:rsid w:val="00C4409D"/>
    <w:rsid w:val="00C44652"/>
    <w:rsid w:val="00C44942"/>
    <w:rsid w:val="00C44A1F"/>
    <w:rsid w:val="00C44B12"/>
    <w:rsid w:val="00C44E20"/>
    <w:rsid w:val="00C44E72"/>
    <w:rsid w:val="00C4535B"/>
    <w:rsid w:val="00C45890"/>
    <w:rsid w:val="00C458D7"/>
    <w:rsid w:val="00C45A06"/>
    <w:rsid w:val="00C46070"/>
    <w:rsid w:val="00C46636"/>
    <w:rsid w:val="00C4684F"/>
    <w:rsid w:val="00C46B46"/>
    <w:rsid w:val="00C46C8C"/>
    <w:rsid w:val="00C46EF0"/>
    <w:rsid w:val="00C470DE"/>
    <w:rsid w:val="00C473D4"/>
    <w:rsid w:val="00C47699"/>
    <w:rsid w:val="00C4782F"/>
    <w:rsid w:val="00C47E5B"/>
    <w:rsid w:val="00C47F1E"/>
    <w:rsid w:val="00C501DF"/>
    <w:rsid w:val="00C50CAE"/>
    <w:rsid w:val="00C50E4E"/>
    <w:rsid w:val="00C51009"/>
    <w:rsid w:val="00C5115A"/>
    <w:rsid w:val="00C5135F"/>
    <w:rsid w:val="00C52CF5"/>
    <w:rsid w:val="00C5312C"/>
    <w:rsid w:val="00C533BE"/>
    <w:rsid w:val="00C53660"/>
    <w:rsid w:val="00C53700"/>
    <w:rsid w:val="00C53707"/>
    <w:rsid w:val="00C537BC"/>
    <w:rsid w:val="00C54074"/>
    <w:rsid w:val="00C540D4"/>
    <w:rsid w:val="00C54A3A"/>
    <w:rsid w:val="00C54BA6"/>
    <w:rsid w:val="00C553ED"/>
    <w:rsid w:val="00C55491"/>
    <w:rsid w:val="00C5556E"/>
    <w:rsid w:val="00C55B6B"/>
    <w:rsid w:val="00C55D1D"/>
    <w:rsid w:val="00C55F1F"/>
    <w:rsid w:val="00C562F8"/>
    <w:rsid w:val="00C564C5"/>
    <w:rsid w:val="00C564FB"/>
    <w:rsid w:val="00C56B87"/>
    <w:rsid w:val="00C56C1B"/>
    <w:rsid w:val="00C56CAA"/>
    <w:rsid w:val="00C56E77"/>
    <w:rsid w:val="00C570A1"/>
    <w:rsid w:val="00C57176"/>
    <w:rsid w:val="00C5755F"/>
    <w:rsid w:val="00C57878"/>
    <w:rsid w:val="00C57C8E"/>
    <w:rsid w:val="00C57EB8"/>
    <w:rsid w:val="00C57EEA"/>
    <w:rsid w:val="00C605C5"/>
    <w:rsid w:val="00C60735"/>
    <w:rsid w:val="00C60DF5"/>
    <w:rsid w:val="00C61094"/>
    <w:rsid w:val="00C61A2E"/>
    <w:rsid w:val="00C61B13"/>
    <w:rsid w:val="00C61BB9"/>
    <w:rsid w:val="00C61E4B"/>
    <w:rsid w:val="00C6252E"/>
    <w:rsid w:val="00C62782"/>
    <w:rsid w:val="00C62786"/>
    <w:rsid w:val="00C628D6"/>
    <w:rsid w:val="00C62A81"/>
    <w:rsid w:val="00C62AAA"/>
    <w:rsid w:val="00C6302B"/>
    <w:rsid w:val="00C630CB"/>
    <w:rsid w:val="00C635D7"/>
    <w:rsid w:val="00C63804"/>
    <w:rsid w:val="00C64163"/>
    <w:rsid w:val="00C64343"/>
    <w:rsid w:val="00C64571"/>
    <w:rsid w:val="00C646F4"/>
    <w:rsid w:val="00C6491A"/>
    <w:rsid w:val="00C64B23"/>
    <w:rsid w:val="00C64BFF"/>
    <w:rsid w:val="00C656B8"/>
    <w:rsid w:val="00C659BD"/>
    <w:rsid w:val="00C65DD7"/>
    <w:rsid w:val="00C65E4F"/>
    <w:rsid w:val="00C65F6A"/>
    <w:rsid w:val="00C6624D"/>
    <w:rsid w:val="00C6664E"/>
    <w:rsid w:val="00C668D2"/>
    <w:rsid w:val="00C66987"/>
    <w:rsid w:val="00C66AB7"/>
    <w:rsid w:val="00C66E0C"/>
    <w:rsid w:val="00C66E43"/>
    <w:rsid w:val="00C670D5"/>
    <w:rsid w:val="00C6720B"/>
    <w:rsid w:val="00C672C7"/>
    <w:rsid w:val="00C6772E"/>
    <w:rsid w:val="00C677C6"/>
    <w:rsid w:val="00C6789D"/>
    <w:rsid w:val="00C70286"/>
    <w:rsid w:val="00C704E9"/>
    <w:rsid w:val="00C70BF5"/>
    <w:rsid w:val="00C70F81"/>
    <w:rsid w:val="00C716B6"/>
    <w:rsid w:val="00C71940"/>
    <w:rsid w:val="00C71B18"/>
    <w:rsid w:val="00C71B29"/>
    <w:rsid w:val="00C71D48"/>
    <w:rsid w:val="00C72326"/>
    <w:rsid w:val="00C7240D"/>
    <w:rsid w:val="00C724F8"/>
    <w:rsid w:val="00C729D5"/>
    <w:rsid w:val="00C729FC"/>
    <w:rsid w:val="00C73290"/>
    <w:rsid w:val="00C73316"/>
    <w:rsid w:val="00C73861"/>
    <w:rsid w:val="00C73B95"/>
    <w:rsid w:val="00C73BBC"/>
    <w:rsid w:val="00C73CCC"/>
    <w:rsid w:val="00C73FCF"/>
    <w:rsid w:val="00C7480B"/>
    <w:rsid w:val="00C74EA2"/>
    <w:rsid w:val="00C752C5"/>
    <w:rsid w:val="00C752D6"/>
    <w:rsid w:val="00C75663"/>
    <w:rsid w:val="00C7581D"/>
    <w:rsid w:val="00C7621D"/>
    <w:rsid w:val="00C762BD"/>
    <w:rsid w:val="00C762E0"/>
    <w:rsid w:val="00C763C9"/>
    <w:rsid w:val="00C76872"/>
    <w:rsid w:val="00C76898"/>
    <w:rsid w:val="00C769D7"/>
    <w:rsid w:val="00C76CBB"/>
    <w:rsid w:val="00C77D6A"/>
    <w:rsid w:val="00C80057"/>
    <w:rsid w:val="00C8033A"/>
    <w:rsid w:val="00C80551"/>
    <w:rsid w:val="00C80730"/>
    <w:rsid w:val="00C80764"/>
    <w:rsid w:val="00C808EC"/>
    <w:rsid w:val="00C809BD"/>
    <w:rsid w:val="00C80A32"/>
    <w:rsid w:val="00C80B70"/>
    <w:rsid w:val="00C818E3"/>
    <w:rsid w:val="00C82232"/>
    <w:rsid w:val="00C8232A"/>
    <w:rsid w:val="00C825F2"/>
    <w:rsid w:val="00C82827"/>
    <w:rsid w:val="00C82913"/>
    <w:rsid w:val="00C82B80"/>
    <w:rsid w:val="00C82C50"/>
    <w:rsid w:val="00C83172"/>
    <w:rsid w:val="00C83312"/>
    <w:rsid w:val="00C83430"/>
    <w:rsid w:val="00C84155"/>
    <w:rsid w:val="00C841E0"/>
    <w:rsid w:val="00C84460"/>
    <w:rsid w:val="00C84527"/>
    <w:rsid w:val="00C8498E"/>
    <w:rsid w:val="00C84BDC"/>
    <w:rsid w:val="00C84EB7"/>
    <w:rsid w:val="00C8505B"/>
    <w:rsid w:val="00C85306"/>
    <w:rsid w:val="00C85BCB"/>
    <w:rsid w:val="00C85D2C"/>
    <w:rsid w:val="00C85E86"/>
    <w:rsid w:val="00C86122"/>
    <w:rsid w:val="00C86172"/>
    <w:rsid w:val="00C86386"/>
    <w:rsid w:val="00C86FEC"/>
    <w:rsid w:val="00C8704A"/>
    <w:rsid w:val="00C87C6E"/>
    <w:rsid w:val="00C87D6B"/>
    <w:rsid w:val="00C91023"/>
    <w:rsid w:val="00C91214"/>
    <w:rsid w:val="00C913DE"/>
    <w:rsid w:val="00C9170C"/>
    <w:rsid w:val="00C919A4"/>
    <w:rsid w:val="00C91CD1"/>
    <w:rsid w:val="00C91E14"/>
    <w:rsid w:val="00C91F06"/>
    <w:rsid w:val="00C92059"/>
    <w:rsid w:val="00C92600"/>
    <w:rsid w:val="00C92C27"/>
    <w:rsid w:val="00C92D19"/>
    <w:rsid w:val="00C9303F"/>
    <w:rsid w:val="00C930B0"/>
    <w:rsid w:val="00C93176"/>
    <w:rsid w:val="00C935ED"/>
    <w:rsid w:val="00C93741"/>
    <w:rsid w:val="00C9384F"/>
    <w:rsid w:val="00C940F5"/>
    <w:rsid w:val="00C945BF"/>
    <w:rsid w:val="00C946FC"/>
    <w:rsid w:val="00C94845"/>
    <w:rsid w:val="00C94D51"/>
    <w:rsid w:val="00C94FF5"/>
    <w:rsid w:val="00C959C0"/>
    <w:rsid w:val="00C95AA5"/>
    <w:rsid w:val="00C95E7E"/>
    <w:rsid w:val="00C9627D"/>
    <w:rsid w:val="00C964F7"/>
    <w:rsid w:val="00C96EFF"/>
    <w:rsid w:val="00C97093"/>
    <w:rsid w:val="00C972B1"/>
    <w:rsid w:val="00C9791C"/>
    <w:rsid w:val="00C97936"/>
    <w:rsid w:val="00C97A1E"/>
    <w:rsid w:val="00C97FB6"/>
    <w:rsid w:val="00CA0161"/>
    <w:rsid w:val="00CA0ADC"/>
    <w:rsid w:val="00CA0D3F"/>
    <w:rsid w:val="00CA16D6"/>
    <w:rsid w:val="00CA1910"/>
    <w:rsid w:val="00CA1E89"/>
    <w:rsid w:val="00CA1EF6"/>
    <w:rsid w:val="00CA231E"/>
    <w:rsid w:val="00CA2729"/>
    <w:rsid w:val="00CA289E"/>
    <w:rsid w:val="00CA2CCE"/>
    <w:rsid w:val="00CA2D22"/>
    <w:rsid w:val="00CA2D41"/>
    <w:rsid w:val="00CA3530"/>
    <w:rsid w:val="00CA3CDE"/>
    <w:rsid w:val="00CA3CE6"/>
    <w:rsid w:val="00CA41D2"/>
    <w:rsid w:val="00CA43FD"/>
    <w:rsid w:val="00CA4481"/>
    <w:rsid w:val="00CA48C4"/>
    <w:rsid w:val="00CA4FB7"/>
    <w:rsid w:val="00CA4FE5"/>
    <w:rsid w:val="00CA5154"/>
    <w:rsid w:val="00CA5D8A"/>
    <w:rsid w:val="00CA5E53"/>
    <w:rsid w:val="00CA607E"/>
    <w:rsid w:val="00CA60CB"/>
    <w:rsid w:val="00CA6A9C"/>
    <w:rsid w:val="00CA6F15"/>
    <w:rsid w:val="00CA7327"/>
    <w:rsid w:val="00CA7C54"/>
    <w:rsid w:val="00CA7EF8"/>
    <w:rsid w:val="00CB04FE"/>
    <w:rsid w:val="00CB08FE"/>
    <w:rsid w:val="00CB0A46"/>
    <w:rsid w:val="00CB0D33"/>
    <w:rsid w:val="00CB0F5B"/>
    <w:rsid w:val="00CB0FC5"/>
    <w:rsid w:val="00CB1617"/>
    <w:rsid w:val="00CB16B6"/>
    <w:rsid w:val="00CB16ED"/>
    <w:rsid w:val="00CB218C"/>
    <w:rsid w:val="00CB22D4"/>
    <w:rsid w:val="00CB2341"/>
    <w:rsid w:val="00CB236D"/>
    <w:rsid w:val="00CB2560"/>
    <w:rsid w:val="00CB26FC"/>
    <w:rsid w:val="00CB28BF"/>
    <w:rsid w:val="00CB2B58"/>
    <w:rsid w:val="00CB3376"/>
    <w:rsid w:val="00CB37D7"/>
    <w:rsid w:val="00CB3EB8"/>
    <w:rsid w:val="00CB4097"/>
    <w:rsid w:val="00CB40A8"/>
    <w:rsid w:val="00CB42C5"/>
    <w:rsid w:val="00CB4806"/>
    <w:rsid w:val="00CB49D3"/>
    <w:rsid w:val="00CB4FE6"/>
    <w:rsid w:val="00CB51DE"/>
    <w:rsid w:val="00CB5232"/>
    <w:rsid w:val="00CB5401"/>
    <w:rsid w:val="00CB574F"/>
    <w:rsid w:val="00CB5924"/>
    <w:rsid w:val="00CB5CA5"/>
    <w:rsid w:val="00CB5F5B"/>
    <w:rsid w:val="00CB658B"/>
    <w:rsid w:val="00CB72A1"/>
    <w:rsid w:val="00CB72C3"/>
    <w:rsid w:val="00CB7663"/>
    <w:rsid w:val="00CB76C2"/>
    <w:rsid w:val="00CB7AF5"/>
    <w:rsid w:val="00CB7D63"/>
    <w:rsid w:val="00CB7E73"/>
    <w:rsid w:val="00CC01B9"/>
    <w:rsid w:val="00CC03C2"/>
    <w:rsid w:val="00CC0809"/>
    <w:rsid w:val="00CC0ADF"/>
    <w:rsid w:val="00CC0B8F"/>
    <w:rsid w:val="00CC0BE5"/>
    <w:rsid w:val="00CC0DA8"/>
    <w:rsid w:val="00CC0E30"/>
    <w:rsid w:val="00CC103B"/>
    <w:rsid w:val="00CC1115"/>
    <w:rsid w:val="00CC18FB"/>
    <w:rsid w:val="00CC193B"/>
    <w:rsid w:val="00CC1AA6"/>
    <w:rsid w:val="00CC1EC1"/>
    <w:rsid w:val="00CC2183"/>
    <w:rsid w:val="00CC2395"/>
    <w:rsid w:val="00CC285F"/>
    <w:rsid w:val="00CC2B9A"/>
    <w:rsid w:val="00CC2E32"/>
    <w:rsid w:val="00CC2FCC"/>
    <w:rsid w:val="00CC3631"/>
    <w:rsid w:val="00CC374B"/>
    <w:rsid w:val="00CC3871"/>
    <w:rsid w:val="00CC391A"/>
    <w:rsid w:val="00CC3BE9"/>
    <w:rsid w:val="00CC3D2A"/>
    <w:rsid w:val="00CC3D66"/>
    <w:rsid w:val="00CC3FE1"/>
    <w:rsid w:val="00CC461C"/>
    <w:rsid w:val="00CC489B"/>
    <w:rsid w:val="00CC4DE9"/>
    <w:rsid w:val="00CC5338"/>
    <w:rsid w:val="00CC5386"/>
    <w:rsid w:val="00CC59AB"/>
    <w:rsid w:val="00CC62E2"/>
    <w:rsid w:val="00CC64AA"/>
    <w:rsid w:val="00CC65DC"/>
    <w:rsid w:val="00CC6C3A"/>
    <w:rsid w:val="00CC6EDE"/>
    <w:rsid w:val="00CC72CA"/>
    <w:rsid w:val="00CC7EEE"/>
    <w:rsid w:val="00CD07C4"/>
    <w:rsid w:val="00CD0FCF"/>
    <w:rsid w:val="00CD1282"/>
    <w:rsid w:val="00CD14F6"/>
    <w:rsid w:val="00CD2741"/>
    <w:rsid w:val="00CD2BCD"/>
    <w:rsid w:val="00CD2F94"/>
    <w:rsid w:val="00CD331B"/>
    <w:rsid w:val="00CD3588"/>
    <w:rsid w:val="00CD39B4"/>
    <w:rsid w:val="00CD3A4C"/>
    <w:rsid w:val="00CD42FB"/>
    <w:rsid w:val="00CD4580"/>
    <w:rsid w:val="00CD4610"/>
    <w:rsid w:val="00CD50AE"/>
    <w:rsid w:val="00CD568D"/>
    <w:rsid w:val="00CD57F6"/>
    <w:rsid w:val="00CD58BA"/>
    <w:rsid w:val="00CD5C9B"/>
    <w:rsid w:val="00CD6A8D"/>
    <w:rsid w:val="00CD6D72"/>
    <w:rsid w:val="00CD7507"/>
    <w:rsid w:val="00CD7913"/>
    <w:rsid w:val="00CD7BDB"/>
    <w:rsid w:val="00CE0948"/>
    <w:rsid w:val="00CE0973"/>
    <w:rsid w:val="00CE0A4C"/>
    <w:rsid w:val="00CE0E5B"/>
    <w:rsid w:val="00CE0EB9"/>
    <w:rsid w:val="00CE10E9"/>
    <w:rsid w:val="00CE1757"/>
    <w:rsid w:val="00CE1AA1"/>
    <w:rsid w:val="00CE1EF8"/>
    <w:rsid w:val="00CE2268"/>
    <w:rsid w:val="00CE2349"/>
    <w:rsid w:val="00CE2910"/>
    <w:rsid w:val="00CE2EAB"/>
    <w:rsid w:val="00CE2ED4"/>
    <w:rsid w:val="00CE3484"/>
    <w:rsid w:val="00CE3658"/>
    <w:rsid w:val="00CE374C"/>
    <w:rsid w:val="00CE379C"/>
    <w:rsid w:val="00CE394E"/>
    <w:rsid w:val="00CE42A8"/>
    <w:rsid w:val="00CE4652"/>
    <w:rsid w:val="00CE4847"/>
    <w:rsid w:val="00CE4C05"/>
    <w:rsid w:val="00CE4D02"/>
    <w:rsid w:val="00CE4E47"/>
    <w:rsid w:val="00CE5007"/>
    <w:rsid w:val="00CE5393"/>
    <w:rsid w:val="00CE566B"/>
    <w:rsid w:val="00CE58A7"/>
    <w:rsid w:val="00CE5A83"/>
    <w:rsid w:val="00CE6341"/>
    <w:rsid w:val="00CE6BF2"/>
    <w:rsid w:val="00CE7872"/>
    <w:rsid w:val="00CF1032"/>
    <w:rsid w:val="00CF1092"/>
    <w:rsid w:val="00CF1193"/>
    <w:rsid w:val="00CF12A6"/>
    <w:rsid w:val="00CF12D3"/>
    <w:rsid w:val="00CF1867"/>
    <w:rsid w:val="00CF2694"/>
    <w:rsid w:val="00CF2DCE"/>
    <w:rsid w:val="00CF2E83"/>
    <w:rsid w:val="00CF2FBD"/>
    <w:rsid w:val="00CF3339"/>
    <w:rsid w:val="00CF33E8"/>
    <w:rsid w:val="00CF36B1"/>
    <w:rsid w:val="00CF36BE"/>
    <w:rsid w:val="00CF3887"/>
    <w:rsid w:val="00CF3E09"/>
    <w:rsid w:val="00CF3E58"/>
    <w:rsid w:val="00CF430F"/>
    <w:rsid w:val="00CF478F"/>
    <w:rsid w:val="00CF4B33"/>
    <w:rsid w:val="00CF4B3A"/>
    <w:rsid w:val="00CF4CA0"/>
    <w:rsid w:val="00CF5946"/>
    <w:rsid w:val="00CF596D"/>
    <w:rsid w:val="00CF5D16"/>
    <w:rsid w:val="00CF5D33"/>
    <w:rsid w:val="00CF5D37"/>
    <w:rsid w:val="00CF5D5C"/>
    <w:rsid w:val="00CF5F88"/>
    <w:rsid w:val="00CF6000"/>
    <w:rsid w:val="00CF64E1"/>
    <w:rsid w:val="00CF6641"/>
    <w:rsid w:val="00CF6670"/>
    <w:rsid w:val="00CF6964"/>
    <w:rsid w:val="00CF6D2B"/>
    <w:rsid w:val="00CF7017"/>
    <w:rsid w:val="00CF7764"/>
    <w:rsid w:val="00CF792A"/>
    <w:rsid w:val="00CF7A74"/>
    <w:rsid w:val="00CF7B72"/>
    <w:rsid w:val="00CF7C49"/>
    <w:rsid w:val="00CF7EE2"/>
    <w:rsid w:val="00D001FC"/>
    <w:rsid w:val="00D003E4"/>
    <w:rsid w:val="00D003F3"/>
    <w:rsid w:val="00D00778"/>
    <w:rsid w:val="00D009DA"/>
    <w:rsid w:val="00D00A60"/>
    <w:rsid w:val="00D00E28"/>
    <w:rsid w:val="00D011BE"/>
    <w:rsid w:val="00D014BF"/>
    <w:rsid w:val="00D016AF"/>
    <w:rsid w:val="00D023E8"/>
    <w:rsid w:val="00D02471"/>
    <w:rsid w:val="00D0258B"/>
    <w:rsid w:val="00D02738"/>
    <w:rsid w:val="00D029B2"/>
    <w:rsid w:val="00D033C3"/>
    <w:rsid w:val="00D03501"/>
    <w:rsid w:val="00D0364F"/>
    <w:rsid w:val="00D0366B"/>
    <w:rsid w:val="00D039C3"/>
    <w:rsid w:val="00D03F6E"/>
    <w:rsid w:val="00D03FC6"/>
    <w:rsid w:val="00D04E3E"/>
    <w:rsid w:val="00D051C3"/>
    <w:rsid w:val="00D055CA"/>
    <w:rsid w:val="00D05F76"/>
    <w:rsid w:val="00D062F8"/>
    <w:rsid w:val="00D066BD"/>
    <w:rsid w:val="00D066EF"/>
    <w:rsid w:val="00D06834"/>
    <w:rsid w:val="00D06D11"/>
    <w:rsid w:val="00D06D92"/>
    <w:rsid w:val="00D07040"/>
    <w:rsid w:val="00D07065"/>
    <w:rsid w:val="00D07D77"/>
    <w:rsid w:val="00D07F16"/>
    <w:rsid w:val="00D10037"/>
    <w:rsid w:val="00D105D7"/>
    <w:rsid w:val="00D1069F"/>
    <w:rsid w:val="00D10BC9"/>
    <w:rsid w:val="00D10E86"/>
    <w:rsid w:val="00D10F35"/>
    <w:rsid w:val="00D113AF"/>
    <w:rsid w:val="00D11910"/>
    <w:rsid w:val="00D11D21"/>
    <w:rsid w:val="00D11F42"/>
    <w:rsid w:val="00D12185"/>
    <w:rsid w:val="00D123BC"/>
    <w:rsid w:val="00D126E4"/>
    <w:rsid w:val="00D12EFB"/>
    <w:rsid w:val="00D135E1"/>
    <w:rsid w:val="00D136FE"/>
    <w:rsid w:val="00D13BAB"/>
    <w:rsid w:val="00D141C8"/>
    <w:rsid w:val="00D141FA"/>
    <w:rsid w:val="00D141FC"/>
    <w:rsid w:val="00D14FB1"/>
    <w:rsid w:val="00D152C2"/>
    <w:rsid w:val="00D1563A"/>
    <w:rsid w:val="00D15826"/>
    <w:rsid w:val="00D158AA"/>
    <w:rsid w:val="00D15AB1"/>
    <w:rsid w:val="00D15D44"/>
    <w:rsid w:val="00D16095"/>
    <w:rsid w:val="00D1638F"/>
    <w:rsid w:val="00D163D0"/>
    <w:rsid w:val="00D163DB"/>
    <w:rsid w:val="00D1645E"/>
    <w:rsid w:val="00D16A7B"/>
    <w:rsid w:val="00D176E5"/>
    <w:rsid w:val="00D177C3"/>
    <w:rsid w:val="00D179A9"/>
    <w:rsid w:val="00D17A0B"/>
    <w:rsid w:val="00D17C0E"/>
    <w:rsid w:val="00D17C7D"/>
    <w:rsid w:val="00D17E68"/>
    <w:rsid w:val="00D20294"/>
    <w:rsid w:val="00D20375"/>
    <w:rsid w:val="00D20650"/>
    <w:rsid w:val="00D207CF"/>
    <w:rsid w:val="00D20936"/>
    <w:rsid w:val="00D20E8A"/>
    <w:rsid w:val="00D21104"/>
    <w:rsid w:val="00D211E9"/>
    <w:rsid w:val="00D21442"/>
    <w:rsid w:val="00D2170F"/>
    <w:rsid w:val="00D21872"/>
    <w:rsid w:val="00D218E0"/>
    <w:rsid w:val="00D21B29"/>
    <w:rsid w:val="00D22497"/>
    <w:rsid w:val="00D2251B"/>
    <w:rsid w:val="00D229C8"/>
    <w:rsid w:val="00D22A64"/>
    <w:rsid w:val="00D22C0B"/>
    <w:rsid w:val="00D22DD3"/>
    <w:rsid w:val="00D23098"/>
    <w:rsid w:val="00D2310E"/>
    <w:rsid w:val="00D232AD"/>
    <w:rsid w:val="00D232F4"/>
    <w:rsid w:val="00D237E6"/>
    <w:rsid w:val="00D23EF7"/>
    <w:rsid w:val="00D23F19"/>
    <w:rsid w:val="00D24121"/>
    <w:rsid w:val="00D24356"/>
    <w:rsid w:val="00D24527"/>
    <w:rsid w:val="00D24553"/>
    <w:rsid w:val="00D24AC1"/>
    <w:rsid w:val="00D24BA7"/>
    <w:rsid w:val="00D24DFD"/>
    <w:rsid w:val="00D25243"/>
    <w:rsid w:val="00D252DE"/>
    <w:rsid w:val="00D2593A"/>
    <w:rsid w:val="00D25AE4"/>
    <w:rsid w:val="00D25DD6"/>
    <w:rsid w:val="00D26704"/>
    <w:rsid w:val="00D2730A"/>
    <w:rsid w:val="00D27753"/>
    <w:rsid w:val="00D27891"/>
    <w:rsid w:val="00D27896"/>
    <w:rsid w:val="00D279F4"/>
    <w:rsid w:val="00D27F66"/>
    <w:rsid w:val="00D30398"/>
    <w:rsid w:val="00D3047D"/>
    <w:rsid w:val="00D30621"/>
    <w:rsid w:val="00D308ED"/>
    <w:rsid w:val="00D30B14"/>
    <w:rsid w:val="00D30E50"/>
    <w:rsid w:val="00D311E0"/>
    <w:rsid w:val="00D31230"/>
    <w:rsid w:val="00D31355"/>
    <w:rsid w:val="00D313D9"/>
    <w:rsid w:val="00D31832"/>
    <w:rsid w:val="00D31CA9"/>
    <w:rsid w:val="00D31D42"/>
    <w:rsid w:val="00D32369"/>
    <w:rsid w:val="00D32464"/>
    <w:rsid w:val="00D32486"/>
    <w:rsid w:val="00D32559"/>
    <w:rsid w:val="00D32961"/>
    <w:rsid w:val="00D32991"/>
    <w:rsid w:val="00D32C1E"/>
    <w:rsid w:val="00D33153"/>
    <w:rsid w:val="00D332E9"/>
    <w:rsid w:val="00D33BB2"/>
    <w:rsid w:val="00D3415A"/>
    <w:rsid w:val="00D34813"/>
    <w:rsid w:val="00D34C60"/>
    <w:rsid w:val="00D34DD5"/>
    <w:rsid w:val="00D34E0F"/>
    <w:rsid w:val="00D35151"/>
    <w:rsid w:val="00D35880"/>
    <w:rsid w:val="00D35905"/>
    <w:rsid w:val="00D3593E"/>
    <w:rsid w:val="00D35AB0"/>
    <w:rsid w:val="00D35BD9"/>
    <w:rsid w:val="00D36900"/>
    <w:rsid w:val="00D36B36"/>
    <w:rsid w:val="00D36B5F"/>
    <w:rsid w:val="00D36D4A"/>
    <w:rsid w:val="00D36D86"/>
    <w:rsid w:val="00D40300"/>
    <w:rsid w:val="00D40792"/>
    <w:rsid w:val="00D41098"/>
    <w:rsid w:val="00D41380"/>
    <w:rsid w:val="00D4158E"/>
    <w:rsid w:val="00D4176F"/>
    <w:rsid w:val="00D417F9"/>
    <w:rsid w:val="00D41B74"/>
    <w:rsid w:val="00D41C72"/>
    <w:rsid w:val="00D41CF1"/>
    <w:rsid w:val="00D41D28"/>
    <w:rsid w:val="00D41D6E"/>
    <w:rsid w:val="00D41E08"/>
    <w:rsid w:val="00D422B0"/>
    <w:rsid w:val="00D424CF"/>
    <w:rsid w:val="00D428AA"/>
    <w:rsid w:val="00D42921"/>
    <w:rsid w:val="00D42D77"/>
    <w:rsid w:val="00D42FAF"/>
    <w:rsid w:val="00D4311A"/>
    <w:rsid w:val="00D43423"/>
    <w:rsid w:val="00D43CB7"/>
    <w:rsid w:val="00D43E3A"/>
    <w:rsid w:val="00D43F2B"/>
    <w:rsid w:val="00D44113"/>
    <w:rsid w:val="00D442A3"/>
    <w:rsid w:val="00D443D0"/>
    <w:rsid w:val="00D44866"/>
    <w:rsid w:val="00D44973"/>
    <w:rsid w:val="00D451CC"/>
    <w:rsid w:val="00D45AA9"/>
    <w:rsid w:val="00D45D31"/>
    <w:rsid w:val="00D4605D"/>
    <w:rsid w:val="00D462E5"/>
    <w:rsid w:val="00D463E2"/>
    <w:rsid w:val="00D46719"/>
    <w:rsid w:val="00D46D9A"/>
    <w:rsid w:val="00D4715E"/>
    <w:rsid w:val="00D4729D"/>
    <w:rsid w:val="00D47421"/>
    <w:rsid w:val="00D475CF"/>
    <w:rsid w:val="00D47763"/>
    <w:rsid w:val="00D4776F"/>
    <w:rsid w:val="00D47792"/>
    <w:rsid w:val="00D4791F"/>
    <w:rsid w:val="00D47D6D"/>
    <w:rsid w:val="00D47E6E"/>
    <w:rsid w:val="00D50144"/>
    <w:rsid w:val="00D50558"/>
    <w:rsid w:val="00D5074F"/>
    <w:rsid w:val="00D50756"/>
    <w:rsid w:val="00D50873"/>
    <w:rsid w:val="00D50A34"/>
    <w:rsid w:val="00D50E77"/>
    <w:rsid w:val="00D51089"/>
    <w:rsid w:val="00D52823"/>
    <w:rsid w:val="00D52935"/>
    <w:rsid w:val="00D52AF2"/>
    <w:rsid w:val="00D5354F"/>
    <w:rsid w:val="00D53622"/>
    <w:rsid w:val="00D53724"/>
    <w:rsid w:val="00D5377D"/>
    <w:rsid w:val="00D538AA"/>
    <w:rsid w:val="00D53D2E"/>
    <w:rsid w:val="00D53EFA"/>
    <w:rsid w:val="00D54602"/>
    <w:rsid w:val="00D54918"/>
    <w:rsid w:val="00D54EAE"/>
    <w:rsid w:val="00D54F32"/>
    <w:rsid w:val="00D55BBD"/>
    <w:rsid w:val="00D55E8A"/>
    <w:rsid w:val="00D56099"/>
    <w:rsid w:val="00D563F6"/>
    <w:rsid w:val="00D56853"/>
    <w:rsid w:val="00D568AE"/>
    <w:rsid w:val="00D56ABD"/>
    <w:rsid w:val="00D56B9B"/>
    <w:rsid w:val="00D56D77"/>
    <w:rsid w:val="00D57190"/>
    <w:rsid w:val="00D5729E"/>
    <w:rsid w:val="00D609B2"/>
    <w:rsid w:val="00D60A58"/>
    <w:rsid w:val="00D61094"/>
    <w:rsid w:val="00D61153"/>
    <w:rsid w:val="00D614A4"/>
    <w:rsid w:val="00D615DB"/>
    <w:rsid w:val="00D61A67"/>
    <w:rsid w:val="00D61B87"/>
    <w:rsid w:val="00D622EC"/>
    <w:rsid w:val="00D624A0"/>
    <w:rsid w:val="00D62F54"/>
    <w:rsid w:val="00D63465"/>
    <w:rsid w:val="00D634AD"/>
    <w:rsid w:val="00D63C8C"/>
    <w:rsid w:val="00D64028"/>
    <w:rsid w:val="00D642F4"/>
    <w:rsid w:val="00D64393"/>
    <w:rsid w:val="00D64874"/>
    <w:rsid w:val="00D653E6"/>
    <w:rsid w:val="00D65AD3"/>
    <w:rsid w:val="00D661D9"/>
    <w:rsid w:val="00D662F3"/>
    <w:rsid w:val="00D66CC0"/>
    <w:rsid w:val="00D67021"/>
    <w:rsid w:val="00D671D0"/>
    <w:rsid w:val="00D67BAA"/>
    <w:rsid w:val="00D67F36"/>
    <w:rsid w:val="00D701F3"/>
    <w:rsid w:val="00D70292"/>
    <w:rsid w:val="00D7055B"/>
    <w:rsid w:val="00D7092A"/>
    <w:rsid w:val="00D70CEC"/>
    <w:rsid w:val="00D70E81"/>
    <w:rsid w:val="00D70EC2"/>
    <w:rsid w:val="00D716A1"/>
    <w:rsid w:val="00D71ECF"/>
    <w:rsid w:val="00D720BB"/>
    <w:rsid w:val="00D7222C"/>
    <w:rsid w:val="00D725C5"/>
    <w:rsid w:val="00D72705"/>
    <w:rsid w:val="00D728B8"/>
    <w:rsid w:val="00D72CF4"/>
    <w:rsid w:val="00D72E10"/>
    <w:rsid w:val="00D7329F"/>
    <w:rsid w:val="00D741D0"/>
    <w:rsid w:val="00D74872"/>
    <w:rsid w:val="00D749CA"/>
    <w:rsid w:val="00D7525E"/>
    <w:rsid w:val="00D7540C"/>
    <w:rsid w:val="00D7554D"/>
    <w:rsid w:val="00D7576B"/>
    <w:rsid w:val="00D75C9E"/>
    <w:rsid w:val="00D7626C"/>
    <w:rsid w:val="00D76805"/>
    <w:rsid w:val="00D76E6A"/>
    <w:rsid w:val="00D77782"/>
    <w:rsid w:val="00D779DF"/>
    <w:rsid w:val="00D77AF0"/>
    <w:rsid w:val="00D77CCD"/>
    <w:rsid w:val="00D77F47"/>
    <w:rsid w:val="00D8004F"/>
    <w:rsid w:val="00D805FA"/>
    <w:rsid w:val="00D80734"/>
    <w:rsid w:val="00D8094A"/>
    <w:rsid w:val="00D80989"/>
    <w:rsid w:val="00D80A88"/>
    <w:rsid w:val="00D80B36"/>
    <w:rsid w:val="00D80E84"/>
    <w:rsid w:val="00D8163F"/>
    <w:rsid w:val="00D81A1C"/>
    <w:rsid w:val="00D81E98"/>
    <w:rsid w:val="00D81ED2"/>
    <w:rsid w:val="00D81FA7"/>
    <w:rsid w:val="00D81FD9"/>
    <w:rsid w:val="00D823C9"/>
    <w:rsid w:val="00D82786"/>
    <w:rsid w:val="00D83138"/>
    <w:rsid w:val="00D83683"/>
    <w:rsid w:val="00D83B01"/>
    <w:rsid w:val="00D83C20"/>
    <w:rsid w:val="00D83E24"/>
    <w:rsid w:val="00D841E2"/>
    <w:rsid w:val="00D842F3"/>
    <w:rsid w:val="00D84474"/>
    <w:rsid w:val="00D84559"/>
    <w:rsid w:val="00D8456F"/>
    <w:rsid w:val="00D84907"/>
    <w:rsid w:val="00D84CFA"/>
    <w:rsid w:val="00D8526E"/>
    <w:rsid w:val="00D852C2"/>
    <w:rsid w:val="00D858FD"/>
    <w:rsid w:val="00D869BF"/>
    <w:rsid w:val="00D86B33"/>
    <w:rsid w:val="00D86E94"/>
    <w:rsid w:val="00D86F70"/>
    <w:rsid w:val="00D870FB"/>
    <w:rsid w:val="00D87246"/>
    <w:rsid w:val="00D8728C"/>
    <w:rsid w:val="00D8764F"/>
    <w:rsid w:val="00D87BD3"/>
    <w:rsid w:val="00D9023B"/>
    <w:rsid w:val="00D9039E"/>
    <w:rsid w:val="00D910D8"/>
    <w:rsid w:val="00D91124"/>
    <w:rsid w:val="00D9131D"/>
    <w:rsid w:val="00D91371"/>
    <w:rsid w:val="00D916E5"/>
    <w:rsid w:val="00D9185D"/>
    <w:rsid w:val="00D91868"/>
    <w:rsid w:val="00D91AE1"/>
    <w:rsid w:val="00D925E7"/>
    <w:rsid w:val="00D928AE"/>
    <w:rsid w:val="00D92B2E"/>
    <w:rsid w:val="00D92DC2"/>
    <w:rsid w:val="00D9333F"/>
    <w:rsid w:val="00D934D8"/>
    <w:rsid w:val="00D935DB"/>
    <w:rsid w:val="00D93C40"/>
    <w:rsid w:val="00D93D32"/>
    <w:rsid w:val="00D941A0"/>
    <w:rsid w:val="00D944A0"/>
    <w:rsid w:val="00D945C9"/>
    <w:rsid w:val="00D94A79"/>
    <w:rsid w:val="00D94A7C"/>
    <w:rsid w:val="00D94D6F"/>
    <w:rsid w:val="00D952FD"/>
    <w:rsid w:val="00D95464"/>
    <w:rsid w:val="00D95631"/>
    <w:rsid w:val="00D9581F"/>
    <w:rsid w:val="00D95896"/>
    <w:rsid w:val="00D95B38"/>
    <w:rsid w:val="00D95BCB"/>
    <w:rsid w:val="00D96760"/>
    <w:rsid w:val="00D96791"/>
    <w:rsid w:val="00D96ACF"/>
    <w:rsid w:val="00D96FEA"/>
    <w:rsid w:val="00D9731E"/>
    <w:rsid w:val="00D9774A"/>
    <w:rsid w:val="00D97770"/>
    <w:rsid w:val="00D9780A"/>
    <w:rsid w:val="00D9786F"/>
    <w:rsid w:val="00D978AA"/>
    <w:rsid w:val="00D97B1A"/>
    <w:rsid w:val="00DA0425"/>
    <w:rsid w:val="00DA04F8"/>
    <w:rsid w:val="00DA0A82"/>
    <w:rsid w:val="00DA19B8"/>
    <w:rsid w:val="00DA2455"/>
    <w:rsid w:val="00DA24F5"/>
    <w:rsid w:val="00DA2633"/>
    <w:rsid w:val="00DA29C1"/>
    <w:rsid w:val="00DA2A92"/>
    <w:rsid w:val="00DA2B37"/>
    <w:rsid w:val="00DA340E"/>
    <w:rsid w:val="00DA34F5"/>
    <w:rsid w:val="00DA3A52"/>
    <w:rsid w:val="00DA3AA9"/>
    <w:rsid w:val="00DA3B7A"/>
    <w:rsid w:val="00DA3BC0"/>
    <w:rsid w:val="00DA45C5"/>
    <w:rsid w:val="00DA47A3"/>
    <w:rsid w:val="00DA5598"/>
    <w:rsid w:val="00DA62CF"/>
    <w:rsid w:val="00DA64FD"/>
    <w:rsid w:val="00DA6960"/>
    <w:rsid w:val="00DA6F7F"/>
    <w:rsid w:val="00DA6F89"/>
    <w:rsid w:val="00DA6FA7"/>
    <w:rsid w:val="00DA7120"/>
    <w:rsid w:val="00DA74A2"/>
    <w:rsid w:val="00DA7670"/>
    <w:rsid w:val="00DA7D21"/>
    <w:rsid w:val="00DA7F11"/>
    <w:rsid w:val="00DA7FA8"/>
    <w:rsid w:val="00DB02B2"/>
    <w:rsid w:val="00DB034B"/>
    <w:rsid w:val="00DB040C"/>
    <w:rsid w:val="00DB0BD9"/>
    <w:rsid w:val="00DB0ECD"/>
    <w:rsid w:val="00DB1167"/>
    <w:rsid w:val="00DB125D"/>
    <w:rsid w:val="00DB147C"/>
    <w:rsid w:val="00DB1D21"/>
    <w:rsid w:val="00DB20D2"/>
    <w:rsid w:val="00DB21A4"/>
    <w:rsid w:val="00DB253A"/>
    <w:rsid w:val="00DB27FC"/>
    <w:rsid w:val="00DB2983"/>
    <w:rsid w:val="00DB2AC7"/>
    <w:rsid w:val="00DB323F"/>
    <w:rsid w:val="00DB34E0"/>
    <w:rsid w:val="00DB3761"/>
    <w:rsid w:val="00DB3FEB"/>
    <w:rsid w:val="00DB40BC"/>
    <w:rsid w:val="00DB41CF"/>
    <w:rsid w:val="00DB41D6"/>
    <w:rsid w:val="00DB4425"/>
    <w:rsid w:val="00DB44F6"/>
    <w:rsid w:val="00DB464D"/>
    <w:rsid w:val="00DB4DBD"/>
    <w:rsid w:val="00DB5264"/>
    <w:rsid w:val="00DB5609"/>
    <w:rsid w:val="00DB57D3"/>
    <w:rsid w:val="00DB580C"/>
    <w:rsid w:val="00DB5AE0"/>
    <w:rsid w:val="00DB5BF9"/>
    <w:rsid w:val="00DB5C03"/>
    <w:rsid w:val="00DB5C72"/>
    <w:rsid w:val="00DB5E20"/>
    <w:rsid w:val="00DB5E43"/>
    <w:rsid w:val="00DB64B5"/>
    <w:rsid w:val="00DB6A0A"/>
    <w:rsid w:val="00DB6B3A"/>
    <w:rsid w:val="00DB6C88"/>
    <w:rsid w:val="00DB7002"/>
    <w:rsid w:val="00DB7033"/>
    <w:rsid w:val="00DB7581"/>
    <w:rsid w:val="00DB79A4"/>
    <w:rsid w:val="00DB7A05"/>
    <w:rsid w:val="00DB7B5B"/>
    <w:rsid w:val="00DB7C79"/>
    <w:rsid w:val="00DB7EAB"/>
    <w:rsid w:val="00DB7EBE"/>
    <w:rsid w:val="00DC0127"/>
    <w:rsid w:val="00DC05B2"/>
    <w:rsid w:val="00DC062F"/>
    <w:rsid w:val="00DC0646"/>
    <w:rsid w:val="00DC1257"/>
    <w:rsid w:val="00DC12CA"/>
    <w:rsid w:val="00DC1316"/>
    <w:rsid w:val="00DC195A"/>
    <w:rsid w:val="00DC2403"/>
    <w:rsid w:val="00DC26EF"/>
    <w:rsid w:val="00DC2A0C"/>
    <w:rsid w:val="00DC2BAD"/>
    <w:rsid w:val="00DC2BD8"/>
    <w:rsid w:val="00DC2D29"/>
    <w:rsid w:val="00DC2EA8"/>
    <w:rsid w:val="00DC30F1"/>
    <w:rsid w:val="00DC3489"/>
    <w:rsid w:val="00DC362D"/>
    <w:rsid w:val="00DC3BF2"/>
    <w:rsid w:val="00DC3D23"/>
    <w:rsid w:val="00DC3DC0"/>
    <w:rsid w:val="00DC4461"/>
    <w:rsid w:val="00DC46F3"/>
    <w:rsid w:val="00DC4E8A"/>
    <w:rsid w:val="00DC54DD"/>
    <w:rsid w:val="00DC5AC4"/>
    <w:rsid w:val="00DC5B2B"/>
    <w:rsid w:val="00DC60CB"/>
    <w:rsid w:val="00DC61A8"/>
    <w:rsid w:val="00DC6351"/>
    <w:rsid w:val="00DC67CB"/>
    <w:rsid w:val="00DC6CF0"/>
    <w:rsid w:val="00DC72EE"/>
    <w:rsid w:val="00DC7486"/>
    <w:rsid w:val="00DC76BA"/>
    <w:rsid w:val="00DC7892"/>
    <w:rsid w:val="00DC7ED7"/>
    <w:rsid w:val="00DD0510"/>
    <w:rsid w:val="00DD0A76"/>
    <w:rsid w:val="00DD0D6D"/>
    <w:rsid w:val="00DD0F37"/>
    <w:rsid w:val="00DD10AB"/>
    <w:rsid w:val="00DD1907"/>
    <w:rsid w:val="00DD1BE5"/>
    <w:rsid w:val="00DD1C23"/>
    <w:rsid w:val="00DD2192"/>
    <w:rsid w:val="00DD225A"/>
    <w:rsid w:val="00DD255E"/>
    <w:rsid w:val="00DD26BC"/>
    <w:rsid w:val="00DD287E"/>
    <w:rsid w:val="00DD2C18"/>
    <w:rsid w:val="00DD318D"/>
    <w:rsid w:val="00DD35F0"/>
    <w:rsid w:val="00DD3616"/>
    <w:rsid w:val="00DD4167"/>
    <w:rsid w:val="00DD46AB"/>
    <w:rsid w:val="00DD46DD"/>
    <w:rsid w:val="00DD4BBE"/>
    <w:rsid w:val="00DD51F8"/>
    <w:rsid w:val="00DD5813"/>
    <w:rsid w:val="00DD5B9D"/>
    <w:rsid w:val="00DD62EA"/>
    <w:rsid w:val="00DD6CB5"/>
    <w:rsid w:val="00DD6D07"/>
    <w:rsid w:val="00DD6EF2"/>
    <w:rsid w:val="00DD6F6F"/>
    <w:rsid w:val="00DD730E"/>
    <w:rsid w:val="00DD744A"/>
    <w:rsid w:val="00DD74B0"/>
    <w:rsid w:val="00DD78FF"/>
    <w:rsid w:val="00DD7DFA"/>
    <w:rsid w:val="00DE02E8"/>
    <w:rsid w:val="00DE0591"/>
    <w:rsid w:val="00DE0741"/>
    <w:rsid w:val="00DE0753"/>
    <w:rsid w:val="00DE0BC9"/>
    <w:rsid w:val="00DE0E68"/>
    <w:rsid w:val="00DE11CB"/>
    <w:rsid w:val="00DE1718"/>
    <w:rsid w:val="00DE173B"/>
    <w:rsid w:val="00DE17F7"/>
    <w:rsid w:val="00DE1F70"/>
    <w:rsid w:val="00DE22A9"/>
    <w:rsid w:val="00DE2307"/>
    <w:rsid w:val="00DE2369"/>
    <w:rsid w:val="00DE2652"/>
    <w:rsid w:val="00DE273F"/>
    <w:rsid w:val="00DE278A"/>
    <w:rsid w:val="00DE2895"/>
    <w:rsid w:val="00DE2982"/>
    <w:rsid w:val="00DE2C2D"/>
    <w:rsid w:val="00DE319B"/>
    <w:rsid w:val="00DE31F0"/>
    <w:rsid w:val="00DE392E"/>
    <w:rsid w:val="00DE3A33"/>
    <w:rsid w:val="00DE3A4F"/>
    <w:rsid w:val="00DE3C5E"/>
    <w:rsid w:val="00DE3F45"/>
    <w:rsid w:val="00DE4AAC"/>
    <w:rsid w:val="00DE4BF5"/>
    <w:rsid w:val="00DE4E0B"/>
    <w:rsid w:val="00DE5216"/>
    <w:rsid w:val="00DE527F"/>
    <w:rsid w:val="00DE5450"/>
    <w:rsid w:val="00DE57BF"/>
    <w:rsid w:val="00DE5BCA"/>
    <w:rsid w:val="00DE613B"/>
    <w:rsid w:val="00DE7121"/>
    <w:rsid w:val="00DE747C"/>
    <w:rsid w:val="00DE753A"/>
    <w:rsid w:val="00DE77E4"/>
    <w:rsid w:val="00DE7A25"/>
    <w:rsid w:val="00DE7A3A"/>
    <w:rsid w:val="00DF0070"/>
    <w:rsid w:val="00DF0344"/>
    <w:rsid w:val="00DF03CB"/>
    <w:rsid w:val="00DF0AA4"/>
    <w:rsid w:val="00DF0DDE"/>
    <w:rsid w:val="00DF15CA"/>
    <w:rsid w:val="00DF19D6"/>
    <w:rsid w:val="00DF1B3B"/>
    <w:rsid w:val="00DF1BBF"/>
    <w:rsid w:val="00DF1CBF"/>
    <w:rsid w:val="00DF208C"/>
    <w:rsid w:val="00DF20D9"/>
    <w:rsid w:val="00DF2517"/>
    <w:rsid w:val="00DF28A6"/>
    <w:rsid w:val="00DF2A17"/>
    <w:rsid w:val="00DF2DFC"/>
    <w:rsid w:val="00DF2E12"/>
    <w:rsid w:val="00DF36C5"/>
    <w:rsid w:val="00DF37F0"/>
    <w:rsid w:val="00DF3ED0"/>
    <w:rsid w:val="00DF3F8A"/>
    <w:rsid w:val="00DF47AC"/>
    <w:rsid w:val="00DF4ACB"/>
    <w:rsid w:val="00DF514A"/>
    <w:rsid w:val="00DF5396"/>
    <w:rsid w:val="00DF5845"/>
    <w:rsid w:val="00DF5B54"/>
    <w:rsid w:val="00DF5F66"/>
    <w:rsid w:val="00DF616F"/>
    <w:rsid w:val="00DF61F0"/>
    <w:rsid w:val="00DF6690"/>
    <w:rsid w:val="00DF6804"/>
    <w:rsid w:val="00DF683F"/>
    <w:rsid w:val="00DF6FB3"/>
    <w:rsid w:val="00DF7319"/>
    <w:rsid w:val="00DF7408"/>
    <w:rsid w:val="00E005C0"/>
    <w:rsid w:val="00E0079A"/>
    <w:rsid w:val="00E00B6D"/>
    <w:rsid w:val="00E00BA4"/>
    <w:rsid w:val="00E00D34"/>
    <w:rsid w:val="00E00D98"/>
    <w:rsid w:val="00E01EA9"/>
    <w:rsid w:val="00E027EC"/>
    <w:rsid w:val="00E0358D"/>
    <w:rsid w:val="00E03A43"/>
    <w:rsid w:val="00E0430C"/>
    <w:rsid w:val="00E04323"/>
    <w:rsid w:val="00E045A7"/>
    <w:rsid w:val="00E046F2"/>
    <w:rsid w:val="00E049D4"/>
    <w:rsid w:val="00E04A6E"/>
    <w:rsid w:val="00E04D8E"/>
    <w:rsid w:val="00E052F8"/>
    <w:rsid w:val="00E05B8D"/>
    <w:rsid w:val="00E05CCD"/>
    <w:rsid w:val="00E05E2A"/>
    <w:rsid w:val="00E05EB2"/>
    <w:rsid w:val="00E061C0"/>
    <w:rsid w:val="00E0623D"/>
    <w:rsid w:val="00E06301"/>
    <w:rsid w:val="00E065AA"/>
    <w:rsid w:val="00E06732"/>
    <w:rsid w:val="00E06A37"/>
    <w:rsid w:val="00E070A2"/>
    <w:rsid w:val="00E071F9"/>
    <w:rsid w:val="00E0746E"/>
    <w:rsid w:val="00E077D9"/>
    <w:rsid w:val="00E079EE"/>
    <w:rsid w:val="00E07D1D"/>
    <w:rsid w:val="00E102A2"/>
    <w:rsid w:val="00E1045E"/>
    <w:rsid w:val="00E10487"/>
    <w:rsid w:val="00E10817"/>
    <w:rsid w:val="00E114B6"/>
    <w:rsid w:val="00E11BCB"/>
    <w:rsid w:val="00E11D41"/>
    <w:rsid w:val="00E126A6"/>
    <w:rsid w:val="00E1294B"/>
    <w:rsid w:val="00E12F92"/>
    <w:rsid w:val="00E13133"/>
    <w:rsid w:val="00E1350B"/>
    <w:rsid w:val="00E13624"/>
    <w:rsid w:val="00E136C9"/>
    <w:rsid w:val="00E13A66"/>
    <w:rsid w:val="00E13CA8"/>
    <w:rsid w:val="00E13CCF"/>
    <w:rsid w:val="00E14536"/>
    <w:rsid w:val="00E147A4"/>
    <w:rsid w:val="00E14A77"/>
    <w:rsid w:val="00E14A9A"/>
    <w:rsid w:val="00E14DD7"/>
    <w:rsid w:val="00E150C7"/>
    <w:rsid w:val="00E151C7"/>
    <w:rsid w:val="00E154B4"/>
    <w:rsid w:val="00E15953"/>
    <w:rsid w:val="00E16034"/>
    <w:rsid w:val="00E16270"/>
    <w:rsid w:val="00E16F13"/>
    <w:rsid w:val="00E17B0A"/>
    <w:rsid w:val="00E17FC1"/>
    <w:rsid w:val="00E20BA3"/>
    <w:rsid w:val="00E20E21"/>
    <w:rsid w:val="00E21722"/>
    <w:rsid w:val="00E21778"/>
    <w:rsid w:val="00E2187E"/>
    <w:rsid w:val="00E219DE"/>
    <w:rsid w:val="00E22407"/>
    <w:rsid w:val="00E22605"/>
    <w:rsid w:val="00E22BA4"/>
    <w:rsid w:val="00E23379"/>
    <w:rsid w:val="00E23B51"/>
    <w:rsid w:val="00E23C81"/>
    <w:rsid w:val="00E244BE"/>
    <w:rsid w:val="00E24A87"/>
    <w:rsid w:val="00E24B4D"/>
    <w:rsid w:val="00E24B66"/>
    <w:rsid w:val="00E25268"/>
    <w:rsid w:val="00E253D4"/>
    <w:rsid w:val="00E253DE"/>
    <w:rsid w:val="00E256C8"/>
    <w:rsid w:val="00E2571E"/>
    <w:rsid w:val="00E25764"/>
    <w:rsid w:val="00E25788"/>
    <w:rsid w:val="00E25BBF"/>
    <w:rsid w:val="00E25FFA"/>
    <w:rsid w:val="00E2656A"/>
    <w:rsid w:val="00E26656"/>
    <w:rsid w:val="00E26EC2"/>
    <w:rsid w:val="00E26FA5"/>
    <w:rsid w:val="00E2747E"/>
    <w:rsid w:val="00E2752A"/>
    <w:rsid w:val="00E277A5"/>
    <w:rsid w:val="00E278D6"/>
    <w:rsid w:val="00E279A9"/>
    <w:rsid w:val="00E27D00"/>
    <w:rsid w:val="00E27E07"/>
    <w:rsid w:val="00E3013A"/>
    <w:rsid w:val="00E318CA"/>
    <w:rsid w:val="00E31F75"/>
    <w:rsid w:val="00E32002"/>
    <w:rsid w:val="00E32189"/>
    <w:rsid w:val="00E32E71"/>
    <w:rsid w:val="00E330B3"/>
    <w:rsid w:val="00E333D6"/>
    <w:rsid w:val="00E334C0"/>
    <w:rsid w:val="00E33DAB"/>
    <w:rsid w:val="00E3400D"/>
    <w:rsid w:val="00E34235"/>
    <w:rsid w:val="00E3431E"/>
    <w:rsid w:val="00E34FAC"/>
    <w:rsid w:val="00E354BD"/>
    <w:rsid w:val="00E35C96"/>
    <w:rsid w:val="00E36957"/>
    <w:rsid w:val="00E37368"/>
    <w:rsid w:val="00E376E2"/>
    <w:rsid w:val="00E37700"/>
    <w:rsid w:val="00E37D45"/>
    <w:rsid w:val="00E402B9"/>
    <w:rsid w:val="00E4094D"/>
    <w:rsid w:val="00E40ECD"/>
    <w:rsid w:val="00E412D0"/>
    <w:rsid w:val="00E41405"/>
    <w:rsid w:val="00E416F7"/>
    <w:rsid w:val="00E419D3"/>
    <w:rsid w:val="00E42504"/>
    <w:rsid w:val="00E42D3C"/>
    <w:rsid w:val="00E4334D"/>
    <w:rsid w:val="00E4344C"/>
    <w:rsid w:val="00E43470"/>
    <w:rsid w:val="00E437D1"/>
    <w:rsid w:val="00E4399D"/>
    <w:rsid w:val="00E43DED"/>
    <w:rsid w:val="00E44147"/>
    <w:rsid w:val="00E441C5"/>
    <w:rsid w:val="00E4433E"/>
    <w:rsid w:val="00E44386"/>
    <w:rsid w:val="00E44666"/>
    <w:rsid w:val="00E449F3"/>
    <w:rsid w:val="00E44ED4"/>
    <w:rsid w:val="00E45163"/>
    <w:rsid w:val="00E45374"/>
    <w:rsid w:val="00E45EB0"/>
    <w:rsid w:val="00E4603A"/>
    <w:rsid w:val="00E460A8"/>
    <w:rsid w:val="00E4635D"/>
    <w:rsid w:val="00E4635F"/>
    <w:rsid w:val="00E46500"/>
    <w:rsid w:val="00E46C1B"/>
    <w:rsid w:val="00E46D6C"/>
    <w:rsid w:val="00E47292"/>
    <w:rsid w:val="00E507B2"/>
    <w:rsid w:val="00E51963"/>
    <w:rsid w:val="00E51D33"/>
    <w:rsid w:val="00E51FC0"/>
    <w:rsid w:val="00E5289E"/>
    <w:rsid w:val="00E52D89"/>
    <w:rsid w:val="00E52FB9"/>
    <w:rsid w:val="00E5316C"/>
    <w:rsid w:val="00E53AB9"/>
    <w:rsid w:val="00E540E6"/>
    <w:rsid w:val="00E541B8"/>
    <w:rsid w:val="00E5434F"/>
    <w:rsid w:val="00E545D7"/>
    <w:rsid w:val="00E546B8"/>
    <w:rsid w:val="00E54866"/>
    <w:rsid w:val="00E54BE5"/>
    <w:rsid w:val="00E54C4F"/>
    <w:rsid w:val="00E54CEA"/>
    <w:rsid w:val="00E54DC1"/>
    <w:rsid w:val="00E55010"/>
    <w:rsid w:val="00E55319"/>
    <w:rsid w:val="00E55AF1"/>
    <w:rsid w:val="00E56295"/>
    <w:rsid w:val="00E56322"/>
    <w:rsid w:val="00E567C3"/>
    <w:rsid w:val="00E56861"/>
    <w:rsid w:val="00E56E5E"/>
    <w:rsid w:val="00E5769A"/>
    <w:rsid w:val="00E60450"/>
    <w:rsid w:val="00E606FF"/>
    <w:rsid w:val="00E60742"/>
    <w:rsid w:val="00E60982"/>
    <w:rsid w:val="00E60C4A"/>
    <w:rsid w:val="00E60E0E"/>
    <w:rsid w:val="00E61008"/>
    <w:rsid w:val="00E61252"/>
    <w:rsid w:val="00E61545"/>
    <w:rsid w:val="00E615B9"/>
    <w:rsid w:val="00E61BCD"/>
    <w:rsid w:val="00E6206C"/>
    <w:rsid w:val="00E6296E"/>
    <w:rsid w:val="00E629B7"/>
    <w:rsid w:val="00E629DC"/>
    <w:rsid w:val="00E629ED"/>
    <w:rsid w:val="00E62C60"/>
    <w:rsid w:val="00E62C62"/>
    <w:rsid w:val="00E62CD1"/>
    <w:rsid w:val="00E62E44"/>
    <w:rsid w:val="00E63347"/>
    <w:rsid w:val="00E6387D"/>
    <w:rsid w:val="00E63998"/>
    <w:rsid w:val="00E63F68"/>
    <w:rsid w:val="00E644A9"/>
    <w:rsid w:val="00E64653"/>
    <w:rsid w:val="00E6483B"/>
    <w:rsid w:val="00E649CE"/>
    <w:rsid w:val="00E64CB0"/>
    <w:rsid w:val="00E652ED"/>
    <w:rsid w:val="00E6542F"/>
    <w:rsid w:val="00E654C1"/>
    <w:rsid w:val="00E6572C"/>
    <w:rsid w:val="00E65B13"/>
    <w:rsid w:val="00E65BCD"/>
    <w:rsid w:val="00E65D97"/>
    <w:rsid w:val="00E660A7"/>
    <w:rsid w:val="00E660C7"/>
    <w:rsid w:val="00E660D4"/>
    <w:rsid w:val="00E661B0"/>
    <w:rsid w:val="00E668E1"/>
    <w:rsid w:val="00E66E32"/>
    <w:rsid w:val="00E66EE2"/>
    <w:rsid w:val="00E66EEA"/>
    <w:rsid w:val="00E67089"/>
    <w:rsid w:val="00E67328"/>
    <w:rsid w:val="00E67483"/>
    <w:rsid w:val="00E6757C"/>
    <w:rsid w:val="00E678A1"/>
    <w:rsid w:val="00E67D6F"/>
    <w:rsid w:val="00E70277"/>
    <w:rsid w:val="00E702DC"/>
    <w:rsid w:val="00E7097A"/>
    <w:rsid w:val="00E7098B"/>
    <w:rsid w:val="00E70A53"/>
    <w:rsid w:val="00E713F4"/>
    <w:rsid w:val="00E714F1"/>
    <w:rsid w:val="00E716CB"/>
    <w:rsid w:val="00E71C6A"/>
    <w:rsid w:val="00E7209B"/>
    <w:rsid w:val="00E728D8"/>
    <w:rsid w:val="00E72A52"/>
    <w:rsid w:val="00E72A5A"/>
    <w:rsid w:val="00E73128"/>
    <w:rsid w:val="00E73354"/>
    <w:rsid w:val="00E736E3"/>
    <w:rsid w:val="00E7388A"/>
    <w:rsid w:val="00E73B78"/>
    <w:rsid w:val="00E73D71"/>
    <w:rsid w:val="00E73DFE"/>
    <w:rsid w:val="00E73E61"/>
    <w:rsid w:val="00E74F00"/>
    <w:rsid w:val="00E7534E"/>
    <w:rsid w:val="00E753A1"/>
    <w:rsid w:val="00E75DE1"/>
    <w:rsid w:val="00E75FAB"/>
    <w:rsid w:val="00E7624D"/>
    <w:rsid w:val="00E762A6"/>
    <w:rsid w:val="00E76461"/>
    <w:rsid w:val="00E76B20"/>
    <w:rsid w:val="00E76C4B"/>
    <w:rsid w:val="00E773EA"/>
    <w:rsid w:val="00E774A8"/>
    <w:rsid w:val="00E776A4"/>
    <w:rsid w:val="00E800D4"/>
    <w:rsid w:val="00E804A0"/>
    <w:rsid w:val="00E8066E"/>
    <w:rsid w:val="00E8080B"/>
    <w:rsid w:val="00E80B60"/>
    <w:rsid w:val="00E80E63"/>
    <w:rsid w:val="00E811C0"/>
    <w:rsid w:val="00E81992"/>
    <w:rsid w:val="00E81D01"/>
    <w:rsid w:val="00E81D97"/>
    <w:rsid w:val="00E82946"/>
    <w:rsid w:val="00E829F9"/>
    <w:rsid w:val="00E83340"/>
    <w:rsid w:val="00E8374F"/>
    <w:rsid w:val="00E8398B"/>
    <w:rsid w:val="00E84979"/>
    <w:rsid w:val="00E84A68"/>
    <w:rsid w:val="00E86156"/>
    <w:rsid w:val="00E86254"/>
    <w:rsid w:val="00E8644C"/>
    <w:rsid w:val="00E8757B"/>
    <w:rsid w:val="00E87777"/>
    <w:rsid w:val="00E9057A"/>
    <w:rsid w:val="00E90C31"/>
    <w:rsid w:val="00E9175E"/>
    <w:rsid w:val="00E91BC0"/>
    <w:rsid w:val="00E91F97"/>
    <w:rsid w:val="00E923B5"/>
    <w:rsid w:val="00E9242D"/>
    <w:rsid w:val="00E92697"/>
    <w:rsid w:val="00E9303A"/>
    <w:rsid w:val="00E93865"/>
    <w:rsid w:val="00E93933"/>
    <w:rsid w:val="00E93F7F"/>
    <w:rsid w:val="00E94A06"/>
    <w:rsid w:val="00E95015"/>
    <w:rsid w:val="00E95037"/>
    <w:rsid w:val="00E957A4"/>
    <w:rsid w:val="00E95ED7"/>
    <w:rsid w:val="00E963E2"/>
    <w:rsid w:val="00E964F5"/>
    <w:rsid w:val="00E968A3"/>
    <w:rsid w:val="00E96A66"/>
    <w:rsid w:val="00E96BA0"/>
    <w:rsid w:val="00E96E8E"/>
    <w:rsid w:val="00E96F42"/>
    <w:rsid w:val="00E96FEE"/>
    <w:rsid w:val="00E97A68"/>
    <w:rsid w:val="00EA093E"/>
    <w:rsid w:val="00EA0BD4"/>
    <w:rsid w:val="00EA0E60"/>
    <w:rsid w:val="00EA130B"/>
    <w:rsid w:val="00EA1744"/>
    <w:rsid w:val="00EA20C7"/>
    <w:rsid w:val="00EA232C"/>
    <w:rsid w:val="00EA24D6"/>
    <w:rsid w:val="00EA27BD"/>
    <w:rsid w:val="00EA2867"/>
    <w:rsid w:val="00EA2BEF"/>
    <w:rsid w:val="00EA2D4C"/>
    <w:rsid w:val="00EA2DBF"/>
    <w:rsid w:val="00EA3318"/>
    <w:rsid w:val="00EA340F"/>
    <w:rsid w:val="00EA346E"/>
    <w:rsid w:val="00EA3C63"/>
    <w:rsid w:val="00EA4309"/>
    <w:rsid w:val="00EA4DE9"/>
    <w:rsid w:val="00EA5088"/>
    <w:rsid w:val="00EA6127"/>
    <w:rsid w:val="00EA641A"/>
    <w:rsid w:val="00EA6993"/>
    <w:rsid w:val="00EA6C4F"/>
    <w:rsid w:val="00EA7290"/>
    <w:rsid w:val="00EA7700"/>
    <w:rsid w:val="00EA7753"/>
    <w:rsid w:val="00EA7C18"/>
    <w:rsid w:val="00EA7E5D"/>
    <w:rsid w:val="00EA7FC2"/>
    <w:rsid w:val="00EB0C8B"/>
    <w:rsid w:val="00EB1160"/>
    <w:rsid w:val="00EB1882"/>
    <w:rsid w:val="00EB1C72"/>
    <w:rsid w:val="00EB1E57"/>
    <w:rsid w:val="00EB2092"/>
    <w:rsid w:val="00EB228E"/>
    <w:rsid w:val="00EB2C36"/>
    <w:rsid w:val="00EB3296"/>
    <w:rsid w:val="00EB3FFA"/>
    <w:rsid w:val="00EB5255"/>
    <w:rsid w:val="00EB55ED"/>
    <w:rsid w:val="00EB59E5"/>
    <w:rsid w:val="00EB5C47"/>
    <w:rsid w:val="00EB5DF2"/>
    <w:rsid w:val="00EB6745"/>
    <w:rsid w:val="00EB6AB3"/>
    <w:rsid w:val="00EB6AF5"/>
    <w:rsid w:val="00EB6B52"/>
    <w:rsid w:val="00EB6C45"/>
    <w:rsid w:val="00EB7528"/>
    <w:rsid w:val="00EB7547"/>
    <w:rsid w:val="00EB77D8"/>
    <w:rsid w:val="00EB786C"/>
    <w:rsid w:val="00EC0678"/>
    <w:rsid w:val="00EC0755"/>
    <w:rsid w:val="00EC098C"/>
    <w:rsid w:val="00EC0F5D"/>
    <w:rsid w:val="00EC1A28"/>
    <w:rsid w:val="00EC2806"/>
    <w:rsid w:val="00EC310C"/>
    <w:rsid w:val="00EC34E3"/>
    <w:rsid w:val="00EC3E36"/>
    <w:rsid w:val="00EC429A"/>
    <w:rsid w:val="00EC5680"/>
    <w:rsid w:val="00EC609D"/>
    <w:rsid w:val="00EC609F"/>
    <w:rsid w:val="00EC6799"/>
    <w:rsid w:val="00EC68F7"/>
    <w:rsid w:val="00EC691B"/>
    <w:rsid w:val="00EC7068"/>
    <w:rsid w:val="00EC7111"/>
    <w:rsid w:val="00EC7461"/>
    <w:rsid w:val="00EC7462"/>
    <w:rsid w:val="00EC7A67"/>
    <w:rsid w:val="00EC7F0F"/>
    <w:rsid w:val="00ED0434"/>
    <w:rsid w:val="00ED04E3"/>
    <w:rsid w:val="00ED057C"/>
    <w:rsid w:val="00ED0639"/>
    <w:rsid w:val="00ED071F"/>
    <w:rsid w:val="00ED0E22"/>
    <w:rsid w:val="00ED19DA"/>
    <w:rsid w:val="00ED225C"/>
    <w:rsid w:val="00ED23EB"/>
    <w:rsid w:val="00ED270C"/>
    <w:rsid w:val="00ED2ABB"/>
    <w:rsid w:val="00ED2E70"/>
    <w:rsid w:val="00ED3BDA"/>
    <w:rsid w:val="00ED3F21"/>
    <w:rsid w:val="00ED4422"/>
    <w:rsid w:val="00ED461B"/>
    <w:rsid w:val="00ED486A"/>
    <w:rsid w:val="00ED4AC6"/>
    <w:rsid w:val="00ED4B98"/>
    <w:rsid w:val="00ED4C16"/>
    <w:rsid w:val="00ED4F94"/>
    <w:rsid w:val="00ED50C1"/>
    <w:rsid w:val="00ED51D7"/>
    <w:rsid w:val="00ED5566"/>
    <w:rsid w:val="00ED55CA"/>
    <w:rsid w:val="00ED5B95"/>
    <w:rsid w:val="00ED5BCA"/>
    <w:rsid w:val="00ED5F64"/>
    <w:rsid w:val="00ED6319"/>
    <w:rsid w:val="00ED6633"/>
    <w:rsid w:val="00ED69D1"/>
    <w:rsid w:val="00ED6EF4"/>
    <w:rsid w:val="00ED7649"/>
    <w:rsid w:val="00ED7773"/>
    <w:rsid w:val="00ED7989"/>
    <w:rsid w:val="00ED79D8"/>
    <w:rsid w:val="00ED7AD7"/>
    <w:rsid w:val="00EE00D5"/>
    <w:rsid w:val="00EE0213"/>
    <w:rsid w:val="00EE0DB2"/>
    <w:rsid w:val="00EE0DDF"/>
    <w:rsid w:val="00EE0E91"/>
    <w:rsid w:val="00EE1C10"/>
    <w:rsid w:val="00EE2B40"/>
    <w:rsid w:val="00EE2B8E"/>
    <w:rsid w:val="00EE31B4"/>
    <w:rsid w:val="00EE31D5"/>
    <w:rsid w:val="00EE3B38"/>
    <w:rsid w:val="00EE3ED2"/>
    <w:rsid w:val="00EE4163"/>
    <w:rsid w:val="00EE4286"/>
    <w:rsid w:val="00EE4BB2"/>
    <w:rsid w:val="00EE4F16"/>
    <w:rsid w:val="00EE53CE"/>
    <w:rsid w:val="00EE56F9"/>
    <w:rsid w:val="00EE5776"/>
    <w:rsid w:val="00EE59F8"/>
    <w:rsid w:val="00EE5D42"/>
    <w:rsid w:val="00EE5EA4"/>
    <w:rsid w:val="00EE645E"/>
    <w:rsid w:val="00EE6627"/>
    <w:rsid w:val="00EE6A60"/>
    <w:rsid w:val="00EE731C"/>
    <w:rsid w:val="00EE77C5"/>
    <w:rsid w:val="00EE7A64"/>
    <w:rsid w:val="00EE7F60"/>
    <w:rsid w:val="00EF0277"/>
    <w:rsid w:val="00EF06CE"/>
    <w:rsid w:val="00EF0BB3"/>
    <w:rsid w:val="00EF0EAD"/>
    <w:rsid w:val="00EF10A9"/>
    <w:rsid w:val="00EF12BD"/>
    <w:rsid w:val="00EF1A95"/>
    <w:rsid w:val="00EF1AF0"/>
    <w:rsid w:val="00EF1B09"/>
    <w:rsid w:val="00EF27EF"/>
    <w:rsid w:val="00EF332C"/>
    <w:rsid w:val="00EF338D"/>
    <w:rsid w:val="00EF3507"/>
    <w:rsid w:val="00EF39D5"/>
    <w:rsid w:val="00EF3BCE"/>
    <w:rsid w:val="00EF3D84"/>
    <w:rsid w:val="00EF426F"/>
    <w:rsid w:val="00EF44BD"/>
    <w:rsid w:val="00EF4506"/>
    <w:rsid w:val="00EF455E"/>
    <w:rsid w:val="00EF4755"/>
    <w:rsid w:val="00EF47A1"/>
    <w:rsid w:val="00EF4876"/>
    <w:rsid w:val="00EF4B3C"/>
    <w:rsid w:val="00EF50B8"/>
    <w:rsid w:val="00EF50F3"/>
    <w:rsid w:val="00EF552B"/>
    <w:rsid w:val="00EF5E5F"/>
    <w:rsid w:val="00EF603D"/>
    <w:rsid w:val="00EF7082"/>
    <w:rsid w:val="00EF7135"/>
    <w:rsid w:val="00EF727F"/>
    <w:rsid w:val="00EF72E3"/>
    <w:rsid w:val="00EF7CF6"/>
    <w:rsid w:val="00EF7E79"/>
    <w:rsid w:val="00F0000C"/>
    <w:rsid w:val="00F0007C"/>
    <w:rsid w:val="00F0060C"/>
    <w:rsid w:val="00F006C8"/>
    <w:rsid w:val="00F00FF3"/>
    <w:rsid w:val="00F01220"/>
    <w:rsid w:val="00F01467"/>
    <w:rsid w:val="00F017BB"/>
    <w:rsid w:val="00F01E0D"/>
    <w:rsid w:val="00F01E55"/>
    <w:rsid w:val="00F020CE"/>
    <w:rsid w:val="00F027DB"/>
    <w:rsid w:val="00F02B98"/>
    <w:rsid w:val="00F02C41"/>
    <w:rsid w:val="00F02C92"/>
    <w:rsid w:val="00F035BB"/>
    <w:rsid w:val="00F03844"/>
    <w:rsid w:val="00F03A09"/>
    <w:rsid w:val="00F03D6C"/>
    <w:rsid w:val="00F043AA"/>
    <w:rsid w:val="00F045CE"/>
    <w:rsid w:val="00F045E8"/>
    <w:rsid w:val="00F048ED"/>
    <w:rsid w:val="00F04F78"/>
    <w:rsid w:val="00F04FC9"/>
    <w:rsid w:val="00F0551D"/>
    <w:rsid w:val="00F0599E"/>
    <w:rsid w:val="00F05C89"/>
    <w:rsid w:val="00F05F56"/>
    <w:rsid w:val="00F05F77"/>
    <w:rsid w:val="00F06481"/>
    <w:rsid w:val="00F0666F"/>
    <w:rsid w:val="00F06799"/>
    <w:rsid w:val="00F074B5"/>
    <w:rsid w:val="00F07A2C"/>
    <w:rsid w:val="00F106B2"/>
    <w:rsid w:val="00F10721"/>
    <w:rsid w:val="00F1142E"/>
    <w:rsid w:val="00F11443"/>
    <w:rsid w:val="00F11787"/>
    <w:rsid w:val="00F11986"/>
    <w:rsid w:val="00F11A0C"/>
    <w:rsid w:val="00F11A0E"/>
    <w:rsid w:val="00F11CAC"/>
    <w:rsid w:val="00F124E6"/>
    <w:rsid w:val="00F12A2C"/>
    <w:rsid w:val="00F13290"/>
    <w:rsid w:val="00F133A0"/>
    <w:rsid w:val="00F136EA"/>
    <w:rsid w:val="00F1397A"/>
    <w:rsid w:val="00F13B5F"/>
    <w:rsid w:val="00F13C65"/>
    <w:rsid w:val="00F13FD1"/>
    <w:rsid w:val="00F14A7A"/>
    <w:rsid w:val="00F14EA8"/>
    <w:rsid w:val="00F14EB7"/>
    <w:rsid w:val="00F150E6"/>
    <w:rsid w:val="00F1560F"/>
    <w:rsid w:val="00F15895"/>
    <w:rsid w:val="00F1594D"/>
    <w:rsid w:val="00F15B4E"/>
    <w:rsid w:val="00F15C49"/>
    <w:rsid w:val="00F15D49"/>
    <w:rsid w:val="00F1635E"/>
    <w:rsid w:val="00F16395"/>
    <w:rsid w:val="00F1663C"/>
    <w:rsid w:val="00F16783"/>
    <w:rsid w:val="00F16A78"/>
    <w:rsid w:val="00F16A7F"/>
    <w:rsid w:val="00F16B3B"/>
    <w:rsid w:val="00F1761B"/>
    <w:rsid w:val="00F17D1E"/>
    <w:rsid w:val="00F17D40"/>
    <w:rsid w:val="00F20064"/>
    <w:rsid w:val="00F200BD"/>
    <w:rsid w:val="00F20545"/>
    <w:rsid w:val="00F20A33"/>
    <w:rsid w:val="00F21902"/>
    <w:rsid w:val="00F2246A"/>
    <w:rsid w:val="00F22985"/>
    <w:rsid w:val="00F22AF6"/>
    <w:rsid w:val="00F234BC"/>
    <w:rsid w:val="00F2370D"/>
    <w:rsid w:val="00F24322"/>
    <w:rsid w:val="00F2455C"/>
    <w:rsid w:val="00F24A64"/>
    <w:rsid w:val="00F24C71"/>
    <w:rsid w:val="00F24D5B"/>
    <w:rsid w:val="00F24FC5"/>
    <w:rsid w:val="00F2529A"/>
    <w:rsid w:val="00F258BD"/>
    <w:rsid w:val="00F25996"/>
    <w:rsid w:val="00F259A3"/>
    <w:rsid w:val="00F2652D"/>
    <w:rsid w:val="00F26882"/>
    <w:rsid w:val="00F26BD3"/>
    <w:rsid w:val="00F27127"/>
    <w:rsid w:val="00F272A6"/>
    <w:rsid w:val="00F303F0"/>
    <w:rsid w:val="00F3075B"/>
    <w:rsid w:val="00F30BEE"/>
    <w:rsid w:val="00F310E6"/>
    <w:rsid w:val="00F31E16"/>
    <w:rsid w:val="00F31F4A"/>
    <w:rsid w:val="00F326FC"/>
    <w:rsid w:val="00F334C2"/>
    <w:rsid w:val="00F33736"/>
    <w:rsid w:val="00F3383E"/>
    <w:rsid w:val="00F33EAA"/>
    <w:rsid w:val="00F34174"/>
    <w:rsid w:val="00F345D5"/>
    <w:rsid w:val="00F34A41"/>
    <w:rsid w:val="00F34B91"/>
    <w:rsid w:val="00F34CB3"/>
    <w:rsid w:val="00F34D23"/>
    <w:rsid w:val="00F34E49"/>
    <w:rsid w:val="00F354FC"/>
    <w:rsid w:val="00F355E0"/>
    <w:rsid w:val="00F36331"/>
    <w:rsid w:val="00F365A9"/>
    <w:rsid w:val="00F36C99"/>
    <w:rsid w:val="00F37AF4"/>
    <w:rsid w:val="00F402A2"/>
    <w:rsid w:val="00F40336"/>
    <w:rsid w:val="00F40CF4"/>
    <w:rsid w:val="00F40E0F"/>
    <w:rsid w:val="00F410B1"/>
    <w:rsid w:val="00F411FD"/>
    <w:rsid w:val="00F41591"/>
    <w:rsid w:val="00F41809"/>
    <w:rsid w:val="00F41C38"/>
    <w:rsid w:val="00F41D58"/>
    <w:rsid w:val="00F422A7"/>
    <w:rsid w:val="00F4230B"/>
    <w:rsid w:val="00F425B5"/>
    <w:rsid w:val="00F42DE6"/>
    <w:rsid w:val="00F42E10"/>
    <w:rsid w:val="00F432C7"/>
    <w:rsid w:val="00F439EE"/>
    <w:rsid w:val="00F44EEA"/>
    <w:rsid w:val="00F44FB2"/>
    <w:rsid w:val="00F450ED"/>
    <w:rsid w:val="00F45469"/>
    <w:rsid w:val="00F45512"/>
    <w:rsid w:val="00F45A10"/>
    <w:rsid w:val="00F45AC2"/>
    <w:rsid w:val="00F45FF9"/>
    <w:rsid w:val="00F46206"/>
    <w:rsid w:val="00F463AE"/>
    <w:rsid w:val="00F46540"/>
    <w:rsid w:val="00F465A7"/>
    <w:rsid w:val="00F465FD"/>
    <w:rsid w:val="00F46F0B"/>
    <w:rsid w:val="00F477C0"/>
    <w:rsid w:val="00F4793A"/>
    <w:rsid w:val="00F47B97"/>
    <w:rsid w:val="00F47C53"/>
    <w:rsid w:val="00F47C8B"/>
    <w:rsid w:val="00F47CE9"/>
    <w:rsid w:val="00F47E5E"/>
    <w:rsid w:val="00F501E8"/>
    <w:rsid w:val="00F506D3"/>
    <w:rsid w:val="00F50B7C"/>
    <w:rsid w:val="00F50F61"/>
    <w:rsid w:val="00F514D1"/>
    <w:rsid w:val="00F51700"/>
    <w:rsid w:val="00F51A90"/>
    <w:rsid w:val="00F51F7B"/>
    <w:rsid w:val="00F51FDA"/>
    <w:rsid w:val="00F524D0"/>
    <w:rsid w:val="00F525D0"/>
    <w:rsid w:val="00F52B5F"/>
    <w:rsid w:val="00F52CAD"/>
    <w:rsid w:val="00F52D1C"/>
    <w:rsid w:val="00F52DAC"/>
    <w:rsid w:val="00F53460"/>
    <w:rsid w:val="00F537CB"/>
    <w:rsid w:val="00F53C51"/>
    <w:rsid w:val="00F53E71"/>
    <w:rsid w:val="00F543C9"/>
    <w:rsid w:val="00F54674"/>
    <w:rsid w:val="00F547C9"/>
    <w:rsid w:val="00F550E6"/>
    <w:rsid w:val="00F554B4"/>
    <w:rsid w:val="00F55B39"/>
    <w:rsid w:val="00F55D6A"/>
    <w:rsid w:val="00F55FE2"/>
    <w:rsid w:val="00F56A0A"/>
    <w:rsid w:val="00F56C88"/>
    <w:rsid w:val="00F56CB2"/>
    <w:rsid w:val="00F56FEB"/>
    <w:rsid w:val="00F5705D"/>
    <w:rsid w:val="00F571EB"/>
    <w:rsid w:val="00F57648"/>
    <w:rsid w:val="00F57AEA"/>
    <w:rsid w:val="00F57B9C"/>
    <w:rsid w:val="00F57BF2"/>
    <w:rsid w:val="00F57BF4"/>
    <w:rsid w:val="00F57EC4"/>
    <w:rsid w:val="00F600AC"/>
    <w:rsid w:val="00F6023C"/>
    <w:rsid w:val="00F607AB"/>
    <w:rsid w:val="00F60D09"/>
    <w:rsid w:val="00F60D1E"/>
    <w:rsid w:val="00F60E01"/>
    <w:rsid w:val="00F61B7C"/>
    <w:rsid w:val="00F62160"/>
    <w:rsid w:val="00F621EB"/>
    <w:rsid w:val="00F625F1"/>
    <w:rsid w:val="00F62CAB"/>
    <w:rsid w:val="00F62F18"/>
    <w:rsid w:val="00F62F6C"/>
    <w:rsid w:val="00F63764"/>
    <w:rsid w:val="00F63C6C"/>
    <w:rsid w:val="00F63E73"/>
    <w:rsid w:val="00F63FEB"/>
    <w:rsid w:val="00F64102"/>
    <w:rsid w:val="00F64157"/>
    <w:rsid w:val="00F643B3"/>
    <w:rsid w:val="00F6447E"/>
    <w:rsid w:val="00F647D4"/>
    <w:rsid w:val="00F6505A"/>
    <w:rsid w:val="00F65417"/>
    <w:rsid w:val="00F65C46"/>
    <w:rsid w:val="00F65C9B"/>
    <w:rsid w:val="00F65D36"/>
    <w:rsid w:val="00F65D7F"/>
    <w:rsid w:val="00F66039"/>
    <w:rsid w:val="00F660C8"/>
    <w:rsid w:val="00F6627E"/>
    <w:rsid w:val="00F66773"/>
    <w:rsid w:val="00F66BD7"/>
    <w:rsid w:val="00F66C15"/>
    <w:rsid w:val="00F66EBA"/>
    <w:rsid w:val="00F6715A"/>
    <w:rsid w:val="00F678AC"/>
    <w:rsid w:val="00F678B7"/>
    <w:rsid w:val="00F67C3F"/>
    <w:rsid w:val="00F67C73"/>
    <w:rsid w:val="00F700D3"/>
    <w:rsid w:val="00F70260"/>
    <w:rsid w:val="00F704B4"/>
    <w:rsid w:val="00F704FE"/>
    <w:rsid w:val="00F70668"/>
    <w:rsid w:val="00F70D6E"/>
    <w:rsid w:val="00F71153"/>
    <w:rsid w:val="00F71481"/>
    <w:rsid w:val="00F71514"/>
    <w:rsid w:val="00F71580"/>
    <w:rsid w:val="00F716AE"/>
    <w:rsid w:val="00F719B4"/>
    <w:rsid w:val="00F71D06"/>
    <w:rsid w:val="00F72044"/>
    <w:rsid w:val="00F72531"/>
    <w:rsid w:val="00F7258C"/>
    <w:rsid w:val="00F72AA9"/>
    <w:rsid w:val="00F72B48"/>
    <w:rsid w:val="00F72DC5"/>
    <w:rsid w:val="00F7381B"/>
    <w:rsid w:val="00F7400F"/>
    <w:rsid w:val="00F74345"/>
    <w:rsid w:val="00F74AB6"/>
    <w:rsid w:val="00F7560A"/>
    <w:rsid w:val="00F756DB"/>
    <w:rsid w:val="00F75AD4"/>
    <w:rsid w:val="00F76581"/>
    <w:rsid w:val="00F7683E"/>
    <w:rsid w:val="00F76883"/>
    <w:rsid w:val="00F770AE"/>
    <w:rsid w:val="00F77182"/>
    <w:rsid w:val="00F77207"/>
    <w:rsid w:val="00F774B8"/>
    <w:rsid w:val="00F77542"/>
    <w:rsid w:val="00F777B1"/>
    <w:rsid w:val="00F77A32"/>
    <w:rsid w:val="00F77CFF"/>
    <w:rsid w:val="00F80397"/>
    <w:rsid w:val="00F804D8"/>
    <w:rsid w:val="00F806F3"/>
    <w:rsid w:val="00F808E7"/>
    <w:rsid w:val="00F8093C"/>
    <w:rsid w:val="00F80945"/>
    <w:rsid w:val="00F80A0A"/>
    <w:rsid w:val="00F80AC4"/>
    <w:rsid w:val="00F80C12"/>
    <w:rsid w:val="00F813D1"/>
    <w:rsid w:val="00F81507"/>
    <w:rsid w:val="00F81579"/>
    <w:rsid w:val="00F815F9"/>
    <w:rsid w:val="00F81607"/>
    <w:rsid w:val="00F81C5F"/>
    <w:rsid w:val="00F81E4C"/>
    <w:rsid w:val="00F82081"/>
    <w:rsid w:val="00F821CE"/>
    <w:rsid w:val="00F823A4"/>
    <w:rsid w:val="00F82B19"/>
    <w:rsid w:val="00F82F63"/>
    <w:rsid w:val="00F83154"/>
    <w:rsid w:val="00F83400"/>
    <w:rsid w:val="00F83647"/>
    <w:rsid w:val="00F836D8"/>
    <w:rsid w:val="00F838ED"/>
    <w:rsid w:val="00F83988"/>
    <w:rsid w:val="00F83A45"/>
    <w:rsid w:val="00F83CA3"/>
    <w:rsid w:val="00F83DF2"/>
    <w:rsid w:val="00F83E09"/>
    <w:rsid w:val="00F84024"/>
    <w:rsid w:val="00F84052"/>
    <w:rsid w:val="00F8425D"/>
    <w:rsid w:val="00F848DB"/>
    <w:rsid w:val="00F849DA"/>
    <w:rsid w:val="00F84B5A"/>
    <w:rsid w:val="00F85070"/>
    <w:rsid w:val="00F854C7"/>
    <w:rsid w:val="00F85941"/>
    <w:rsid w:val="00F85CC9"/>
    <w:rsid w:val="00F85F5E"/>
    <w:rsid w:val="00F863A8"/>
    <w:rsid w:val="00F8680F"/>
    <w:rsid w:val="00F86AB6"/>
    <w:rsid w:val="00F86AE1"/>
    <w:rsid w:val="00F86D19"/>
    <w:rsid w:val="00F86F73"/>
    <w:rsid w:val="00F8708C"/>
    <w:rsid w:val="00F87500"/>
    <w:rsid w:val="00F875CC"/>
    <w:rsid w:val="00F87850"/>
    <w:rsid w:val="00F9019A"/>
    <w:rsid w:val="00F9053B"/>
    <w:rsid w:val="00F90C3B"/>
    <w:rsid w:val="00F90EEB"/>
    <w:rsid w:val="00F90F75"/>
    <w:rsid w:val="00F913E1"/>
    <w:rsid w:val="00F914FD"/>
    <w:rsid w:val="00F920E6"/>
    <w:rsid w:val="00F9212D"/>
    <w:rsid w:val="00F92657"/>
    <w:rsid w:val="00F93050"/>
    <w:rsid w:val="00F930AE"/>
    <w:rsid w:val="00F93B78"/>
    <w:rsid w:val="00F93F5C"/>
    <w:rsid w:val="00F94010"/>
    <w:rsid w:val="00F94176"/>
    <w:rsid w:val="00F94193"/>
    <w:rsid w:val="00F95930"/>
    <w:rsid w:val="00F959E6"/>
    <w:rsid w:val="00F965DA"/>
    <w:rsid w:val="00F96693"/>
    <w:rsid w:val="00F96C6A"/>
    <w:rsid w:val="00F970E7"/>
    <w:rsid w:val="00F9736C"/>
    <w:rsid w:val="00F97912"/>
    <w:rsid w:val="00F97E0D"/>
    <w:rsid w:val="00FA0301"/>
    <w:rsid w:val="00FA04D9"/>
    <w:rsid w:val="00FA0A0C"/>
    <w:rsid w:val="00FA0A76"/>
    <w:rsid w:val="00FA0D95"/>
    <w:rsid w:val="00FA18D8"/>
    <w:rsid w:val="00FA1C0F"/>
    <w:rsid w:val="00FA1F3A"/>
    <w:rsid w:val="00FA2189"/>
    <w:rsid w:val="00FA28D3"/>
    <w:rsid w:val="00FA2AEB"/>
    <w:rsid w:val="00FA3149"/>
    <w:rsid w:val="00FA31E1"/>
    <w:rsid w:val="00FA3A60"/>
    <w:rsid w:val="00FA3D2B"/>
    <w:rsid w:val="00FA3E21"/>
    <w:rsid w:val="00FA406A"/>
    <w:rsid w:val="00FA40DB"/>
    <w:rsid w:val="00FA57BF"/>
    <w:rsid w:val="00FA57C4"/>
    <w:rsid w:val="00FA58F2"/>
    <w:rsid w:val="00FA6486"/>
    <w:rsid w:val="00FA6A18"/>
    <w:rsid w:val="00FA6EDF"/>
    <w:rsid w:val="00FB0190"/>
    <w:rsid w:val="00FB045A"/>
    <w:rsid w:val="00FB08D2"/>
    <w:rsid w:val="00FB09CD"/>
    <w:rsid w:val="00FB0A4F"/>
    <w:rsid w:val="00FB0FF7"/>
    <w:rsid w:val="00FB125D"/>
    <w:rsid w:val="00FB14C2"/>
    <w:rsid w:val="00FB15DD"/>
    <w:rsid w:val="00FB16FC"/>
    <w:rsid w:val="00FB1FDF"/>
    <w:rsid w:val="00FB2E70"/>
    <w:rsid w:val="00FB3009"/>
    <w:rsid w:val="00FB33B7"/>
    <w:rsid w:val="00FB3A2C"/>
    <w:rsid w:val="00FB3BD1"/>
    <w:rsid w:val="00FB3E3F"/>
    <w:rsid w:val="00FB3FB5"/>
    <w:rsid w:val="00FB3FE7"/>
    <w:rsid w:val="00FB4216"/>
    <w:rsid w:val="00FB4236"/>
    <w:rsid w:val="00FB43DA"/>
    <w:rsid w:val="00FB462C"/>
    <w:rsid w:val="00FB48C8"/>
    <w:rsid w:val="00FB503A"/>
    <w:rsid w:val="00FB50FE"/>
    <w:rsid w:val="00FB516C"/>
    <w:rsid w:val="00FB5489"/>
    <w:rsid w:val="00FB5BE9"/>
    <w:rsid w:val="00FB5C6D"/>
    <w:rsid w:val="00FB6043"/>
    <w:rsid w:val="00FB6066"/>
    <w:rsid w:val="00FB634E"/>
    <w:rsid w:val="00FB6471"/>
    <w:rsid w:val="00FB6698"/>
    <w:rsid w:val="00FB6C7D"/>
    <w:rsid w:val="00FB6E53"/>
    <w:rsid w:val="00FB7092"/>
    <w:rsid w:val="00FB75E8"/>
    <w:rsid w:val="00FB7A2A"/>
    <w:rsid w:val="00FB7A7E"/>
    <w:rsid w:val="00FB7E1B"/>
    <w:rsid w:val="00FB7E8E"/>
    <w:rsid w:val="00FC1021"/>
    <w:rsid w:val="00FC1158"/>
    <w:rsid w:val="00FC15CD"/>
    <w:rsid w:val="00FC15EF"/>
    <w:rsid w:val="00FC1748"/>
    <w:rsid w:val="00FC1F2B"/>
    <w:rsid w:val="00FC264F"/>
    <w:rsid w:val="00FC2AF4"/>
    <w:rsid w:val="00FC2B6E"/>
    <w:rsid w:val="00FC2BDB"/>
    <w:rsid w:val="00FC2E9C"/>
    <w:rsid w:val="00FC35A2"/>
    <w:rsid w:val="00FC3900"/>
    <w:rsid w:val="00FC3B7D"/>
    <w:rsid w:val="00FC4098"/>
    <w:rsid w:val="00FC4178"/>
    <w:rsid w:val="00FC4769"/>
    <w:rsid w:val="00FC4D29"/>
    <w:rsid w:val="00FC5000"/>
    <w:rsid w:val="00FC5360"/>
    <w:rsid w:val="00FC54E4"/>
    <w:rsid w:val="00FC5661"/>
    <w:rsid w:val="00FC57B9"/>
    <w:rsid w:val="00FC5A37"/>
    <w:rsid w:val="00FC5C84"/>
    <w:rsid w:val="00FC6992"/>
    <w:rsid w:val="00FC6C9A"/>
    <w:rsid w:val="00FC7353"/>
    <w:rsid w:val="00FC7B58"/>
    <w:rsid w:val="00FC7F2C"/>
    <w:rsid w:val="00FD0236"/>
    <w:rsid w:val="00FD04D9"/>
    <w:rsid w:val="00FD0730"/>
    <w:rsid w:val="00FD0768"/>
    <w:rsid w:val="00FD0ADC"/>
    <w:rsid w:val="00FD0B51"/>
    <w:rsid w:val="00FD0F67"/>
    <w:rsid w:val="00FD14B0"/>
    <w:rsid w:val="00FD18F4"/>
    <w:rsid w:val="00FD1F5B"/>
    <w:rsid w:val="00FD2026"/>
    <w:rsid w:val="00FD3544"/>
    <w:rsid w:val="00FD3788"/>
    <w:rsid w:val="00FD3EC3"/>
    <w:rsid w:val="00FD4278"/>
    <w:rsid w:val="00FD448A"/>
    <w:rsid w:val="00FD44DD"/>
    <w:rsid w:val="00FD54DB"/>
    <w:rsid w:val="00FD5561"/>
    <w:rsid w:val="00FD6040"/>
    <w:rsid w:val="00FD619F"/>
    <w:rsid w:val="00FD61A8"/>
    <w:rsid w:val="00FD6BBB"/>
    <w:rsid w:val="00FD6D4D"/>
    <w:rsid w:val="00FD714B"/>
    <w:rsid w:val="00FD73C6"/>
    <w:rsid w:val="00FD73D0"/>
    <w:rsid w:val="00FD74EE"/>
    <w:rsid w:val="00FD79DB"/>
    <w:rsid w:val="00FD7A91"/>
    <w:rsid w:val="00FD7E3A"/>
    <w:rsid w:val="00FD7EDA"/>
    <w:rsid w:val="00FD7EF8"/>
    <w:rsid w:val="00FE01E8"/>
    <w:rsid w:val="00FE1048"/>
    <w:rsid w:val="00FE1966"/>
    <w:rsid w:val="00FE2603"/>
    <w:rsid w:val="00FE297F"/>
    <w:rsid w:val="00FE2AD8"/>
    <w:rsid w:val="00FE2E5F"/>
    <w:rsid w:val="00FE302B"/>
    <w:rsid w:val="00FE30A5"/>
    <w:rsid w:val="00FE3221"/>
    <w:rsid w:val="00FE36D1"/>
    <w:rsid w:val="00FE40EC"/>
    <w:rsid w:val="00FE4203"/>
    <w:rsid w:val="00FE4369"/>
    <w:rsid w:val="00FE4476"/>
    <w:rsid w:val="00FE4E49"/>
    <w:rsid w:val="00FE4ECE"/>
    <w:rsid w:val="00FE5235"/>
    <w:rsid w:val="00FE5303"/>
    <w:rsid w:val="00FE559D"/>
    <w:rsid w:val="00FE59A2"/>
    <w:rsid w:val="00FE5AF8"/>
    <w:rsid w:val="00FE5E14"/>
    <w:rsid w:val="00FE5FA7"/>
    <w:rsid w:val="00FE6614"/>
    <w:rsid w:val="00FE6CB7"/>
    <w:rsid w:val="00FE6E49"/>
    <w:rsid w:val="00FE718B"/>
    <w:rsid w:val="00FE72CF"/>
    <w:rsid w:val="00FE7834"/>
    <w:rsid w:val="00FE7908"/>
    <w:rsid w:val="00FE7C86"/>
    <w:rsid w:val="00FF0066"/>
    <w:rsid w:val="00FF0986"/>
    <w:rsid w:val="00FF09B5"/>
    <w:rsid w:val="00FF0AB8"/>
    <w:rsid w:val="00FF0B4A"/>
    <w:rsid w:val="00FF0F89"/>
    <w:rsid w:val="00FF0FEC"/>
    <w:rsid w:val="00FF12B9"/>
    <w:rsid w:val="00FF12FB"/>
    <w:rsid w:val="00FF13FC"/>
    <w:rsid w:val="00FF1766"/>
    <w:rsid w:val="00FF17DF"/>
    <w:rsid w:val="00FF1872"/>
    <w:rsid w:val="00FF19F4"/>
    <w:rsid w:val="00FF1D7F"/>
    <w:rsid w:val="00FF1E85"/>
    <w:rsid w:val="00FF2535"/>
    <w:rsid w:val="00FF2F3B"/>
    <w:rsid w:val="00FF345E"/>
    <w:rsid w:val="00FF3659"/>
    <w:rsid w:val="00FF3780"/>
    <w:rsid w:val="00FF3D39"/>
    <w:rsid w:val="00FF3E7B"/>
    <w:rsid w:val="00FF4176"/>
    <w:rsid w:val="00FF4E26"/>
    <w:rsid w:val="00FF4F0A"/>
    <w:rsid w:val="00FF550E"/>
    <w:rsid w:val="00FF566F"/>
    <w:rsid w:val="00FF6204"/>
    <w:rsid w:val="00FF63D1"/>
    <w:rsid w:val="00FF6F50"/>
    <w:rsid w:val="00FF75BD"/>
    <w:rsid w:val="00FF762A"/>
    <w:rsid w:val="00FF79F2"/>
    <w:rsid w:val="01290F7E"/>
    <w:rsid w:val="015D1E09"/>
    <w:rsid w:val="017129D6"/>
    <w:rsid w:val="021A1913"/>
    <w:rsid w:val="02697903"/>
    <w:rsid w:val="02713DE6"/>
    <w:rsid w:val="027C7DA9"/>
    <w:rsid w:val="0281052F"/>
    <w:rsid w:val="02BB22C4"/>
    <w:rsid w:val="02BE2851"/>
    <w:rsid w:val="02D053F2"/>
    <w:rsid w:val="02F96569"/>
    <w:rsid w:val="03174FAF"/>
    <w:rsid w:val="036101DF"/>
    <w:rsid w:val="03981F66"/>
    <w:rsid w:val="03EA7B21"/>
    <w:rsid w:val="04113112"/>
    <w:rsid w:val="041C0771"/>
    <w:rsid w:val="04256BA0"/>
    <w:rsid w:val="04370F72"/>
    <w:rsid w:val="043833BC"/>
    <w:rsid w:val="0469769B"/>
    <w:rsid w:val="04770389"/>
    <w:rsid w:val="04C74740"/>
    <w:rsid w:val="0506359C"/>
    <w:rsid w:val="05722F59"/>
    <w:rsid w:val="05BA521D"/>
    <w:rsid w:val="05C375FE"/>
    <w:rsid w:val="05E25E15"/>
    <w:rsid w:val="05F83EAE"/>
    <w:rsid w:val="063E7D85"/>
    <w:rsid w:val="06FC54EE"/>
    <w:rsid w:val="07293586"/>
    <w:rsid w:val="07295285"/>
    <w:rsid w:val="07563868"/>
    <w:rsid w:val="07636392"/>
    <w:rsid w:val="07770C56"/>
    <w:rsid w:val="077D1886"/>
    <w:rsid w:val="0788775C"/>
    <w:rsid w:val="07A83F99"/>
    <w:rsid w:val="07D03DA8"/>
    <w:rsid w:val="07D6114F"/>
    <w:rsid w:val="07E93106"/>
    <w:rsid w:val="08594641"/>
    <w:rsid w:val="088521A6"/>
    <w:rsid w:val="089918CE"/>
    <w:rsid w:val="08C74A99"/>
    <w:rsid w:val="08D6009D"/>
    <w:rsid w:val="09061DA2"/>
    <w:rsid w:val="092217DD"/>
    <w:rsid w:val="09306D58"/>
    <w:rsid w:val="093A7294"/>
    <w:rsid w:val="094A79A2"/>
    <w:rsid w:val="09DD3006"/>
    <w:rsid w:val="09ED69F7"/>
    <w:rsid w:val="09F213E5"/>
    <w:rsid w:val="0A0C48AD"/>
    <w:rsid w:val="0A111138"/>
    <w:rsid w:val="0A263993"/>
    <w:rsid w:val="0A2D3AC2"/>
    <w:rsid w:val="0A312E9E"/>
    <w:rsid w:val="0A3D363D"/>
    <w:rsid w:val="0A9A21D2"/>
    <w:rsid w:val="0AA0140A"/>
    <w:rsid w:val="0AA755DF"/>
    <w:rsid w:val="0AAF4F7C"/>
    <w:rsid w:val="0AB319EF"/>
    <w:rsid w:val="0AD114A0"/>
    <w:rsid w:val="0AE86DD7"/>
    <w:rsid w:val="0B087AA5"/>
    <w:rsid w:val="0B0C6978"/>
    <w:rsid w:val="0B120D44"/>
    <w:rsid w:val="0B140FE2"/>
    <w:rsid w:val="0B6365F9"/>
    <w:rsid w:val="0B793234"/>
    <w:rsid w:val="0B882E27"/>
    <w:rsid w:val="0BA40A59"/>
    <w:rsid w:val="0BAE560B"/>
    <w:rsid w:val="0BC419DA"/>
    <w:rsid w:val="0BD27BF6"/>
    <w:rsid w:val="0C3B3C7D"/>
    <w:rsid w:val="0C526FE5"/>
    <w:rsid w:val="0C607B67"/>
    <w:rsid w:val="0C641D70"/>
    <w:rsid w:val="0C7B478E"/>
    <w:rsid w:val="0C867624"/>
    <w:rsid w:val="0CAB2EAE"/>
    <w:rsid w:val="0CF55409"/>
    <w:rsid w:val="0CF64E24"/>
    <w:rsid w:val="0CFF2317"/>
    <w:rsid w:val="0D405202"/>
    <w:rsid w:val="0D621C7D"/>
    <w:rsid w:val="0DAF40F7"/>
    <w:rsid w:val="0DCE5703"/>
    <w:rsid w:val="0E083E00"/>
    <w:rsid w:val="0E0D7668"/>
    <w:rsid w:val="0E3107F4"/>
    <w:rsid w:val="0E52151F"/>
    <w:rsid w:val="0E717A3A"/>
    <w:rsid w:val="0E73034D"/>
    <w:rsid w:val="0E7E2314"/>
    <w:rsid w:val="0E821FED"/>
    <w:rsid w:val="0EA44D94"/>
    <w:rsid w:val="0EB5548A"/>
    <w:rsid w:val="0EB81A20"/>
    <w:rsid w:val="0ECE3C5C"/>
    <w:rsid w:val="0ED9579C"/>
    <w:rsid w:val="0EE8119B"/>
    <w:rsid w:val="0EF95E3E"/>
    <w:rsid w:val="0F023DFE"/>
    <w:rsid w:val="0F134E8E"/>
    <w:rsid w:val="0F13775A"/>
    <w:rsid w:val="0F3126FC"/>
    <w:rsid w:val="0F511C64"/>
    <w:rsid w:val="0F5F45FE"/>
    <w:rsid w:val="0F610372"/>
    <w:rsid w:val="0F7434D5"/>
    <w:rsid w:val="0F7D74F3"/>
    <w:rsid w:val="0F9A112B"/>
    <w:rsid w:val="0FA605A8"/>
    <w:rsid w:val="10142F30"/>
    <w:rsid w:val="104F6A24"/>
    <w:rsid w:val="106D2F64"/>
    <w:rsid w:val="10806B91"/>
    <w:rsid w:val="108B0131"/>
    <w:rsid w:val="10B63710"/>
    <w:rsid w:val="10BA3A94"/>
    <w:rsid w:val="10CA2EDA"/>
    <w:rsid w:val="10D015CD"/>
    <w:rsid w:val="10E8124F"/>
    <w:rsid w:val="10F10820"/>
    <w:rsid w:val="111C2F7A"/>
    <w:rsid w:val="113F3300"/>
    <w:rsid w:val="11542156"/>
    <w:rsid w:val="115A367D"/>
    <w:rsid w:val="11643A43"/>
    <w:rsid w:val="11665CA1"/>
    <w:rsid w:val="11D336BC"/>
    <w:rsid w:val="11EB6A3C"/>
    <w:rsid w:val="11F42AB7"/>
    <w:rsid w:val="120374B7"/>
    <w:rsid w:val="1212497F"/>
    <w:rsid w:val="130F79DE"/>
    <w:rsid w:val="132F0080"/>
    <w:rsid w:val="135D63AF"/>
    <w:rsid w:val="138275B2"/>
    <w:rsid w:val="13951726"/>
    <w:rsid w:val="14396509"/>
    <w:rsid w:val="14496F20"/>
    <w:rsid w:val="14514D9B"/>
    <w:rsid w:val="14577881"/>
    <w:rsid w:val="14D33226"/>
    <w:rsid w:val="14DA587F"/>
    <w:rsid w:val="14DD2C3C"/>
    <w:rsid w:val="15302E13"/>
    <w:rsid w:val="15470214"/>
    <w:rsid w:val="1585042C"/>
    <w:rsid w:val="15AC005A"/>
    <w:rsid w:val="15BF301A"/>
    <w:rsid w:val="15F104C7"/>
    <w:rsid w:val="16013F56"/>
    <w:rsid w:val="16087E1D"/>
    <w:rsid w:val="16257519"/>
    <w:rsid w:val="1647748F"/>
    <w:rsid w:val="165D462E"/>
    <w:rsid w:val="166125D0"/>
    <w:rsid w:val="16631008"/>
    <w:rsid w:val="16670FFC"/>
    <w:rsid w:val="167E31F2"/>
    <w:rsid w:val="16983B8D"/>
    <w:rsid w:val="17293E2C"/>
    <w:rsid w:val="172B6DF8"/>
    <w:rsid w:val="17642D7E"/>
    <w:rsid w:val="176F65CA"/>
    <w:rsid w:val="17701D14"/>
    <w:rsid w:val="17735226"/>
    <w:rsid w:val="177B39CF"/>
    <w:rsid w:val="17852A40"/>
    <w:rsid w:val="17891934"/>
    <w:rsid w:val="17AB3CFD"/>
    <w:rsid w:val="18153CE9"/>
    <w:rsid w:val="181949C3"/>
    <w:rsid w:val="189B5DB8"/>
    <w:rsid w:val="189F624C"/>
    <w:rsid w:val="18CE5C46"/>
    <w:rsid w:val="18D22AE4"/>
    <w:rsid w:val="19362107"/>
    <w:rsid w:val="193A4698"/>
    <w:rsid w:val="19707A20"/>
    <w:rsid w:val="19A93C81"/>
    <w:rsid w:val="19F44E85"/>
    <w:rsid w:val="1A1C66C0"/>
    <w:rsid w:val="1A25256A"/>
    <w:rsid w:val="1A42393B"/>
    <w:rsid w:val="1A441CBC"/>
    <w:rsid w:val="1A5F4C16"/>
    <w:rsid w:val="1A9F6B95"/>
    <w:rsid w:val="1AA24C7A"/>
    <w:rsid w:val="1AAD45DE"/>
    <w:rsid w:val="1AF8761E"/>
    <w:rsid w:val="1B046F80"/>
    <w:rsid w:val="1B124510"/>
    <w:rsid w:val="1B3267B5"/>
    <w:rsid w:val="1B40161D"/>
    <w:rsid w:val="1B441859"/>
    <w:rsid w:val="1B6606B1"/>
    <w:rsid w:val="1B937848"/>
    <w:rsid w:val="1C1B2933"/>
    <w:rsid w:val="1C250D25"/>
    <w:rsid w:val="1C5E7925"/>
    <w:rsid w:val="1C712CE5"/>
    <w:rsid w:val="1C786972"/>
    <w:rsid w:val="1CA62D02"/>
    <w:rsid w:val="1CB55692"/>
    <w:rsid w:val="1CFD070F"/>
    <w:rsid w:val="1D2D4BD5"/>
    <w:rsid w:val="1D5F6196"/>
    <w:rsid w:val="1D6132A5"/>
    <w:rsid w:val="1D8E56D5"/>
    <w:rsid w:val="1D930BDE"/>
    <w:rsid w:val="1DE32628"/>
    <w:rsid w:val="1DF90F20"/>
    <w:rsid w:val="1E780B2E"/>
    <w:rsid w:val="1E7A43DA"/>
    <w:rsid w:val="1F365477"/>
    <w:rsid w:val="1F417F45"/>
    <w:rsid w:val="1FB10262"/>
    <w:rsid w:val="1FE7539E"/>
    <w:rsid w:val="1FF04C73"/>
    <w:rsid w:val="200D5F9C"/>
    <w:rsid w:val="200E0056"/>
    <w:rsid w:val="2063161E"/>
    <w:rsid w:val="20671BE0"/>
    <w:rsid w:val="207A092D"/>
    <w:rsid w:val="207F06C7"/>
    <w:rsid w:val="20963CB8"/>
    <w:rsid w:val="20A81A1B"/>
    <w:rsid w:val="20B07FB6"/>
    <w:rsid w:val="20B646FB"/>
    <w:rsid w:val="211F2195"/>
    <w:rsid w:val="21390C8B"/>
    <w:rsid w:val="213B74B1"/>
    <w:rsid w:val="215A2310"/>
    <w:rsid w:val="218B501C"/>
    <w:rsid w:val="218E68BA"/>
    <w:rsid w:val="21B46D5C"/>
    <w:rsid w:val="21DE318A"/>
    <w:rsid w:val="21EF5B80"/>
    <w:rsid w:val="21F02FD9"/>
    <w:rsid w:val="22193154"/>
    <w:rsid w:val="222641DA"/>
    <w:rsid w:val="22576990"/>
    <w:rsid w:val="22BD65F1"/>
    <w:rsid w:val="22F47480"/>
    <w:rsid w:val="22FC7B8C"/>
    <w:rsid w:val="23103368"/>
    <w:rsid w:val="2368224A"/>
    <w:rsid w:val="23690CEC"/>
    <w:rsid w:val="237B0B11"/>
    <w:rsid w:val="23906919"/>
    <w:rsid w:val="23D36828"/>
    <w:rsid w:val="23DE1C48"/>
    <w:rsid w:val="23F05F89"/>
    <w:rsid w:val="23F8626D"/>
    <w:rsid w:val="240210CD"/>
    <w:rsid w:val="24021473"/>
    <w:rsid w:val="241D65EF"/>
    <w:rsid w:val="246B385D"/>
    <w:rsid w:val="248A2B86"/>
    <w:rsid w:val="249B7324"/>
    <w:rsid w:val="249E1D3E"/>
    <w:rsid w:val="249E72A1"/>
    <w:rsid w:val="24BF09F7"/>
    <w:rsid w:val="24C46AFC"/>
    <w:rsid w:val="24DA75E2"/>
    <w:rsid w:val="251A293E"/>
    <w:rsid w:val="252C47A8"/>
    <w:rsid w:val="252D53FE"/>
    <w:rsid w:val="256A4F48"/>
    <w:rsid w:val="257B7F00"/>
    <w:rsid w:val="25DA67A2"/>
    <w:rsid w:val="25EC2D81"/>
    <w:rsid w:val="25F8601F"/>
    <w:rsid w:val="25FC5127"/>
    <w:rsid w:val="26A050DE"/>
    <w:rsid w:val="26D25223"/>
    <w:rsid w:val="2731789A"/>
    <w:rsid w:val="27405010"/>
    <w:rsid w:val="277057A2"/>
    <w:rsid w:val="278642D8"/>
    <w:rsid w:val="27FE4D3A"/>
    <w:rsid w:val="282A1683"/>
    <w:rsid w:val="283812FA"/>
    <w:rsid w:val="286D18AB"/>
    <w:rsid w:val="29192F0D"/>
    <w:rsid w:val="29206EB8"/>
    <w:rsid w:val="29595666"/>
    <w:rsid w:val="2963341B"/>
    <w:rsid w:val="29874881"/>
    <w:rsid w:val="299B6018"/>
    <w:rsid w:val="29A25702"/>
    <w:rsid w:val="29BD5F8E"/>
    <w:rsid w:val="29C91CA9"/>
    <w:rsid w:val="29E325E0"/>
    <w:rsid w:val="29EA7E5C"/>
    <w:rsid w:val="2A1E50CD"/>
    <w:rsid w:val="2A374E59"/>
    <w:rsid w:val="2A452503"/>
    <w:rsid w:val="2A653BF3"/>
    <w:rsid w:val="2ACB3B4E"/>
    <w:rsid w:val="2AD710BC"/>
    <w:rsid w:val="2B0366B8"/>
    <w:rsid w:val="2B11629C"/>
    <w:rsid w:val="2B1B2F6C"/>
    <w:rsid w:val="2B277B63"/>
    <w:rsid w:val="2B631F9F"/>
    <w:rsid w:val="2BA936A8"/>
    <w:rsid w:val="2BFC0FF0"/>
    <w:rsid w:val="2C315A5A"/>
    <w:rsid w:val="2C3835C8"/>
    <w:rsid w:val="2C4739F4"/>
    <w:rsid w:val="2C4B1C25"/>
    <w:rsid w:val="2C56555B"/>
    <w:rsid w:val="2CA9297D"/>
    <w:rsid w:val="2CB92977"/>
    <w:rsid w:val="2CBB250B"/>
    <w:rsid w:val="2CCB720E"/>
    <w:rsid w:val="2CE6449E"/>
    <w:rsid w:val="2CEA4440"/>
    <w:rsid w:val="2D154C56"/>
    <w:rsid w:val="2D6F75A0"/>
    <w:rsid w:val="2D9A5FBB"/>
    <w:rsid w:val="2D9E56F5"/>
    <w:rsid w:val="2E2747A5"/>
    <w:rsid w:val="2E283D2E"/>
    <w:rsid w:val="2E564E8E"/>
    <w:rsid w:val="2E667F96"/>
    <w:rsid w:val="2E7F50B4"/>
    <w:rsid w:val="2E8226AB"/>
    <w:rsid w:val="2EE20362"/>
    <w:rsid w:val="2F040B13"/>
    <w:rsid w:val="2F191EB9"/>
    <w:rsid w:val="2F1D4585"/>
    <w:rsid w:val="2F1E0716"/>
    <w:rsid w:val="2F264567"/>
    <w:rsid w:val="2FB64F26"/>
    <w:rsid w:val="2FD065E6"/>
    <w:rsid w:val="2FD96870"/>
    <w:rsid w:val="2FE158A9"/>
    <w:rsid w:val="30257F10"/>
    <w:rsid w:val="30580BC9"/>
    <w:rsid w:val="30C81DC9"/>
    <w:rsid w:val="30E57CC3"/>
    <w:rsid w:val="311B0126"/>
    <w:rsid w:val="311E2ED7"/>
    <w:rsid w:val="313474AF"/>
    <w:rsid w:val="313E0EC8"/>
    <w:rsid w:val="313E79B5"/>
    <w:rsid w:val="31412D53"/>
    <w:rsid w:val="315619EE"/>
    <w:rsid w:val="31561BDC"/>
    <w:rsid w:val="315C449C"/>
    <w:rsid w:val="31B82709"/>
    <w:rsid w:val="31D05482"/>
    <w:rsid w:val="31D317B6"/>
    <w:rsid w:val="31F64758"/>
    <w:rsid w:val="32400B34"/>
    <w:rsid w:val="324E12A6"/>
    <w:rsid w:val="32794A1C"/>
    <w:rsid w:val="329E6876"/>
    <w:rsid w:val="333015F2"/>
    <w:rsid w:val="334B6320"/>
    <w:rsid w:val="337A7AFF"/>
    <w:rsid w:val="338120A4"/>
    <w:rsid w:val="33AD7265"/>
    <w:rsid w:val="33D934D4"/>
    <w:rsid w:val="33FE2F6A"/>
    <w:rsid w:val="340E07E5"/>
    <w:rsid w:val="34235BF7"/>
    <w:rsid w:val="34441786"/>
    <w:rsid w:val="3488345B"/>
    <w:rsid w:val="34AB35B3"/>
    <w:rsid w:val="34CE4094"/>
    <w:rsid w:val="350179BE"/>
    <w:rsid w:val="35643421"/>
    <w:rsid w:val="357403B3"/>
    <w:rsid w:val="358C5FA8"/>
    <w:rsid w:val="3596063D"/>
    <w:rsid w:val="35B13A15"/>
    <w:rsid w:val="35C15DF1"/>
    <w:rsid w:val="36074A7F"/>
    <w:rsid w:val="36254D15"/>
    <w:rsid w:val="363018D5"/>
    <w:rsid w:val="364E5036"/>
    <w:rsid w:val="365C7170"/>
    <w:rsid w:val="36923549"/>
    <w:rsid w:val="36B75FBF"/>
    <w:rsid w:val="36BD0C45"/>
    <w:rsid w:val="3701326B"/>
    <w:rsid w:val="371A0717"/>
    <w:rsid w:val="37361CB0"/>
    <w:rsid w:val="373D0ACC"/>
    <w:rsid w:val="3742356A"/>
    <w:rsid w:val="37533A8E"/>
    <w:rsid w:val="377514BF"/>
    <w:rsid w:val="37A94E35"/>
    <w:rsid w:val="37C91115"/>
    <w:rsid w:val="37DD6982"/>
    <w:rsid w:val="37E00298"/>
    <w:rsid w:val="37EE49FE"/>
    <w:rsid w:val="38130C12"/>
    <w:rsid w:val="38362E58"/>
    <w:rsid w:val="38880A03"/>
    <w:rsid w:val="38B14F10"/>
    <w:rsid w:val="38B302F9"/>
    <w:rsid w:val="38C60BE8"/>
    <w:rsid w:val="38D849AC"/>
    <w:rsid w:val="38DA1498"/>
    <w:rsid w:val="38F12CD3"/>
    <w:rsid w:val="38F94775"/>
    <w:rsid w:val="39135FB0"/>
    <w:rsid w:val="392971ED"/>
    <w:rsid w:val="39325651"/>
    <w:rsid w:val="39615513"/>
    <w:rsid w:val="39985DA7"/>
    <w:rsid w:val="39DC07CC"/>
    <w:rsid w:val="39FE42F1"/>
    <w:rsid w:val="3A872856"/>
    <w:rsid w:val="3A907704"/>
    <w:rsid w:val="3AA53E23"/>
    <w:rsid w:val="3AB57D98"/>
    <w:rsid w:val="3AC71E87"/>
    <w:rsid w:val="3B3763D1"/>
    <w:rsid w:val="3B4173DE"/>
    <w:rsid w:val="3BBD3BCC"/>
    <w:rsid w:val="3BD8694B"/>
    <w:rsid w:val="3BEE61FC"/>
    <w:rsid w:val="3C1104C4"/>
    <w:rsid w:val="3C110A75"/>
    <w:rsid w:val="3C2F6E1E"/>
    <w:rsid w:val="3C4F64BA"/>
    <w:rsid w:val="3CC80425"/>
    <w:rsid w:val="3CCD64F7"/>
    <w:rsid w:val="3CDA245A"/>
    <w:rsid w:val="3CEB0B98"/>
    <w:rsid w:val="3D006466"/>
    <w:rsid w:val="3D1E06B7"/>
    <w:rsid w:val="3D27184A"/>
    <w:rsid w:val="3D4177E3"/>
    <w:rsid w:val="3D6E6EAF"/>
    <w:rsid w:val="3D9F45D3"/>
    <w:rsid w:val="3DAD1291"/>
    <w:rsid w:val="3DB33C53"/>
    <w:rsid w:val="3DCC0745"/>
    <w:rsid w:val="3DF47930"/>
    <w:rsid w:val="3DFB059C"/>
    <w:rsid w:val="3E0B20C5"/>
    <w:rsid w:val="3E31612B"/>
    <w:rsid w:val="3E45722C"/>
    <w:rsid w:val="3E5C2CF8"/>
    <w:rsid w:val="3E5E31B9"/>
    <w:rsid w:val="3E6C6E41"/>
    <w:rsid w:val="3EA1351D"/>
    <w:rsid w:val="3EB164F4"/>
    <w:rsid w:val="3EBF3597"/>
    <w:rsid w:val="3ED45C36"/>
    <w:rsid w:val="3EDA0523"/>
    <w:rsid w:val="3F1B27D8"/>
    <w:rsid w:val="3F495BC6"/>
    <w:rsid w:val="3F7A1B27"/>
    <w:rsid w:val="3F84512C"/>
    <w:rsid w:val="3F9B2B3F"/>
    <w:rsid w:val="3FD87226"/>
    <w:rsid w:val="3FEF3A03"/>
    <w:rsid w:val="400017B2"/>
    <w:rsid w:val="400E7980"/>
    <w:rsid w:val="40396BF8"/>
    <w:rsid w:val="406B7AB3"/>
    <w:rsid w:val="407A6407"/>
    <w:rsid w:val="40AE56F5"/>
    <w:rsid w:val="410F01B1"/>
    <w:rsid w:val="412A4C98"/>
    <w:rsid w:val="41354204"/>
    <w:rsid w:val="414F27F8"/>
    <w:rsid w:val="41D266ED"/>
    <w:rsid w:val="41F15AEE"/>
    <w:rsid w:val="4200449D"/>
    <w:rsid w:val="420129A2"/>
    <w:rsid w:val="421743DE"/>
    <w:rsid w:val="422775C4"/>
    <w:rsid w:val="422C3859"/>
    <w:rsid w:val="423A3BCC"/>
    <w:rsid w:val="424E57D2"/>
    <w:rsid w:val="428D4E32"/>
    <w:rsid w:val="42B26C49"/>
    <w:rsid w:val="42B47CC1"/>
    <w:rsid w:val="42B61A9B"/>
    <w:rsid w:val="42BD4D0B"/>
    <w:rsid w:val="432021E2"/>
    <w:rsid w:val="4327700E"/>
    <w:rsid w:val="433A6FE6"/>
    <w:rsid w:val="43480868"/>
    <w:rsid w:val="4350713C"/>
    <w:rsid w:val="436512FC"/>
    <w:rsid w:val="436653E0"/>
    <w:rsid w:val="437C38C5"/>
    <w:rsid w:val="43AB6E0B"/>
    <w:rsid w:val="43C4431A"/>
    <w:rsid w:val="44085352"/>
    <w:rsid w:val="444035EC"/>
    <w:rsid w:val="4440539A"/>
    <w:rsid w:val="44644B99"/>
    <w:rsid w:val="44650F3F"/>
    <w:rsid w:val="44983D25"/>
    <w:rsid w:val="44B951CC"/>
    <w:rsid w:val="44CD14E0"/>
    <w:rsid w:val="44E126D9"/>
    <w:rsid w:val="44F20B0B"/>
    <w:rsid w:val="450C7F41"/>
    <w:rsid w:val="45205A5B"/>
    <w:rsid w:val="452E5F4C"/>
    <w:rsid w:val="455E1F7C"/>
    <w:rsid w:val="45612018"/>
    <w:rsid w:val="45651D92"/>
    <w:rsid w:val="458946E9"/>
    <w:rsid w:val="45942461"/>
    <w:rsid w:val="45A47C0E"/>
    <w:rsid w:val="45D55AA5"/>
    <w:rsid w:val="45D75804"/>
    <w:rsid w:val="462E1272"/>
    <w:rsid w:val="46420780"/>
    <w:rsid w:val="46577FD6"/>
    <w:rsid w:val="466826A5"/>
    <w:rsid w:val="46A95479"/>
    <w:rsid w:val="46AB715D"/>
    <w:rsid w:val="46C83EA1"/>
    <w:rsid w:val="46D955A7"/>
    <w:rsid w:val="47133957"/>
    <w:rsid w:val="474B6EDA"/>
    <w:rsid w:val="477C4CEC"/>
    <w:rsid w:val="47A07E0C"/>
    <w:rsid w:val="47FB61A8"/>
    <w:rsid w:val="48021E64"/>
    <w:rsid w:val="480E06B6"/>
    <w:rsid w:val="482A7C30"/>
    <w:rsid w:val="486B2120"/>
    <w:rsid w:val="4870272E"/>
    <w:rsid w:val="48E704DA"/>
    <w:rsid w:val="49247038"/>
    <w:rsid w:val="49560981"/>
    <w:rsid w:val="499E65D6"/>
    <w:rsid w:val="49D46FE9"/>
    <w:rsid w:val="49DC7715"/>
    <w:rsid w:val="4A023139"/>
    <w:rsid w:val="4A6C0C97"/>
    <w:rsid w:val="4A7B576F"/>
    <w:rsid w:val="4AA91E25"/>
    <w:rsid w:val="4AD0171C"/>
    <w:rsid w:val="4AF561A9"/>
    <w:rsid w:val="4B3317B5"/>
    <w:rsid w:val="4B3C54C5"/>
    <w:rsid w:val="4B633B2B"/>
    <w:rsid w:val="4B775E78"/>
    <w:rsid w:val="4BA1547A"/>
    <w:rsid w:val="4BAF52CA"/>
    <w:rsid w:val="4BBD290A"/>
    <w:rsid w:val="4BDF75C6"/>
    <w:rsid w:val="4BE83DFC"/>
    <w:rsid w:val="4BFE4A11"/>
    <w:rsid w:val="4C1323E6"/>
    <w:rsid w:val="4C1556B0"/>
    <w:rsid w:val="4C281B4E"/>
    <w:rsid w:val="4C4A0649"/>
    <w:rsid w:val="4C7E5ECA"/>
    <w:rsid w:val="4C872D6F"/>
    <w:rsid w:val="4C876AA5"/>
    <w:rsid w:val="4C8877FA"/>
    <w:rsid w:val="4CE627DD"/>
    <w:rsid w:val="4D0E00FB"/>
    <w:rsid w:val="4D176606"/>
    <w:rsid w:val="4D75051F"/>
    <w:rsid w:val="4D9A1EB7"/>
    <w:rsid w:val="4DD36427"/>
    <w:rsid w:val="4DEC4FB0"/>
    <w:rsid w:val="4E075D8A"/>
    <w:rsid w:val="4E3301D9"/>
    <w:rsid w:val="4E5B4DBE"/>
    <w:rsid w:val="4E8300B1"/>
    <w:rsid w:val="4EC00FAD"/>
    <w:rsid w:val="4F2761E6"/>
    <w:rsid w:val="4F3021BF"/>
    <w:rsid w:val="4F447F74"/>
    <w:rsid w:val="4F604B42"/>
    <w:rsid w:val="4F66047B"/>
    <w:rsid w:val="4F9843DC"/>
    <w:rsid w:val="4FBD2FA6"/>
    <w:rsid w:val="4FBE28EB"/>
    <w:rsid w:val="4FC62A8C"/>
    <w:rsid w:val="4FCA7AFF"/>
    <w:rsid w:val="4FE20F0D"/>
    <w:rsid w:val="4FE51552"/>
    <w:rsid w:val="4FFF26A6"/>
    <w:rsid w:val="503009FE"/>
    <w:rsid w:val="50504C4B"/>
    <w:rsid w:val="50787158"/>
    <w:rsid w:val="509C6E7C"/>
    <w:rsid w:val="50A02E8F"/>
    <w:rsid w:val="5162104E"/>
    <w:rsid w:val="516470EE"/>
    <w:rsid w:val="5176064D"/>
    <w:rsid w:val="517D2F5E"/>
    <w:rsid w:val="51833BF2"/>
    <w:rsid w:val="51A72ACD"/>
    <w:rsid w:val="52300B6B"/>
    <w:rsid w:val="524533B8"/>
    <w:rsid w:val="529644BE"/>
    <w:rsid w:val="52B549A9"/>
    <w:rsid w:val="53321E41"/>
    <w:rsid w:val="53484848"/>
    <w:rsid w:val="536144A1"/>
    <w:rsid w:val="5364082F"/>
    <w:rsid w:val="538A2B02"/>
    <w:rsid w:val="539C0B71"/>
    <w:rsid w:val="53A039CC"/>
    <w:rsid w:val="53A1505A"/>
    <w:rsid w:val="53C56A98"/>
    <w:rsid w:val="53DA24B6"/>
    <w:rsid w:val="53E923D0"/>
    <w:rsid w:val="53FC412A"/>
    <w:rsid w:val="53FE4451"/>
    <w:rsid w:val="54063E08"/>
    <w:rsid w:val="540A42F2"/>
    <w:rsid w:val="5413016A"/>
    <w:rsid w:val="543437E8"/>
    <w:rsid w:val="54345F35"/>
    <w:rsid w:val="54755DAB"/>
    <w:rsid w:val="54B036CE"/>
    <w:rsid w:val="54C53DC5"/>
    <w:rsid w:val="54F16D6B"/>
    <w:rsid w:val="54F73313"/>
    <w:rsid w:val="54F80955"/>
    <w:rsid w:val="54FF0584"/>
    <w:rsid w:val="554B5B49"/>
    <w:rsid w:val="554B6135"/>
    <w:rsid w:val="555170A7"/>
    <w:rsid w:val="55811091"/>
    <w:rsid w:val="5587536D"/>
    <w:rsid w:val="559B174B"/>
    <w:rsid w:val="55CB0ABA"/>
    <w:rsid w:val="55CE0CF4"/>
    <w:rsid w:val="56113BA2"/>
    <w:rsid w:val="56303E4A"/>
    <w:rsid w:val="563B08DF"/>
    <w:rsid w:val="565E2734"/>
    <w:rsid w:val="56B22A9C"/>
    <w:rsid w:val="56D43EA0"/>
    <w:rsid w:val="570400A1"/>
    <w:rsid w:val="570E62FD"/>
    <w:rsid w:val="571903F8"/>
    <w:rsid w:val="572D17AE"/>
    <w:rsid w:val="573759CB"/>
    <w:rsid w:val="575B40AC"/>
    <w:rsid w:val="57833AC4"/>
    <w:rsid w:val="57B72A76"/>
    <w:rsid w:val="57C3426C"/>
    <w:rsid w:val="57CE1F93"/>
    <w:rsid w:val="57E27A8F"/>
    <w:rsid w:val="581A15B1"/>
    <w:rsid w:val="581D12DE"/>
    <w:rsid w:val="5821023F"/>
    <w:rsid w:val="584A201E"/>
    <w:rsid w:val="58641910"/>
    <w:rsid w:val="58813029"/>
    <w:rsid w:val="588743D1"/>
    <w:rsid w:val="5887701A"/>
    <w:rsid w:val="58936305"/>
    <w:rsid w:val="58A75590"/>
    <w:rsid w:val="593C3F2A"/>
    <w:rsid w:val="596322C1"/>
    <w:rsid w:val="59C0439F"/>
    <w:rsid w:val="59DE2A10"/>
    <w:rsid w:val="5A6A02B1"/>
    <w:rsid w:val="5AB568AE"/>
    <w:rsid w:val="5ABE2233"/>
    <w:rsid w:val="5ADD0FED"/>
    <w:rsid w:val="5B1A086A"/>
    <w:rsid w:val="5B307EFE"/>
    <w:rsid w:val="5B3370C6"/>
    <w:rsid w:val="5B81670D"/>
    <w:rsid w:val="5BA54D56"/>
    <w:rsid w:val="5BDE2700"/>
    <w:rsid w:val="5BDF5D95"/>
    <w:rsid w:val="5BFE7528"/>
    <w:rsid w:val="5C1B305D"/>
    <w:rsid w:val="5C225659"/>
    <w:rsid w:val="5C382C83"/>
    <w:rsid w:val="5C4F26C4"/>
    <w:rsid w:val="5CAE15E3"/>
    <w:rsid w:val="5D815CBF"/>
    <w:rsid w:val="5DB2447D"/>
    <w:rsid w:val="5E222AB4"/>
    <w:rsid w:val="5E2467F1"/>
    <w:rsid w:val="5E646D97"/>
    <w:rsid w:val="5E74538B"/>
    <w:rsid w:val="5E9857C8"/>
    <w:rsid w:val="5E9E6403"/>
    <w:rsid w:val="5EED5933"/>
    <w:rsid w:val="5F076F9A"/>
    <w:rsid w:val="5F1A2B43"/>
    <w:rsid w:val="5F2848F4"/>
    <w:rsid w:val="5F321B9F"/>
    <w:rsid w:val="5FB837BB"/>
    <w:rsid w:val="5FC73223"/>
    <w:rsid w:val="603E57A9"/>
    <w:rsid w:val="60CC405A"/>
    <w:rsid w:val="60E7004C"/>
    <w:rsid w:val="61255339"/>
    <w:rsid w:val="614E75B6"/>
    <w:rsid w:val="619A1928"/>
    <w:rsid w:val="619B6D36"/>
    <w:rsid w:val="61BC69B6"/>
    <w:rsid w:val="61BD518F"/>
    <w:rsid w:val="61DF3154"/>
    <w:rsid w:val="61E215D8"/>
    <w:rsid w:val="62005E31"/>
    <w:rsid w:val="621B3775"/>
    <w:rsid w:val="622F531B"/>
    <w:rsid w:val="62364782"/>
    <w:rsid w:val="62682234"/>
    <w:rsid w:val="62C05BCC"/>
    <w:rsid w:val="62D93D57"/>
    <w:rsid w:val="62DC0278"/>
    <w:rsid w:val="62FA0154"/>
    <w:rsid w:val="631947F0"/>
    <w:rsid w:val="63237870"/>
    <w:rsid w:val="63472010"/>
    <w:rsid w:val="63495349"/>
    <w:rsid w:val="63860BC4"/>
    <w:rsid w:val="6394356A"/>
    <w:rsid w:val="63C61B2C"/>
    <w:rsid w:val="63D40BE9"/>
    <w:rsid w:val="63D91408"/>
    <w:rsid w:val="63ED4360"/>
    <w:rsid w:val="64024326"/>
    <w:rsid w:val="64102431"/>
    <w:rsid w:val="644E1262"/>
    <w:rsid w:val="647F0488"/>
    <w:rsid w:val="64820701"/>
    <w:rsid w:val="64874740"/>
    <w:rsid w:val="64A05E3F"/>
    <w:rsid w:val="64A5243A"/>
    <w:rsid w:val="64D65124"/>
    <w:rsid w:val="64F531DE"/>
    <w:rsid w:val="65013FE9"/>
    <w:rsid w:val="65077E38"/>
    <w:rsid w:val="65373578"/>
    <w:rsid w:val="65654809"/>
    <w:rsid w:val="65674A25"/>
    <w:rsid w:val="657C6323"/>
    <w:rsid w:val="65BD540F"/>
    <w:rsid w:val="66071080"/>
    <w:rsid w:val="660E127B"/>
    <w:rsid w:val="662E4726"/>
    <w:rsid w:val="663B7BEA"/>
    <w:rsid w:val="66440188"/>
    <w:rsid w:val="664A237C"/>
    <w:rsid w:val="667831F6"/>
    <w:rsid w:val="668F7D8F"/>
    <w:rsid w:val="66D165D2"/>
    <w:rsid w:val="67030D86"/>
    <w:rsid w:val="671F124A"/>
    <w:rsid w:val="677A24DD"/>
    <w:rsid w:val="677A33C6"/>
    <w:rsid w:val="67A816D9"/>
    <w:rsid w:val="67DA2D65"/>
    <w:rsid w:val="67F874B0"/>
    <w:rsid w:val="681F6961"/>
    <w:rsid w:val="684F3C7A"/>
    <w:rsid w:val="68566F7D"/>
    <w:rsid w:val="68610A2F"/>
    <w:rsid w:val="686F231F"/>
    <w:rsid w:val="68805514"/>
    <w:rsid w:val="68CA02D2"/>
    <w:rsid w:val="68CD48FD"/>
    <w:rsid w:val="69085BD7"/>
    <w:rsid w:val="6916425B"/>
    <w:rsid w:val="69316E2F"/>
    <w:rsid w:val="6933534A"/>
    <w:rsid w:val="694E2071"/>
    <w:rsid w:val="69535A05"/>
    <w:rsid w:val="696D3478"/>
    <w:rsid w:val="69766163"/>
    <w:rsid w:val="697A3B33"/>
    <w:rsid w:val="6985191D"/>
    <w:rsid w:val="69D44760"/>
    <w:rsid w:val="69DA7573"/>
    <w:rsid w:val="69DD52B6"/>
    <w:rsid w:val="6A520EC7"/>
    <w:rsid w:val="6A7D4B08"/>
    <w:rsid w:val="6A8C5F85"/>
    <w:rsid w:val="6AB96FCE"/>
    <w:rsid w:val="6AE83F12"/>
    <w:rsid w:val="6AF26B3F"/>
    <w:rsid w:val="6AF87E20"/>
    <w:rsid w:val="6AFA5024"/>
    <w:rsid w:val="6B012A20"/>
    <w:rsid w:val="6B322639"/>
    <w:rsid w:val="6B644E80"/>
    <w:rsid w:val="6B8D111A"/>
    <w:rsid w:val="6C3F184A"/>
    <w:rsid w:val="6C636C38"/>
    <w:rsid w:val="6CDF4F5A"/>
    <w:rsid w:val="6CE556DE"/>
    <w:rsid w:val="6D47020B"/>
    <w:rsid w:val="6D633D24"/>
    <w:rsid w:val="6DB34098"/>
    <w:rsid w:val="6DB545B6"/>
    <w:rsid w:val="6DC26C9C"/>
    <w:rsid w:val="6DE02FB4"/>
    <w:rsid w:val="6DF1359C"/>
    <w:rsid w:val="6E09799D"/>
    <w:rsid w:val="6E1A67CF"/>
    <w:rsid w:val="6E514CED"/>
    <w:rsid w:val="6EB563D5"/>
    <w:rsid w:val="6ED92677"/>
    <w:rsid w:val="6F225983"/>
    <w:rsid w:val="6F242A9F"/>
    <w:rsid w:val="6F8F7697"/>
    <w:rsid w:val="6F9920B9"/>
    <w:rsid w:val="6FFC5590"/>
    <w:rsid w:val="701514FB"/>
    <w:rsid w:val="70471F67"/>
    <w:rsid w:val="706935C4"/>
    <w:rsid w:val="706D1DD0"/>
    <w:rsid w:val="70856B87"/>
    <w:rsid w:val="70D527EE"/>
    <w:rsid w:val="70E76B7F"/>
    <w:rsid w:val="70EB650A"/>
    <w:rsid w:val="714B0B8B"/>
    <w:rsid w:val="715B5300"/>
    <w:rsid w:val="71D27F8A"/>
    <w:rsid w:val="725246DD"/>
    <w:rsid w:val="72553024"/>
    <w:rsid w:val="72633501"/>
    <w:rsid w:val="730F17C4"/>
    <w:rsid w:val="73122968"/>
    <w:rsid w:val="731F5D5E"/>
    <w:rsid w:val="73267C66"/>
    <w:rsid w:val="734F7D9E"/>
    <w:rsid w:val="738107EB"/>
    <w:rsid w:val="73836ECE"/>
    <w:rsid w:val="73AC115A"/>
    <w:rsid w:val="73BC1BEF"/>
    <w:rsid w:val="73C51AD5"/>
    <w:rsid w:val="73E51651"/>
    <w:rsid w:val="73F076D0"/>
    <w:rsid w:val="741E793C"/>
    <w:rsid w:val="74370E0B"/>
    <w:rsid w:val="745E3944"/>
    <w:rsid w:val="74750AE8"/>
    <w:rsid w:val="749A7286"/>
    <w:rsid w:val="74D215F5"/>
    <w:rsid w:val="74E47899"/>
    <w:rsid w:val="754604BF"/>
    <w:rsid w:val="75846D9B"/>
    <w:rsid w:val="75857829"/>
    <w:rsid w:val="75BF7F65"/>
    <w:rsid w:val="75CC5DA6"/>
    <w:rsid w:val="75ED1BF2"/>
    <w:rsid w:val="76297C22"/>
    <w:rsid w:val="7635099D"/>
    <w:rsid w:val="76593F16"/>
    <w:rsid w:val="76872831"/>
    <w:rsid w:val="76AB662E"/>
    <w:rsid w:val="76D35A76"/>
    <w:rsid w:val="76D516D1"/>
    <w:rsid w:val="76DF5335"/>
    <w:rsid w:val="76E05860"/>
    <w:rsid w:val="76E81B5B"/>
    <w:rsid w:val="76F2314F"/>
    <w:rsid w:val="77007120"/>
    <w:rsid w:val="77660E3F"/>
    <w:rsid w:val="77762421"/>
    <w:rsid w:val="77B10A16"/>
    <w:rsid w:val="77B56B1F"/>
    <w:rsid w:val="77E943EA"/>
    <w:rsid w:val="77F71266"/>
    <w:rsid w:val="7808787F"/>
    <w:rsid w:val="780F09F4"/>
    <w:rsid w:val="78174088"/>
    <w:rsid w:val="782F739E"/>
    <w:rsid w:val="783469E8"/>
    <w:rsid w:val="785D59D3"/>
    <w:rsid w:val="78A90480"/>
    <w:rsid w:val="791005C1"/>
    <w:rsid w:val="791F31F5"/>
    <w:rsid w:val="792B7D94"/>
    <w:rsid w:val="7A107AA3"/>
    <w:rsid w:val="7A173ECC"/>
    <w:rsid w:val="7A2E6C7E"/>
    <w:rsid w:val="7A364017"/>
    <w:rsid w:val="7A603AC5"/>
    <w:rsid w:val="7A8265E1"/>
    <w:rsid w:val="7A8A0B42"/>
    <w:rsid w:val="7AB22D3C"/>
    <w:rsid w:val="7AD1051F"/>
    <w:rsid w:val="7AF53A62"/>
    <w:rsid w:val="7AFE6E3A"/>
    <w:rsid w:val="7B07727D"/>
    <w:rsid w:val="7B087BB8"/>
    <w:rsid w:val="7B31720F"/>
    <w:rsid w:val="7B36596C"/>
    <w:rsid w:val="7B686D42"/>
    <w:rsid w:val="7B6A05C8"/>
    <w:rsid w:val="7B841746"/>
    <w:rsid w:val="7B8E3E0D"/>
    <w:rsid w:val="7B9C7486"/>
    <w:rsid w:val="7BA936B9"/>
    <w:rsid w:val="7BAB0D70"/>
    <w:rsid w:val="7C110999"/>
    <w:rsid w:val="7C3E1F93"/>
    <w:rsid w:val="7C4561E1"/>
    <w:rsid w:val="7C6A0C2B"/>
    <w:rsid w:val="7C6C5AC7"/>
    <w:rsid w:val="7C8512A1"/>
    <w:rsid w:val="7C8C6BAA"/>
    <w:rsid w:val="7C926E97"/>
    <w:rsid w:val="7CBA0758"/>
    <w:rsid w:val="7CC6544B"/>
    <w:rsid w:val="7CD36C81"/>
    <w:rsid w:val="7D0239FF"/>
    <w:rsid w:val="7D5E40CD"/>
    <w:rsid w:val="7D640269"/>
    <w:rsid w:val="7D8A1220"/>
    <w:rsid w:val="7DCD56F2"/>
    <w:rsid w:val="7DED1DD6"/>
    <w:rsid w:val="7DF662C3"/>
    <w:rsid w:val="7E340338"/>
    <w:rsid w:val="7E5F606D"/>
    <w:rsid w:val="7E7D3D80"/>
    <w:rsid w:val="7EB76B8F"/>
    <w:rsid w:val="7F001CE7"/>
    <w:rsid w:val="7F3B063B"/>
    <w:rsid w:val="7F9D7411"/>
    <w:rsid w:val="7FE47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 w:semiHidden="0" w:name="heading 2" w:locked="1"/>
    <w:lsdException w:qFormat="1" w:uiPriority="0" w:semiHidden="0" w:name="heading 3" w:locked="1"/>
    <w:lsdException w:qFormat="1" w:uiPriority="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name="index heading" w:locked="1"/>
    <w:lsdException w:qFormat="1" w:unhideWhenUsed="0" w:uiPriority="0" w:semiHidden="0" w:name="caption" w:locked="1"/>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22" w:semiHidden="0" w:name="Strong" w:locked="1"/>
    <w:lsdException w:qFormat="1" w:unhideWhenUsed="0" w:uiPriority="0" w:semiHidden="0" w:name="Emphasis" w:locked="1"/>
    <w:lsdException w:qFormat="1" w:uiPriority="99" w:semiHidden="0" w:name="Document Map" w:locked="1"/>
    <w:lsdException w:qFormat="1" w:unhideWhenUsed="0" w:uiPriority="0" w:semiHidden="0" w:name="Plain Text" w:locked="1"/>
    <w:lsdException w:unhideWhenUsed="0" w:uiPriority="0" w:semiHidden="0" w:name="E-mail Signature" w:locked="1"/>
    <w:lsdException w:qFormat="1" w:unhideWhenUsed="0"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semiHidden="0"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37"/>
    <w:qFormat/>
    <w:locked/>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locked/>
    <w:uiPriority w:val="0"/>
    <w:pPr>
      <w:keepNext/>
      <w:keepLines/>
      <w:spacing w:before="260" w:after="260" w:line="416" w:lineRule="auto"/>
      <w:outlineLvl w:val="2"/>
    </w:pPr>
    <w:rPr>
      <w:b/>
      <w:bCs/>
      <w:sz w:val="32"/>
      <w:szCs w:val="32"/>
    </w:rPr>
  </w:style>
  <w:style w:type="paragraph" w:styleId="5">
    <w:name w:val="heading 5"/>
    <w:basedOn w:val="1"/>
    <w:next w:val="1"/>
    <w:qFormat/>
    <w:locked/>
    <w:uiPriority w:val="0"/>
    <w:pPr>
      <w:keepNext/>
      <w:spacing w:line="360" w:lineRule="auto"/>
      <w:ind w:firstLine="0" w:firstLineChars="0"/>
      <w:jc w:val="center"/>
      <w:outlineLvl w:val="4"/>
    </w:pPr>
    <w:rPr>
      <w:b/>
      <w:kern w:val="0"/>
      <w:sz w:val="21"/>
      <w:szCs w:val="21"/>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6">
    <w:name w:val="List 3"/>
    <w:basedOn w:val="1"/>
    <w:next w:val="1"/>
    <w:qFormat/>
    <w:locked/>
    <w:uiPriority w:val="0"/>
    <w:pPr>
      <w:autoSpaceDE w:val="0"/>
      <w:autoSpaceDN w:val="0"/>
      <w:adjustRightInd w:val="0"/>
      <w:spacing w:line="288" w:lineRule="auto"/>
      <w:ind w:left="1260" w:hanging="420"/>
      <w:jc w:val="left"/>
      <w:textAlignment w:val="baseline"/>
    </w:pPr>
    <w:rPr>
      <w:kern w:val="0"/>
      <w:sz w:val="24"/>
      <w:szCs w:val="20"/>
    </w:rPr>
  </w:style>
  <w:style w:type="paragraph" w:styleId="7">
    <w:name w:val="Normal Indent"/>
    <w:basedOn w:val="1"/>
    <w:next w:val="1"/>
    <w:link w:val="38"/>
    <w:qFormat/>
    <w:locked/>
    <w:uiPriority w:val="0"/>
    <w:pPr>
      <w:ind w:firstLine="420" w:firstLineChars="200"/>
    </w:pPr>
  </w:style>
  <w:style w:type="paragraph" w:styleId="8">
    <w:name w:val="caption"/>
    <w:basedOn w:val="1"/>
    <w:next w:val="1"/>
    <w:link w:val="39"/>
    <w:qFormat/>
    <w:locked/>
    <w:uiPriority w:val="0"/>
    <w:pPr>
      <w:adjustRightInd w:val="0"/>
      <w:snapToGrid w:val="0"/>
      <w:ind w:firstLine="200" w:firstLineChars="200"/>
      <w:jc w:val="center"/>
      <w:textAlignment w:val="baseline"/>
    </w:pPr>
    <w:rPr>
      <w:b/>
      <w:bCs/>
      <w:sz w:val="18"/>
      <w:szCs w:val="18"/>
    </w:rPr>
  </w:style>
  <w:style w:type="paragraph" w:styleId="9">
    <w:name w:val="Document Map"/>
    <w:basedOn w:val="1"/>
    <w:link w:val="40"/>
    <w:unhideWhenUsed/>
    <w:qFormat/>
    <w:locked/>
    <w:uiPriority w:val="99"/>
    <w:pPr>
      <w:widowControl/>
      <w:adjustRightInd w:val="0"/>
      <w:snapToGrid w:val="0"/>
      <w:spacing w:line="360" w:lineRule="auto"/>
      <w:ind w:firstLine="200" w:firstLineChars="200"/>
    </w:pPr>
    <w:rPr>
      <w:rFonts w:ascii="宋体" w:hAnsi="Calibri"/>
      <w:sz w:val="18"/>
      <w:szCs w:val="18"/>
      <w:lang w:bidi="en-US"/>
    </w:rPr>
  </w:style>
  <w:style w:type="paragraph" w:styleId="10">
    <w:name w:val="annotation text"/>
    <w:basedOn w:val="1"/>
    <w:link w:val="41"/>
    <w:qFormat/>
    <w:uiPriority w:val="99"/>
    <w:pPr>
      <w:jc w:val="left"/>
    </w:pPr>
    <w:rPr>
      <w:kern w:val="0"/>
      <w:sz w:val="24"/>
      <w:szCs w:val="20"/>
    </w:rPr>
  </w:style>
  <w:style w:type="paragraph" w:styleId="11">
    <w:name w:val="Body Text 3"/>
    <w:basedOn w:val="1"/>
    <w:link w:val="42"/>
    <w:qFormat/>
    <w:locked/>
    <w:uiPriority w:val="0"/>
    <w:pPr>
      <w:spacing w:after="120"/>
    </w:pPr>
    <w:rPr>
      <w:sz w:val="16"/>
      <w:szCs w:val="16"/>
    </w:rPr>
  </w:style>
  <w:style w:type="paragraph" w:styleId="12">
    <w:name w:val="Body Text"/>
    <w:basedOn w:val="1"/>
    <w:next w:val="13"/>
    <w:link w:val="43"/>
    <w:qFormat/>
    <w:uiPriority w:val="0"/>
    <w:pPr>
      <w:widowControl/>
      <w:snapToGrid w:val="0"/>
      <w:spacing w:before="60" w:after="160" w:line="259" w:lineRule="auto"/>
      <w:ind w:right="113"/>
    </w:pPr>
    <w:rPr>
      <w:kern w:val="0"/>
      <w:sz w:val="18"/>
      <w:szCs w:val="20"/>
    </w:rPr>
  </w:style>
  <w:style w:type="paragraph" w:styleId="13">
    <w:name w:val="Body Text Indent"/>
    <w:basedOn w:val="1"/>
    <w:link w:val="44"/>
    <w:qFormat/>
    <w:uiPriority w:val="0"/>
    <w:pPr>
      <w:spacing w:after="120"/>
      <w:ind w:left="420" w:leftChars="200"/>
    </w:pPr>
    <w:rPr>
      <w:kern w:val="0"/>
      <w:sz w:val="24"/>
      <w:szCs w:val="20"/>
    </w:rPr>
  </w:style>
  <w:style w:type="paragraph" w:styleId="14">
    <w:name w:val="Plain Text"/>
    <w:basedOn w:val="1"/>
    <w:link w:val="45"/>
    <w:qFormat/>
    <w:locked/>
    <w:uiPriority w:val="0"/>
    <w:rPr>
      <w:rFonts w:ascii="宋体" w:hAnsi="Courier New"/>
      <w:szCs w:val="20"/>
    </w:rPr>
  </w:style>
  <w:style w:type="paragraph" w:styleId="15">
    <w:name w:val="Date"/>
    <w:basedOn w:val="1"/>
    <w:next w:val="1"/>
    <w:link w:val="46"/>
    <w:qFormat/>
    <w:uiPriority w:val="0"/>
    <w:pPr>
      <w:ind w:left="100" w:leftChars="2500"/>
    </w:pPr>
    <w:rPr>
      <w:kern w:val="0"/>
      <w:sz w:val="24"/>
      <w:szCs w:val="20"/>
    </w:rPr>
  </w:style>
  <w:style w:type="paragraph" w:styleId="16">
    <w:name w:val="Body Text Indent 2"/>
    <w:basedOn w:val="1"/>
    <w:link w:val="47"/>
    <w:qFormat/>
    <w:locked/>
    <w:uiPriority w:val="0"/>
    <w:pPr>
      <w:spacing w:after="120" w:line="480" w:lineRule="auto"/>
      <w:ind w:left="420" w:leftChars="200"/>
    </w:pPr>
  </w:style>
  <w:style w:type="paragraph" w:styleId="17">
    <w:name w:val="Balloon Text"/>
    <w:basedOn w:val="1"/>
    <w:link w:val="48"/>
    <w:semiHidden/>
    <w:qFormat/>
    <w:uiPriority w:val="0"/>
    <w:rPr>
      <w:kern w:val="0"/>
      <w:sz w:val="18"/>
      <w:szCs w:val="20"/>
    </w:rPr>
  </w:style>
  <w:style w:type="paragraph" w:styleId="18">
    <w:name w:val="footer"/>
    <w:basedOn w:val="1"/>
    <w:link w:val="49"/>
    <w:qFormat/>
    <w:uiPriority w:val="99"/>
    <w:pPr>
      <w:tabs>
        <w:tab w:val="center" w:pos="4153"/>
        <w:tab w:val="right" w:pos="8306"/>
      </w:tabs>
      <w:snapToGrid w:val="0"/>
      <w:jc w:val="left"/>
    </w:pPr>
    <w:rPr>
      <w:kern w:val="0"/>
      <w:sz w:val="18"/>
      <w:szCs w:val="20"/>
    </w:rPr>
  </w:style>
  <w:style w:type="paragraph" w:styleId="19">
    <w:name w:val="header"/>
    <w:basedOn w:val="1"/>
    <w:link w:val="50"/>
    <w:qFormat/>
    <w:uiPriority w:val="0"/>
    <w:pPr>
      <w:pBdr>
        <w:bottom w:val="single" w:color="auto" w:sz="6" w:space="1"/>
      </w:pBdr>
      <w:tabs>
        <w:tab w:val="center" w:pos="4153"/>
        <w:tab w:val="right" w:pos="8306"/>
      </w:tabs>
      <w:snapToGrid w:val="0"/>
      <w:jc w:val="center"/>
    </w:pPr>
    <w:rPr>
      <w:kern w:val="0"/>
      <w:sz w:val="18"/>
      <w:szCs w:val="20"/>
    </w:rPr>
  </w:style>
  <w:style w:type="paragraph" w:styleId="20">
    <w:name w:val="toc 1"/>
    <w:basedOn w:val="1"/>
    <w:next w:val="1"/>
    <w:qFormat/>
    <w:locked/>
    <w:uiPriority w:val="39"/>
    <w:pPr>
      <w:adjustRightInd w:val="0"/>
      <w:spacing w:line="360" w:lineRule="auto"/>
    </w:pPr>
    <w:rPr>
      <w:rFonts w:ascii="Dutch801 Rm BT" w:hAnsi="Dutch801 Rm BT" w:cs="Dutch801 Rm BT"/>
      <w:b/>
      <w:bCs/>
      <w:caps/>
      <w:sz w:val="24"/>
    </w:rPr>
  </w:style>
  <w:style w:type="paragraph" w:styleId="21">
    <w:name w:val="index heading"/>
    <w:basedOn w:val="1"/>
    <w:next w:val="22"/>
    <w:semiHidden/>
    <w:qFormat/>
    <w:locked/>
    <w:uiPriority w:val="0"/>
  </w:style>
  <w:style w:type="paragraph" w:styleId="22">
    <w:name w:val="index 1"/>
    <w:basedOn w:val="1"/>
    <w:next w:val="1"/>
    <w:qFormat/>
    <w:locked/>
    <w:uiPriority w:val="0"/>
  </w:style>
  <w:style w:type="paragraph" w:styleId="23">
    <w:name w:val="table of figures"/>
    <w:basedOn w:val="1"/>
    <w:next w:val="1"/>
    <w:qFormat/>
    <w:locked/>
    <w:uiPriority w:val="0"/>
    <w:pPr>
      <w:ind w:left="200" w:leftChars="200" w:hanging="200" w:hangingChars="200"/>
    </w:pPr>
  </w:style>
  <w:style w:type="paragraph" w:styleId="24">
    <w:name w:val="toc 2"/>
    <w:basedOn w:val="1"/>
    <w:next w:val="1"/>
    <w:qFormat/>
    <w:locked/>
    <w:uiPriority w:val="39"/>
    <w:pPr>
      <w:ind w:left="210"/>
      <w:jc w:val="left"/>
    </w:pPr>
    <w:rPr>
      <w:rFonts w:ascii="等线" w:eastAsia="等线"/>
      <w:smallCaps/>
      <w:sz w:val="20"/>
      <w:szCs w:val="20"/>
    </w:rPr>
  </w:style>
  <w:style w:type="paragraph" w:styleId="25">
    <w:name w:val="Body Text 2"/>
    <w:basedOn w:val="1"/>
    <w:link w:val="51"/>
    <w:qFormat/>
    <w:locked/>
    <w:uiPriority w:val="0"/>
    <w:pPr>
      <w:spacing w:after="120" w:line="480" w:lineRule="auto"/>
    </w:pPr>
  </w:style>
  <w:style w:type="paragraph" w:styleId="26">
    <w:name w:val="Normal (Web)"/>
    <w:basedOn w:val="1"/>
    <w:link w:val="52"/>
    <w:qFormat/>
    <w:uiPriority w:val="99"/>
    <w:pPr>
      <w:widowControl/>
      <w:spacing w:before="100" w:beforeAutospacing="1" w:after="100" w:afterAutospacing="1"/>
      <w:jc w:val="left"/>
    </w:pPr>
    <w:rPr>
      <w:rFonts w:ascii="宋体" w:hAnsi="宋体"/>
      <w:kern w:val="0"/>
      <w:sz w:val="24"/>
      <w:szCs w:val="20"/>
    </w:rPr>
  </w:style>
  <w:style w:type="paragraph" w:styleId="27">
    <w:name w:val="annotation subject"/>
    <w:basedOn w:val="10"/>
    <w:next w:val="10"/>
    <w:link w:val="53"/>
    <w:semiHidden/>
    <w:qFormat/>
    <w:uiPriority w:val="0"/>
    <w:rPr>
      <w:b/>
      <w:kern w:val="2"/>
    </w:rPr>
  </w:style>
  <w:style w:type="paragraph" w:styleId="28">
    <w:name w:val="Body Text First Indent"/>
    <w:basedOn w:val="1"/>
    <w:next w:val="1"/>
    <w:qFormat/>
    <w:locked/>
    <w:uiPriority w:val="0"/>
    <w:pPr>
      <w:ind w:firstLine="420" w:firstLineChars="100"/>
    </w:pPr>
  </w:style>
  <w:style w:type="paragraph" w:styleId="29">
    <w:name w:val="Body Text First Indent 2"/>
    <w:basedOn w:val="13"/>
    <w:qFormat/>
    <w:locked/>
    <w:uiPriority w:val="0"/>
    <w:pPr>
      <w:widowControl/>
      <w:ind w:firstLine="420" w:firstLineChars="200"/>
      <w:jc w:val="left"/>
    </w:pPr>
    <w:rPr>
      <w:rFonts w:ascii="宋体" w:hAnsi="宋体" w:cs="宋体"/>
      <w:sz w:val="21"/>
      <w:szCs w:val="24"/>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locked/>
    <w:uiPriority w:val="22"/>
    <w:rPr>
      <w:b/>
      <w:bCs/>
    </w:rPr>
  </w:style>
  <w:style w:type="character" w:styleId="34">
    <w:name w:val="page number"/>
    <w:basedOn w:val="32"/>
    <w:qFormat/>
    <w:locked/>
    <w:uiPriority w:val="0"/>
  </w:style>
  <w:style w:type="character" w:styleId="35">
    <w:name w:val="Hyperlink"/>
    <w:qFormat/>
    <w:locked/>
    <w:uiPriority w:val="0"/>
    <w:rPr>
      <w:color w:val="0000FF"/>
      <w:u w:val="single"/>
    </w:rPr>
  </w:style>
  <w:style w:type="character" w:styleId="36">
    <w:name w:val="annotation reference"/>
    <w:semiHidden/>
    <w:qFormat/>
    <w:uiPriority w:val="0"/>
    <w:rPr>
      <w:sz w:val="21"/>
    </w:rPr>
  </w:style>
  <w:style w:type="character" w:customStyle="1" w:styleId="37">
    <w:name w:val="标题 2 Char"/>
    <w:basedOn w:val="32"/>
    <w:link w:val="3"/>
    <w:qFormat/>
    <w:uiPriority w:val="9"/>
    <w:rPr>
      <w:rFonts w:ascii="Cambria" w:hAnsi="Cambria"/>
      <w:b/>
      <w:bCs/>
      <w:kern w:val="2"/>
      <w:sz w:val="32"/>
      <w:szCs w:val="32"/>
    </w:rPr>
  </w:style>
  <w:style w:type="character" w:customStyle="1" w:styleId="38">
    <w:name w:val="正文缩进 Char"/>
    <w:link w:val="7"/>
    <w:qFormat/>
    <w:uiPriority w:val="0"/>
    <w:rPr>
      <w:kern w:val="2"/>
      <w:sz w:val="21"/>
      <w:szCs w:val="24"/>
    </w:rPr>
  </w:style>
  <w:style w:type="character" w:customStyle="1" w:styleId="39">
    <w:name w:val="题注 Char"/>
    <w:link w:val="8"/>
    <w:qFormat/>
    <w:uiPriority w:val="0"/>
    <w:rPr>
      <w:b/>
      <w:bCs/>
      <w:kern w:val="2"/>
      <w:sz w:val="18"/>
      <w:szCs w:val="18"/>
    </w:rPr>
  </w:style>
  <w:style w:type="character" w:customStyle="1" w:styleId="40">
    <w:name w:val="文档结构图 Char"/>
    <w:basedOn w:val="32"/>
    <w:link w:val="9"/>
    <w:qFormat/>
    <w:uiPriority w:val="99"/>
    <w:rPr>
      <w:rFonts w:ascii="宋体" w:hAnsi="Calibri" w:cs="Times New Roman"/>
      <w:kern w:val="2"/>
      <w:sz w:val="18"/>
      <w:szCs w:val="18"/>
      <w:lang w:bidi="en-US"/>
    </w:rPr>
  </w:style>
  <w:style w:type="character" w:customStyle="1" w:styleId="41">
    <w:name w:val="批注文字 Char"/>
    <w:link w:val="10"/>
    <w:qFormat/>
    <w:locked/>
    <w:uiPriority w:val="99"/>
    <w:rPr>
      <w:rFonts w:ascii="Times New Roman" w:hAnsi="Times New Roman" w:eastAsia="宋体"/>
      <w:sz w:val="24"/>
    </w:rPr>
  </w:style>
  <w:style w:type="character" w:customStyle="1" w:styleId="42">
    <w:name w:val="正文文本 3 Char"/>
    <w:link w:val="11"/>
    <w:qFormat/>
    <w:uiPriority w:val="0"/>
    <w:rPr>
      <w:kern w:val="2"/>
      <w:sz w:val="16"/>
      <w:szCs w:val="16"/>
    </w:rPr>
  </w:style>
  <w:style w:type="character" w:customStyle="1" w:styleId="43">
    <w:name w:val="正文文本 Char"/>
    <w:link w:val="12"/>
    <w:qFormat/>
    <w:locked/>
    <w:uiPriority w:val="0"/>
    <w:rPr>
      <w:sz w:val="18"/>
    </w:rPr>
  </w:style>
  <w:style w:type="character" w:customStyle="1" w:styleId="44">
    <w:name w:val="正文文本缩进 Char"/>
    <w:link w:val="13"/>
    <w:semiHidden/>
    <w:qFormat/>
    <w:locked/>
    <w:uiPriority w:val="0"/>
    <w:rPr>
      <w:rFonts w:ascii="Times New Roman" w:hAnsi="Times New Roman" w:eastAsia="宋体"/>
      <w:sz w:val="24"/>
    </w:rPr>
  </w:style>
  <w:style w:type="character" w:customStyle="1" w:styleId="45">
    <w:name w:val="纯文本 Char"/>
    <w:link w:val="14"/>
    <w:qFormat/>
    <w:uiPriority w:val="0"/>
    <w:rPr>
      <w:rFonts w:ascii="宋体" w:hAnsi="Courier New" w:cs="Dutch801 Rm BT"/>
      <w:kern w:val="2"/>
      <w:sz w:val="21"/>
    </w:rPr>
  </w:style>
  <w:style w:type="character" w:customStyle="1" w:styleId="46">
    <w:name w:val="日期 Char"/>
    <w:link w:val="15"/>
    <w:qFormat/>
    <w:locked/>
    <w:uiPriority w:val="0"/>
    <w:rPr>
      <w:rFonts w:ascii="Times New Roman" w:hAnsi="Times New Roman" w:eastAsia="宋体"/>
      <w:sz w:val="24"/>
    </w:rPr>
  </w:style>
  <w:style w:type="character" w:customStyle="1" w:styleId="47">
    <w:name w:val="正文文本缩进 2 Char"/>
    <w:link w:val="16"/>
    <w:qFormat/>
    <w:uiPriority w:val="0"/>
    <w:rPr>
      <w:kern w:val="2"/>
      <w:sz w:val="21"/>
      <w:szCs w:val="24"/>
    </w:rPr>
  </w:style>
  <w:style w:type="character" w:customStyle="1" w:styleId="48">
    <w:name w:val="批注框文本 Char"/>
    <w:link w:val="17"/>
    <w:semiHidden/>
    <w:qFormat/>
    <w:locked/>
    <w:uiPriority w:val="0"/>
    <w:rPr>
      <w:rFonts w:ascii="Times New Roman" w:hAnsi="Times New Roman" w:eastAsia="宋体"/>
      <w:sz w:val="18"/>
    </w:rPr>
  </w:style>
  <w:style w:type="character" w:customStyle="1" w:styleId="49">
    <w:name w:val="页脚 Char"/>
    <w:link w:val="18"/>
    <w:qFormat/>
    <w:locked/>
    <w:uiPriority w:val="99"/>
    <w:rPr>
      <w:sz w:val="18"/>
    </w:rPr>
  </w:style>
  <w:style w:type="character" w:customStyle="1" w:styleId="50">
    <w:name w:val="页眉 Char"/>
    <w:link w:val="19"/>
    <w:qFormat/>
    <w:locked/>
    <w:uiPriority w:val="0"/>
    <w:rPr>
      <w:sz w:val="18"/>
    </w:rPr>
  </w:style>
  <w:style w:type="character" w:customStyle="1" w:styleId="51">
    <w:name w:val="正文文本 2 Char"/>
    <w:basedOn w:val="32"/>
    <w:link w:val="25"/>
    <w:qFormat/>
    <w:uiPriority w:val="0"/>
    <w:rPr>
      <w:kern w:val="2"/>
      <w:sz w:val="21"/>
      <w:szCs w:val="24"/>
    </w:rPr>
  </w:style>
  <w:style w:type="character" w:customStyle="1" w:styleId="52">
    <w:name w:val="普通(网站) Char"/>
    <w:link w:val="26"/>
    <w:qFormat/>
    <w:locked/>
    <w:uiPriority w:val="0"/>
    <w:rPr>
      <w:rFonts w:ascii="宋体" w:hAnsi="宋体" w:eastAsia="宋体"/>
      <w:sz w:val="24"/>
    </w:rPr>
  </w:style>
  <w:style w:type="character" w:customStyle="1" w:styleId="53">
    <w:name w:val="批注主题 Char"/>
    <w:link w:val="27"/>
    <w:semiHidden/>
    <w:qFormat/>
    <w:locked/>
    <w:uiPriority w:val="0"/>
    <w:rPr>
      <w:rFonts w:ascii="Times New Roman" w:hAnsi="Times New Roman" w:eastAsia="宋体"/>
      <w:b/>
      <w:kern w:val="2"/>
      <w:sz w:val="24"/>
    </w:rPr>
  </w:style>
  <w:style w:type="paragraph" w:customStyle="1" w:styleId="54">
    <w:name w:val="Default"/>
    <w:basedOn w:val="55"/>
    <w:next w:val="6"/>
    <w:qFormat/>
    <w:uiPriority w:val="0"/>
    <w:pPr>
      <w:autoSpaceDE w:val="0"/>
      <w:autoSpaceDN w:val="0"/>
      <w:adjustRightInd w:val="0"/>
    </w:pPr>
    <w:rPr>
      <w:rFonts w:ascii="幼圆" w:hAnsi="Times New Roman" w:eastAsia="幼圆"/>
      <w:color w:val="000000"/>
      <w:sz w:val="24"/>
    </w:rPr>
  </w:style>
  <w:style w:type="paragraph" w:customStyle="1" w:styleId="55">
    <w:name w:val="纯文本1"/>
    <w:basedOn w:val="1"/>
    <w:qFormat/>
    <w:uiPriority w:val="0"/>
    <w:pPr>
      <w:textAlignment w:val="baseline"/>
    </w:pPr>
    <w:rPr>
      <w:rFonts w:ascii="宋体" w:hAnsi="Courier New"/>
      <w:sz w:val="28"/>
    </w:rPr>
  </w:style>
  <w:style w:type="paragraph" w:customStyle="1" w:styleId="56">
    <w:name w:val="样式 正文缩进正文缩进2正文缩进 Char Char正文缩进 Char Char Char Char正文缩进 Char ..."/>
    <w:basedOn w:val="7"/>
    <w:qFormat/>
    <w:uiPriority w:val="0"/>
    <w:pPr>
      <w:spacing w:line="360" w:lineRule="auto"/>
      <w:ind w:firstLine="200" w:firstLineChars="0"/>
    </w:pPr>
    <w:rPr>
      <w:rFonts w:ascii="宋体" w:hAnsi="宋体" w:cs="宋体"/>
      <w:sz w:val="24"/>
      <w:szCs w:val="20"/>
    </w:rPr>
  </w:style>
  <w:style w:type="character" w:customStyle="1" w:styleId="57">
    <w:name w:val="表格 Char Char"/>
    <w:qFormat/>
    <w:uiPriority w:val="0"/>
    <w:rPr>
      <w:kern w:val="2"/>
      <w:sz w:val="24"/>
      <w:szCs w:val="24"/>
    </w:rPr>
  </w:style>
  <w:style w:type="character" w:customStyle="1" w:styleId="58">
    <w:name w:val="表格 Char"/>
    <w:link w:val="59"/>
    <w:qFormat/>
    <w:locked/>
    <w:uiPriority w:val="0"/>
    <w:rPr>
      <w:rFonts w:ascii="宋体"/>
      <w:sz w:val="21"/>
    </w:rPr>
  </w:style>
  <w:style w:type="paragraph" w:customStyle="1" w:styleId="59">
    <w:name w:val="表格"/>
    <w:basedOn w:val="23"/>
    <w:next w:val="1"/>
    <w:link w:val="58"/>
    <w:qFormat/>
    <w:uiPriority w:val="0"/>
    <w:pPr>
      <w:adjustRightInd w:val="0"/>
      <w:snapToGrid w:val="0"/>
      <w:spacing w:beforeLines="10" w:afterLines="10" w:line="259" w:lineRule="auto"/>
      <w:jc w:val="center"/>
    </w:pPr>
    <w:rPr>
      <w:rFonts w:ascii="宋体"/>
      <w:kern w:val="0"/>
      <w:szCs w:val="20"/>
    </w:rPr>
  </w:style>
  <w:style w:type="character" w:customStyle="1" w:styleId="60">
    <w:name w:val="表格内容 Char"/>
    <w:link w:val="61"/>
    <w:qFormat/>
    <w:locked/>
    <w:uiPriority w:val="0"/>
    <w:rPr>
      <w:rFonts w:ascii="宋体"/>
      <w:color w:val="000000"/>
      <w:kern w:val="2"/>
      <w:sz w:val="21"/>
      <w:szCs w:val="18"/>
    </w:rPr>
  </w:style>
  <w:style w:type="paragraph" w:customStyle="1" w:styleId="61">
    <w:name w:val="表格内容"/>
    <w:basedOn w:val="1"/>
    <w:link w:val="60"/>
    <w:qFormat/>
    <w:uiPriority w:val="0"/>
    <w:pPr>
      <w:adjustRightInd w:val="0"/>
      <w:snapToGrid w:val="0"/>
      <w:jc w:val="center"/>
    </w:pPr>
    <w:rPr>
      <w:rFonts w:ascii="宋体"/>
      <w:color w:val="000000"/>
      <w:szCs w:val="18"/>
    </w:rPr>
  </w:style>
  <w:style w:type="character" w:customStyle="1" w:styleId="62">
    <w:name w:val="正文四号 Char"/>
    <w:link w:val="63"/>
    <w:qFormat/>
    <w:uiPriority w:val="0"/>
    <w:rPr>
      <w:rFonts w:cs="宋体"/>
      <w:kern w:val="2"/>
      <w:sz w:val="24"/>
      <w:szCs w:val="24"/>
    </w:rPr>
  </w:style>
  <w:style w:type="paragraph" w:customStyle="1" w:styleId="63">
    <w:name w:val="正文四号"/>
    <w:basedOn w:val="1"/>
    <w:link w:val="62"/>
    <w:qFormat/>
    <w:uiPriority w:val="0"/>
    <w:pPr>
      <w:spacing w:line="360" w:lineRule="auto"/>
      <w:ind w:firstLine="200" w:firstLineChars="200"/>
    </w:pPr>
    <w:rPr>
      <w:sz w:val="24"/>
    </w:rPr>
  </w:style>
  <w:style w:type="character" w:customStyle="1" w:styleId="64">
    <w:name w:val="表头 Char Char"/>
    <w:link w:val="65"/>
    <w:qFormat/>
    <w:uiPriority w:val="0"/>
    <w:rPr>
      <w:rFonts w:ascii="宋体" w:hAnsi="宋体"/>
      <w:kern w:val="2"/>
      <w:sz w:val="21"/>
    </w:rPr>
  </w:style>
  <w:style w:type="paragraph" w:customStyle="1" w:styleId="65">
    <w:name w:val="表头"/>
    <w:basedOn w:val="12"/>
    <w:next w:val="1"/>
    <w:link w:val="64"/>
    <w:qFormat/>
    <w:uiPriority w:val="0"/>
    <w:pPr>
      <w:spacing w:before="120" w:afterLines="25"/>
      <w:jc w:val="center"/>
    </w:pPr>
    <w:rPr>
      <w:rFonts w:ascii="宋体" w:hAnsi="宋体"/>
      <w:szCs w:val="20"/>
    </w:rPr>
  </w:style>
  <w:style w:type="character" w:customStyle="1" w:styleId="66">
    <w:name w:val="纯文本 Char1"/>
    <w:basedOn w:val="32"/>
    <w:qFormat/>
    <w:uiPriority w:val="0"/>
    <w:rPr>
      <w:rFonts w:ascii="宋体" w:hAnsi="Courier New" w:cs="Courier New"/>
      <w:kern w:val="2"/>
      <w:sz w:val="21"/>
      <w:szCs w:val="21"/>
    </w:rPr>
  </w:style>
  <w:style w:type="character" w:customStyle="1" w:styleId="67">
    <w:name w:val="表中文字 Char1"/>
    <w:link w:val="68"/>
    <w:qFormat/>
    <w:uiPriority w:val="0"/>
    <w:rPr>
      <w:kern w:val="2"/>
      <w:sz w:val="21"/>
      <w:szCs w:val="24"/>
    </w:rPr>
  </w:style>
  <w:style w:type="paragraph" w:customStyle="1" w:styleId="68">
    <w:name w:val="表中文字"/>
    <w:basedOn w:val="1"/>
    <w:link w:val="67"/>
    <w:qFormat/>
    <w:uiPriority w:val="0"/>
    <w:pPr>
      <w:adjustRightInd w:val="0"/>
      <w:snapToGrid w:val="0"/>
      <w:spacing w:line="360" w:lineRule="exact"/>
      <w:jc w:val="center"/>
    </w:pPr>
  </w:style>
  <w:style w:type="character" w:customStyle="1" w:styleId="69">
    <w:name w:val="正文文本缩进 2 Char1"/>
    <w:basedOn w:val="32"/>
    <w:qFormat/>
    <w:uiPriority w:val="0"/>
    <w:rPr>
      <w:kern w:val="2"/>
      <w:sz w:val="21"/>
      <w:szCs w:val="24"/>
    </w:rPr>
  </w:style>
  <w:style w:type="character" w:customStyle="1" w:styleId="70">
    <w:name w:val="新格式表 Char Char"/>
    <w:link w:val="71"/>
    <w:qFormat/>
    <w:uiPriority w:val="0"/>
    <w:rPr>
      <w:snapToGrid w:val="0"/>
      <w:color w:val="FF0000"/>
      <w:kern w:val="2"/>
      <w:sz w:val="21"/>
      <w:szCs w:val="21"/>
    </w:rPr>
  </w:style>
  <w:style w:type="paragraph" w:customStyle="1" w:styleId="71">
    <w:name w:val="新格式表"/>
    <w:basedOn w:val="1"/>
    <w:link w:val="70"/>
    <w:qFormat/>
    <w:uiPriority w:val="0"/>
    <w:pPr>
      <w:jc w:val="center"/>
    </w:pPr>
    <w:rPr>
      <w:snapToGrid w:val="0"/>
      <w:color w:val="FF0000"/>
      <w:szCs w:val="21"/>
    </w:rPr>
  </w:style>
  <w:style w:type="character" w:customStyle="1" w:styleId="72">
    <w:name w:val="本文正文 Char"/>
    <w:link w:val="73"/>
    <w:qFormat/>
    <w:uiPriority w:val="0"/>
    <w:rPr>
      <w:color w:val="000000"/>
      <w:kern w:val="2"/>
      <w:sz w:val="24"/>
      <w:szCs w:val="22"/>
    </w:rPr>
  </w:style>
  <w:style w:type="paragraph" w:customStyle="1" w:styleId="73">
    <w:name w:val="本文正文"/>
    <w:basedOn w:val="1"/>
    <w:link w:val="72"/>
    <w:qFormat/>
    <w:uiPriority w:val="0"/>
    <w:pPr>
      <w:adjustRightInd w:val="0"/>
      <w:snapToGrid w:val="0"/>
      <w:spacing w:line="440" w:lineRule="exact"/>
      <w:ind w:firstLine="480" w:firstLineChars="200"/>
      <w:textAlignment w:val="baseline"/>
    </w:pPr>
    <w:rPr>
      <w:color w:val="000000"/>
      <w:sz w:val="24"/>
      <w:szCs w:val="22"/>
    </w:rPr>
  </w:style>
  <w:style w:type="character" w:customStyle="1" w:styleId="74">
    <w:name w:val="批注文字 字符1"/>
    <w:semiHidden/>
    <w:qFormat/>
    <w:uiPriority w:val="0"/>
    <w:rPr>
      <w:rFonts w:ascii="Times New Roman" w:hAnsi="Times New Roman" w:eastAsia="宋体"/>
      <w:sz w:val="24"/>
    </w:rPr>
  </w:style>
  <w:style w:type="character" w:customStyle="1" w:styleId="75">
    <w:name w:val="表头1 Char"/>
    <w:link w:val="76"/>
    <w:qFormat/>
    <w:uiPriority w:val="0"/>
    <w:rPr>
      <w:rFonts w:eastAsia="黑体"/>
      <w:sz w:val="21"/>
      <w:szCs w:val="28"/>
    </w:rPr>
  </w:style>
  <w:style w:type="paragraph" w:customStyle="1" w:styleId="76">
    <w:name w:val="表头1"/>
    <w:basedOn w:val="1"/>
    <w:next w:val="1"/>
    <w:link w:val="75"/>
    <w:qFormat/>
    <w:uiPriority w:val="0"/>
    <w:pPr>
      <w:adjustRightInd w:val="0"/>
      <w:snapToGrid w:val="0"/>
      <w:spacing w:line="400" w:lineRule="exact"/>
      <w:jc w:val="center"/>
    </w:pPr>
    <w:rPr>
      <w:rFonts w:eastAsia="黑体"/>
      <w:kern w:val="0"/>
      <w:szCs w:val="28"/>
    </w:rPr>
  </w:style>
  <w:style w:type="character" w:customStyle="1" w:styleId="77">
    <w:name w:val="样式 小四1 Char"/>
    <w:link w:val="78"/>
    <w:qFormat/>
    <w:uiPriority w:val="0"/>
    <w:rPr>
      <w:kern w:val="2"/>
      <w:sz w:val="24"/>
      <w:szCs w:val="32"/>
      <w:lang w:val="en-US" w:eastAsia="zh-CN" w:bidi="ar-SA"/>
    </w:rPr>
  </w:style>
  <w:style w:type="paragraph" w:customStyle="1" w:styleId="78">
    <w:name w:val="样式 小四1"/>
    <w:link w:val="77"/>
    <w:qFormat/>
    <w:uiPriority w:val="0"/>
    <w:pPr>
      <w:spacing w:line="480" w:lineRule="exact"/>
      <w:jc w:val="both"/>
    </w:pPr>
    <w:rPr>
      <w:rFonts w:ascii="Times New Roman" w:hAnsi="Times New Roman" w:eastAsia="宋体" w:cs="Times New Roman"/>
      <w:kern w:val="2"/>
      <w:sz w:val="24"/>
      <w:szCs w:val="32"/>
      <w:lang w:val="en-US" w:eastAsia="zh-CN" w:bidi="ar-SA"/>
    </w:rPr>
  </w:style>
  <w:style w:type="character" w:customStyle="1" w:styleId="79">
    <w:name w:val="正文111111111 Char"/>
    <w:link w:val="80"/>
    <w:qFormat/>
    <w:uiPriority w:val="0"/>
    <w:rPr>
      <w:rFonts w:cs="宋体"/>
      <w:kern w:val="2"/>
      <w:sz w:val="24"/>
    </w:rPr>
  </w:style>
  <w:style w:type="paragraph" w:customStyle="1" w:styleId="80">
    <w:name w:val="正文111111111"/>
    <w:basedOn w:val="1"/>
    <w:link w:val="79"/>
    <w:qFormat/>
    <w:uiPriority w:val="0"/>
    <w:pPr>
      <w:spacing w:line="360" w:lineRule="auto"/>
      <w:ind w:firstLine="480" w:firstLineChars="200"/>
    </w:pPr>
    <w:rPr>
      <w:sz w:val="24"/>
      <w:szCs w:val="20"/>
    </w:rPr>
  </w:style>
  <w:style w:type="character" w:customStyle="1" w:styleId="81">
    <w:name w:val="正文文本 字符1"/>
    <w:semiHidden/>
    <w:qFormat/>
    <w:uiPriority w:val="0"/>
    <w:rPr>
      <w:rFonts w:ascii="Times New Roman" w:hAnsi="Times New Roman" w:eastAsia="宋体"/>
      <w:sz w:val="24"/>
    </w:rPr>
  </w:style>
  <w:style w:type="character" w:customStyle="1" w:styleId="82">
    <w:name w:val="日期 字符"/>
    <w:semiHidden/>
    <w:qFormat/>
    <w:uiPriority w:val="0"/>
    <w:rPr>
      <w:rFonts w:ascii="Times New Roman" w:hAnsi="Times New Roman" w:eastAsia="宋体"/>
      <w:sz w:val="24"/>
    </w:rPr>
  </w:style>
  <w:style w:type="character" w:customStyle="1" w:styleId="83">
    <w:name w:val="正文文本 3 Char1"/>
    <w:basedOn w:val="32"/>
    <w:qFormat/>
    <w:uiPriority w:val="0"/>
    <w:rPr>
      <w:kern w:val="2"/>
      <w:sz w:val="16"/>
      <w:szCs w:val="16"/>
    </w:rPr>
  </w:style>
  <w:style w:type="character" w:customStyle="1" w:styleId="84">
    <w:name w:val="页脚 字符"/>
    <w:basedOn w:val="32"/>
    <w:qFormat/>
    <w:uiPriority w:val="99"/>
  </w:style>
  <w:style w:type="character" w:customStyle="1" w:styleId="85">
    <w:name w:val="font11"/>
    <w:basedOn w:val="32"/>
    <w:qFormat/>
    <w:uiPriority w:val="0"/>
    <w:rPr>
      <w:rFonts w:hint="default" w:ascii="Times New Roman" w:hAnsi="Times New Roman" w:cs="Times New Roman"/>
      <w:color w:val="000000"/>
      <w:sz w:val="21"/>
      <w:szCs w:val="21"/>
      <w:u w:val="none"/>
    </w:rPr>
  </w:style>
  <w:style w:type="character" w:customStyle="1" w:styleId="86">
    <w:name w:val="font01"/>
    <w:basedOn w:val="32"/>
    <w:qFormat/>
    <w:uiPriority w:val="0"/>
    <w:rPr>
      <w:rFonts w:hint="eastAsia" w:ascii="宋体" w:hAnsi="宋体" w:eastAsia="宋体" w:cs="宋体"/>
      <w:color w:val="000000"/>
      <w:sz w:val="21"/>
      <w:szCs w:val="21"/>
      <w:u w:val="none"/>
    </w:rPr>
  </w:style>
  <w:style w:type="paragraph" w:customStyle="1" w:styleId="87">
    <w:name w:val="表格内居中文字"/>
    <w:basedOn w:val="1"/>
    <w:qFormat/>
    <w:uiPriority w:val="0"/>
    <w:pPr>
      <w:spacing w:line="320" w:lineRule="atLeast"/>
      <w:jc w:val="center"/>
    </w:pPr>
    <w:rPr>
      <w:rFonts w:ascii="Calibri" w:hAnsi="Calibri"/>
      <w:sz w:val="22"/>
    </w:rPr>
  </w:style>
  <w:style w:type="paragraph" w:customStyle="1" w:styleId="88">
    <w:name w:val="样式1"/>
    <w:basedOn w:val="1"/>
    <w:qFormat/>
    <w:uiPriority w:val="99"/>
    <w:pPr>
      <w:tabs>
        <w:tab w:val="left" w:pos="1842"/>
      </w:tabs>
      <w:spacing w:line="520" w:lineRule="exact"/>
    </w:pPr>
    <w:rPr>
      <w:rFonts w:ascii="宋体" w:hAnsi="宋体"/>
      <w:sz w:val="24"/>
    </w:rPr>
  </w:style>
  <w:style w:type="paragraph" w:customStyle="1" w:styleId="89">
    <w:name w:val="表"/>
    <w:basedOn w:val="12"/>
    <w:qFormat/>
    <w:uiPriority w:val="0"/>
    <w:pPr>
      <w:spacing w:line="320" w:lineRule="exact"/>
      <w:ind w:left="-6" w:leftChars="-3"/>
    </w:pPr>
    <w:rPr>
      <w:rFonts w:ascii="宋体" w:hAnsi="宋体" w:cs="Dutch801 Rm BT"/>
      <w:sz w:val="24"/>
    </w:rPr>
  </w:style>
  <w:style w:type="paragraph" w:customStyle="1" w:styleId="90">
    <w:name w:val="Body Text 22"/>
    <w:basedOn w:val="1"/>
    <w:qFormat/>
    <w:uiPriority w:val="0"/>
    <w:pPr>
      <w:adjustRightInd w:val="0"/>
      <w:spacing w:line="440" w:lineRule="atLeast"/>
      <w:ind w:firstLine="480"/>
      <w:textAlignment w:val="baseline"/>
    </w:pPr>
    <w:rPr>
      <w:rFonts w:eastAsia="仿宋_GB2312" w:cs="Dutch801 Rm BT"/>
      <w:sz w:val="24"/>
      <w:szCs w:val="20"/>
    </w:rPr>
  </w:style>
  <w:style w:type="paragraph" w:customStyle="1" w:styleId="91">
    <w:name w:val="标题 59"/>
    <w:basedOn w:val="1"/>
    <w:qFormat/>
    <w:uiPriority w:val="0"/>
    <w:pPr>
      <w:spacing w:line="440" w:lineRule="exact"/>
    </w:pPr>
    <w:rPr>
      <w:rFonts w:ascii="宋体" w:hAnsi="宋体"/>
      <w:b/>
      <w:color w:val="000000"/>
      <w:sz w:val="24"/>
    </w:rPr>
  </w:style>
  <w:style w:type="paragraph" w:customStyle="1" w:styleId="92">
    <w:name w:val="环评正文"/>
    <w:basedOn w:val="2"/>
    <w:qFormat/>
    <w:uiPriority w:val="0"/>
    <w:pPr>
      <w:keepNext w:val="0"/>
      <w:tabs>
        <w:tab w:val="left" w:pos="662"/>
      </w:tabs>
      <w:overflowPunct/>
      <w:snapToGrid/>
      <w:spacing w:before="0" w:after="0" w:line="240" w:lineRule="auto"/>
      <w:ind w:left="0" w:firstLine="578"/>
      <w:outlineLvl w:val="9"/>
    </w:pPr>
    <w:rPr>
      <w:rFonts w:ascii="Calibri" w:hAnsi="Calibri" w:eastAsia="宋体"/>
      <w:b w:val="0"/>
      <w:bCs w:val="0"/>
      <w:color w:val="auto"/>
      <w:kern w:val="2"/>
      <w:sz w:val="28"/>
      <w:szCs w:val="20"/>
    </w:rPr>
  </w:style>
  <w:style w:type="paragraph" w:customStyle="1" w:styleId="93">
    <w:name w:val="正文样式 小四"/>
    <w:basedOn w:val="1"/>
    <w:qFormat/>
    <w:uiPriority w:val="0"/>
    <w:pPr>
      <w:spacing w:line="500" w:lineRule="exact"/>
      <w:ind w:firstLine="480" w:firstLineChars="200"/>
    </w:pPr>
    <w:rPr>
      <w:rFonts w:ascii="宋体" w:hAnsi="Calibri"/>
      <w:sz w:val="24"/>
      <w:szCs w:val="22"/>
    </w:rPr>
  </w:style>
  <w:style w:type="paragraph" w:customStyle="1" w:styleId="94">
    <w:name w:val="正文样式 Char"/>
    <w:basedOn w:val="1"/>
    <w:qFormat/>
    <w:uiPriority w:val="0"/>
    <w:pPr>
      <w:adjustRightInd w:val="0"/>
      <w:snapToGrid w:val="0"/>
      <w:spacing w:line="460" w:lineRule="exact"/>
      <w:ind w:firstLine="200" w:firstLineChars="200"/>
    </w:pPr>
    <w:rPr>
      <w:rFonts w:ascii="Calibri" w:hAnsi="Calibri"/>
      <w:color w:val="000000"/>
      <w:sz w:val="26"/>
      <w:szCs w:val="26"/>
    </w:rPr>
  </w:style>
  <w:style w:type="paragraph" w:customStyle="1" w:styleId="95">
    <w:name w:val="Table Paragraph"/>
    <w:basedOn w:val="1"/>
    <w:qFormat/>
    <w:uiPriority w:val="1"/>
    <w:pPr>
      <w:jc w:val="center"/>
    </w:pPr>
    <w:rPr>
      <w:rFonts w:ascii="宋体" w:hAnsi="宋体" w:cs="宋体"/>
      <w:kern w:val="0"/>
      <w:sz w:val="22"/>
      <w:szCs w:val="22"/>
      <w:lang w:eastAsia="en-US"/>
    </w:rPr>
  </w:style>
  <w:style w:type="paragraph" w:customStyle="1" w:styleId="96">
    <w:name w:val="xl31"/>
    <w:basedOn w:val="1"/>
    <w:qFormat/>
    <w:uiPriority w:val="0"/>
    <w:pPr>
      <w:widowControl/>
      <w:spacing w:before="100" w:beforeAutospacing="1" w:after="100" w:afterAutospacing="1"/>
      <w:jc w:val="center"/>
    </w:pPr>
    <w:rPr>
      <w:rFonts w:ascii="Dutch801 Rm BT" w:hAnsi="Dutch801 Rm BT" w:cs="Dutch801 Rm BT"/>
      <w:kern w:val="0"/>
      <w:sz w:val="24"/>
    </w:rPr>
  </w:style>
  <w:style w:type="paragraph" w:customStyle="1" w:styleId="97">
    <w:name w:val="样式 小四 行距: 固定值 16 磅"/>
    <w:basedOn w:val="1"/>
    <w:qFormat/>
    <w:uiPriority w:val="0"/>
    <w:pPr>
      <w:snapToGrid w:val="0"/>
      <w:spacing w:line="400" w:lineRule="exact"/>
      <w:ind w:firstLine="480" w:firstLineChars="200"/>
    </w:pPr>
    <w:rPr>
      <w:rFonts w:ascii="Dutch801 Rm BT" w:hAnsi="Dutch801 Rm BT" w:cs="Dutch801 Rm BT"/>
      <w:sz w:val="24"/>
      <w:szCs w:val="20"/>
    </w:rPr>
  </w:style>
  <w:style w:type="paragraph" w:customStyle="1" w:styleId="98">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99">
    <w:name w:val="表内文字"/>
    <w:basedOn w:val="1"/>
    <w:qFormat/>
    <w:uiPriority w:val="0"/>
    <w:pPr>
      <w:adjustRightInd w:val="0"/>
      <w:snapToGrid w:val="0"/>
      <w:jc w:val="center"/>
    </w:pPr>
    <w:rPr>
      <w:rFonts w:cs="宋体"/>
      <w:color w:val="000000"/>
      <w:kern w:val="0"/>
      <w:szCs w:val="21"/>
    </w:rPr>
  </w:style>
  <w:style w:type="paragraph" w:customStyle="1" w:styleId="10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1">
    <w:name w:val="表文煤矿排版"/>
    <w:basedOn w:val="1"/>
    <w:next w:val="1"/>
    <w:qFormat/>
    <w:uiPriority w:val="0"/>
    <w:pPr>
      <w:adjustRightInd w:val="0"/>
      <w:snapToGrid w:val="0"/>
      <w:jc w:val="center"/>
    </w:pPr>
    <w:rPr>
      <w:sz w:val="22"/>
      <w:szCs w:val="22"/>
    </w:rPr>
  </w:style>
  <w:style w:type="paragraph" w:customStyle="1" w:styleId="102">
    <w:name w:val="h正文表格文字"/>
    <w:basedOn w:val="1"/>
    <w:qFormat/>
    <w:uiPriority w:val="99"/>
    <w:pPr>
      <w:jc w:val="center"/>
    </w:pPr>
    <w:rPr>
      <w:rFonts w:ascii="Calibri" w:hAnsi="Calibri" w:eastAsia="仿宋_GB2312"/>
    </w:rPr>
  </w:style>
  <w:style w:type="table" w:customStyle="1" w:styleId="103">
    <w:name w:val="网格型4"/>
    <w:basedOn w:val="30"/>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4">
    <w:name w:val="font21"/>
    <w:basedOn w:val="32"/>
    <w:qFormat/>
    <w:uiPriority w:val="0"/>
    <w:rPr>
      <w:rFonts w:hint="eastAsia" w:ascii="宋体" w:hAnsi="宋体" w:eastAsia="宋体" w:cs="宋体"/>
      <w:color w:val="000000"/>
      <w:sz w:val="21"/>
      <w:szCs w:val="21"/>
      <w:u w:val="none"/>
    </w:rPr>
  </w:style>
  <w:style w:type="paragraph" w:customStyle="1" w:styleId="105">
    <w:name w:val="标题01"/>
    <w:basedOn w:val="26"/>
    <w:next w:val="1"/>
    <w:qFormat/>
    <w:uiPriority w:val="0"/>
    <w:pPr>
      <w:spacing w:before="0" w:beforeAutospacing="0" w:after="0" w:afterAutospacing="0"/>
      <w:outlineLvl w:val="1"/>
    </w:pPr>
    <w:rPr>
      <w:rFonts w:ascii="Times New Roman" w:hAnsi="Times New Roman"/>
      <w:b/>
      <w:snapToGrid w:val="0"/>
      <w:sz w:val="21"/>
      <w:szCs w:val="30"/>
    </w:rPr>
  </w:style>
  <w:style w:type="paragraph" w:customStyle="1" w:styleId="106">
    <w:name w:val="表格字"/>
    <w:basedOn w:val="68"/>
    <w:qFormat/>
    <w:uiPriority w:val="0"/>
    <w:pPr>
      <w:spacing w:line="280" w:lineRule="exact"/>
    </w:pPr>
    <w:rPr>
      <w:sz w:val="18"/>
    </w:rPr>
  </w:style>
  <w:style w:type="paragraph" w:customStyle="1" w:styleId="107">
    <w:name w:val="小表格"/>
    <w:basedOn w:val="1"/>
    <w:qFormat/>
    <w:uiPriority w:val="0"/>
    <w:pPr>
      <w:spacing w:line="320" w:lineRule="exact"/>
      <w:jc w:val="center"/>
    </w:pPr>
    <w:rPr>
      <w:szCs w:val="20"/>
    </w:rPr>
  </w:style>
  <w:style w:type="paragraph" w:customStyle="1" w:styleId="108">
    <w:name w:val="表格文字"/>
    <w:basedOn w:val="1"/>
    <w:qFormat/>
    <w:uiPriority w:val="0"/>
    <w:pPr>
      <w:adjustRightInd w:val="0"/>
      <w:snapToGrid w:val="0"/>
      <w:spacing w:beforeLines="10" w:line="240" w:lineRule="atLeast"/>
      <w:jc w:val="center"/>
      <w:textAlignment w:val="baseline"/>
    </w:pPr>
    <w:rPr>
      <w:snapToGrid w:val="0"/>
      <w:kern w:val="0"/>
      <w:szCs w:val="28"/>
    </w:rPr>
  </w:style>
  <w:style w:type="character" w:customStyle="1" w:styleId="109">
    <w:name w:val="font41"/>
    <w:basedOn w:val="32"/>
    <w:qFormat/>
    <w:uiPriority w:val="0"/>
    <w:rPr>
      <w:rFonts w:hint="eastAsia" w:ascii="宋体" w:hAnsi="宋体" w:eastAsia="宋体" w:cs="宋体"/>
      <w:color w:val="000000"/>
      <w:sz w:val="18"/>
      <w:szCs w:val="18"/>
      <w:u w:val="none"/>
    </w:rPr>
  </w:style>
  <w:style w:type="character" w:customStyle="1" w:styleId="110">
    <w:name w:val="font31"/>
    <w:basedOn w:val="32"/>
    <w:qFormat/>
    <w:uiPriority w:val="0"/>
    <w:rPr>
      <w:rFonts w:hint="eastAsia" w:ascii="宋体" w:hAnsi="宋体" w:eastAsia="宋体" w:cs="宋体"/>
      <w:color w:val="FF0000"/>
      <w:sz w:val="18"/>
      <w:szCs w:val="18"/>
      <w:u w:val="none"/>
    </w:rPr>
  </w:style>
  <w:style w:type="paragraph" w:customStyle="1" w:styleId="111">
    <w:name w:val="表格正文"/>
    <w:basedOn w:val="1"/>
    <w:qFormat/>
    <w:uiPriority w:val="0"/>
    <w:pPr>
      <w:widowControl/>
      <w:spacing w:line="300" w:lineRule="exact"/>
      <w:jc w:val="center"/>
    </w:pPr>
    <w:rPr>
      <w:rFonts w:ascii="宋体" w:hAnsi="宋体" w:cs="宋体"/>
      <w:kern w:val="0"/>
      <w:sz w:val="24"/>
    </w:rPr>
  </w:style>
  <w:style w:type="paragraph" w:customStyle="1" w:styleId="112">
    <w:name w:val="表格文字五号"/>
    <w:basedOn w:val="1"/>
    <w:qFormat/>
    <w:uiPriority w:val="0"/>
    <w:pPr>
      <w:autoSpaceDE w:val="0"/>
      <w:autoSpaceDN w:val="0"/>
      <w:spacing w:line="240" w:lineRule="auto"/>
      <w:ind w:left="0" w:firstLine="0" w:firstLineChars="0"/>
      <w:jc w:val="center"/>
    </w:pPr>
    <w:rPr>
      <w:rFonts w:cs="Calibri"/>
      <w:sz w:val="21"/>
      <w:szCs w:val="21"/>
    </w:rPr>
  </w:style>
  <w:style w:type="paragraph" w:customStyle="1" w:styleId="113">
    <w:name w:val="表格样式"/>
    <w:basedOn w:val="1"/>
    <w:qFormat/>
    <w:uiPriority w:val="0"/>
    <w:pPr>
      <w:contextualSpacing/>
    </w:pPr>
    <w:rPr>
      <w:rFonts w:ascii="Times New Roman" w:hAnsi="Times New Roman"/>
      <w:szCs w:val="24"/>
    </w:rPr>
  </w:style>
  <w:style w:type="paragraph" w:customStyle="1" w:styleId="114">
    <w:name w:val="Table Text"/>
    <w:basedOn w:val="1"/>
    <w:semiHidden/>
    <w:qFormat/>
    <w:uiPriority w:val="0"/>
    <w:rPr>
      <w:rFonts w:ascii="宋体" w:hAnsi="宋体" w:eastAsia="宋体" w:cs="宋体"/>
      <w:sz w:val="24"/>
      <w:szCs w:val="24"/>
    </w:rPr>
  </w:style>
  <w:style w:type="paragraph" w:customStyle="1" w:styleId="115">
    <w:name w:val="样式3"/>
    <w:basedOn w:val="1"/>
    <w:qFormat/>
    <w:uiPriority w:val="0"/>
    <w:pPr>
      <w:adjustRightInd w:val="0"/>
      <w:snapToGrid w:val="0"/>
      <w:spacing w:line="460" w:lineRule="exact"/>
      <w:ind w:firstLine="480" w:firstLineChars="200"/>
    </w:pPr>
    <w:rPr>
      <w:rFonts w:ascii="Arial" w:hAnsi="Arial"/>
      <w:snapToGrid w:val="0"/>
      <w:kern w:val="0"/>
      <w:sz w:val="24"/>
    </w:rPr>
  </w:style>
  <w:style w:type="paragraph" w:customStyle="1" w:styleId="116">
    <w:name w:val="表格标题标题"/>
    <w:basedOn w:val="1"/>
    <w:qFormat/>
    <w:uiPriority w:val="0"/>
    <w:pPr>
      <w:adjustRightInd w:val="0"/>
      <w:snapToGrid w:val="0"/>
      <w:spacing w:line="360" w:lineRule="auto"/>
      <w:ind w:firstLine="560"/>
      <w:jc w:val="center"/>
    </w:pPr>
    <w:rPr>
      <w:kern w:val="0"/>
      <w:sz w:val="24"/>
      <w:szCs w:val="20"/>
    </w:rPr>
  </w:style>
  <w:style w:type="paragraph" w:customStyle="1" w:styleId="117">
    <w:name w:val="样式13"/>
    <w:basedOn w:val="13"/>
    <w:qFormat/>
    <w:uiPriority w:val="0"/>
    <w:pPr>
      <w:adjustRightInd w:val="0"/>
      <w:snapToGrid w:val="0"/>
      <w:spacing w:after="0" w:line="500" w:lineRule="exact"/>
      <w:ind w:left="0" w:leftChars="0" w:firstLine="780" w:firstLineChars="300"/>
      <w:jc w:val="center"/>
    </w:pPr>
    <w:rPr>
      <w:rFonts w:ascii="Times New Roman" w:hAnsi="宋体"/>
      <w:color w:val="000000"/>
      <w:sz w:val="26"/>
      <w:szCs w:val="26"/>
    </w:rPr>
  </w:style>
  <w:style w:type="paragraph" w:customStyle="1" w:styleId="118">
    <w:name w:val="表内字"/>
    <w:basedOn w:val="119"/>
    <w:qFormat/>
    <w:uiPriority w:val="0"/>
    <w:pPr>
      <w:spacing w:line="360" w:lineRule="exact"/>
    </w:pPr>
    <w:rPr>
      <w:kern w:val="0"/>
      <w:sz w:val="24"/>
    </w:rPr>
  </w:style>
  <w:style w:type="paragraph" w:customStyle="1" w:styleId="119">
    <w:name w:val="表内123"/>
    <w:basedOn w:val="1"/>
    <w:qFormat/>
    <w:uiPriority w:val="0"/>
    <w:pPr>
      <w:jc w:val="center"/>
    </w:pPr>
    <w:rPr>
      <w:szCs w:val="21"/>
    </w:rPr>
  </w:style>
  <w:style w:type="paragraph" w:customStyle="1" w:styleId="120">
    <w:name w:val="正 文"/>
    <w:basedOn w:val="1"/>
    <w:qFormat/>
    <w:uiPriority w:val="0"/>
    <w:pPr>
      <w:adjustRightInd w:val="0"/>
      <w:snapToGrid w:val="0"/>
      <w:spacing w:line="480" w:lineRule="exact"/>
      <w:ind w:firstLine="200" w:firstLineChars="200"/>
    </w:pPr>
    <w:rPr>
      <w:kern w:val="0"/>
      <w:sz w:val="24"/>
      <w:szCs w:val="20"/>
    </w:rPr>
  </w:style>
  <w:style w:type="paragraph" w:customStyle="1" w:styleId="121">
    <w:name w:val="表格体"/>
    <w:basedOn w:val="1"/>
    <w:qFormat/>
    <w:uiPriority w:val="0"/>
    <w:pPr>
      <w:spacing w:line="300" w:lineRule="auto"/>
      <w:jc w:val="center"/>
    </w:pPr>
    <w:rPr>
      <w:szCs w:val="18"/>
    </w:rPr>
  </w:style>
  <w:style w:type="paragraph" w:customStyle="1" w:styleId="122">
    <w:name w:val="【正文】"/>
    <w:basedOn w:val="1"/>
    <w:qFormat/>
    <w:uiPriority w:val="0"/>
    <w:pPr>
      <w:adjustRightInd w:val="0"/>
      <w:snapToGrid w:val="0"/>
      <w:spacing w:line="360" w:lineRule="auto"/>
      <w:ind w:firstLine="200" w:firstLineChars="200"/>
    </w:pPr>
    <w:rPr>
      <w:rFonts w:eastAsia="宋体"/>
      <w:szCs w:val="20"/>
    </w:rPr>
  </w:style>
  <w:style w:type="paragraph" w:customStyle="1" w:styleId="123">
    <w:name w:val="首行缩进正文"/>
    <w:basedOn w:val="1"/>
    <w:qFormat/>
    <w:uiPriority w:val="0"/>
    <w:pPr>
      <w:spacing w:line="360" w:lineRule="auto"/>
      <w:ind w:firstLine="480" w:firstLineChars="200"/>
    </w:pPr>
    <w:rPr>
      <w:sz w:val="24"/>
    </w:rPr>
  </w:style>
  <w:style w:type="paragraph" w:customStyle="1" w:styleId="124">
    <w:name w:val="表格1"/>
    <w:basedOn w:val="1"/>
    <w:qFormat/>
    <w:uiPriority w:val="0"/>
    <w:pPr>
      <w:spacing w:line="240" w:lineRule="auto"/>
      <w:ind w:firstLine="0" w:firstLineChars="0"/>
      <w:jc w:val="center"/>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8.wmf"/><Relationship Id="rId36" Type="http://schemas.openxmlformats.org/officeDocument/2006/relationships/oleObject" Target="embeddings/oleObject12.bin"/><Relationship Id="rId35" Type="http://schemas.openxmlformats.org/officeDocument/2006/relationships/image" Target="media/image17.wmf"/><Relationship Id="rId34" Type="http://schemas.openxmlformats.org/officeDocument/2006/relationships/oleObject" Target="embeddings/oleObject11.bin"/><Relationship Id="rId33" Type="http://schemas.openxmlformats.org/officeDocument/2006/relationships/image" Target="media/image16.wmf"/><Relationship Id="rId32" Type="http://schemas.openxmlformats.org/officeDocument/2006/relationships/oleObject" Target="embeddings/oleObject10.bin"/><Relationship Id="rId31" Type="http://schemas.openxmlformats.org/officeDocument/2006/relationships/image" Target="media/image15.wmf"/><Relationship Id="rId30" Type="http://schemas.openxmlformats.org/officeDocument/2006/relationships/oleObject" Target="embeddings/oleObject9.bin"/><Relationship Id="rId3" Type="http://schemas.openxmlformats.org/officeDocument/2006/relationships/footer" Target="footer1.xml"/><Relationship Id="rId29" Type="http://schemas.openxmlformats.org/officeDocument/2006/relationships/image" Target="media/image14.wmf"/><Relationship Id="rId28" Type="http://schemas.openxmlformats.org/officeDocument/2006/relationships/oleObject" Target="embeddings/oleObject8.bin"/><Relationship Id="rId27" Type="http://schemas.openxmlformats.org/officeDocument/2006/relationships/image" Target="media/image13.wmf"/><Relationship Id="rId26" Type="http://schemas.openxmlformats.org/officeDocument/2006/relationships/oleObject" Target="embeddings/oleObject7.bin"/><Relationship Id="rId25" Type="http://schemas.openxmlformats.org/officeDocument/2006/relationships/image" Target="media/image12.wmf"/><Relationship Id="rId24" Type="http://schemas.openxmlformats.org/officeDocument/2006/relationships/oleObject" Target="embeddings/oleObject6.bin"/><Relationship Id="rId23" Type="http://schemas.openxmlformats.org/officeDocument/2006/relationships/image" Target="media/image11.wmf"/><Relationship Id="rId22" Type="http://schemas.openxmlformats.org/officeDocument/2006/relationships/oleObject" Target="embeddings/oleObject5.bin"/><Relationship Id="rId21" Type="http://schemas.openxmlformats.org/officeDocument/2006/relationships/image" Target="media/image10.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extobjs>
    <extobj name="F360BE8B-6686-4F3D-AEAF-501FE73E4058-1">
      <extobjdata type="F360BE8B-6686-4F3D-AEAF-501FE73E4058" data="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"/>
    </extobj>
    <extobj name="F360BE8B-6686-4F3D-AEAF-501FE73E4058-2">
      <extobjdata type="F360BE8B-6686-4F3D-AEAF-501FE73E4058" data="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62</Pages>
  <Words>111</Words>
  <Characters>134</Characters>
  <Lines>83</Lines>
  <Paragraphs>96</Paragraphs>
  <TotalTime>81</TotalTime>
  <ScaleCrop>false</ScaleCrop>
  <LinksUpToDate>false</LinksUpToDate>
  <CharactersWithSpaces>188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2023-03-29T08:29:00Z</dcterms:created>
  <dc:creator>lhj</dc:creator>
  <cp:lastModifiedBy>奋斗的小青年</cp:lastModifiedBy>
  <cp:lastPrinted>2021-06-23T09:08:00Z</cp:lastPrinted>
  <dcterms:modified xsi:type="dcterms:W3CDTF">2025-11-03T02:16:50Z</dcterms:modified>
  <dc:title>附件2</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8BD62D68ADA447A9B21F06A987F50FC3_13</vt:lpwstr>
  </property>
  <property fmtid="{D5CDD505-2E9C-101B-9397-08002B2CF9AE}" pid="4" name="KSOTemplateDocerSaveRecord">
    <vt:lpwstr>eyJoZGlkIjoiNWE4NzBmYjM2NmViODI1ZTc5MmYxY2ExYmZjOWYxNDEiLCJ1c2VySWQiOiI0ODk0ODk3MDEifQ==</vt:lpwstr>
  </property>
</Properties>
</file>