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1F4FAB">
      <w:pPr>
        <w:adjustRightInd w:val="0"/>
        <w:snapToGrid w:val="0"/>
        <w:ind w:firstLine="720" w:firstLineChars="100"/>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73B2AFBA">
      <w:pPr>
        <w:adjustRightInd w:val="0"/>
        <w:snapToGrid w:val="0"/>
        <w:spacing w:beforeLines="80" w:line="360" w:lineRule="auto"/>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D63B3E5">
      <w:pPr>
        <w:adjustRightInd w:val="0"/>
        <w:snapToGrid w:val="0"/>
        <w:spacing w:beforeLines="80" w:line="360" w:lineRule="auto"/>
        <w:jc w:val="center"/>
        <w:rPr>
          <w:rFonts w:hint="eastAsia" w:ascii="Times New Roman" w:hAnsi="Times New Roman" w:eastAsia="楷体_GB2312" w:cs="Times New Roman"/>
          <w:bCs/>
          <w:color w:val="auto"/>
          <w:sz w:val="28"/>
          <w:szCs w:val="28"/>
          <w:lang w:eastAsia="zh-CN"/>
        </w:rPr>
      </w:pPr>
      <w:r>
        <w:rPr>
          <w:rFonts w:hint="eastAsia" w:eastAsia="楷体_GB2312" w:cs="Times New Roman"/>
          <w:bCs/>
          <w:color w:val="auto"/>
          <w:sz w:val="28"/>
          <w:szCs w:val="28"/>
          <w:lang w:eastAsia="zh-CN"/>
        </w:rPr>
        <w:t>（</w:t>
      </w:r>
      <w:r>
        <w:rPr>
          <w:rFonts w:hint="eastAsia" w:eastAsia="楷体_GB2312" w:cs="Times New Roman"/>
          <w:bCs/>
          <w:color w:val="auto"/>
          <w:sz w:val="28"/>
          <w:szCs w:val="28"/>
          <w:lang w:val="en-US" w:eastAsia="zh-CN"/>
        </w:rPr>
        <w:t>公示版</w:t>
      </w:r>
      <w:r>
        <w:rPr>
          <w:rFonts w:hint="eastAsia" w:eastAsia="楷体_GB2312" w:cs="Times New Roman"/>
          <w:bCs/>
          <w:color w:val="auto"/>
          <w:sz w:val="28"/>
          <w:szCs w:val="28"/>
          <w:lang w:eastAsia="zh-CN"/>
        </w:rPr>
        <w:t>）</w:t>
      </w:r>
    </w:p>
    <w:p w14:paraId="0E685DEA">
      <w:pPr>
        <w:pStyle w:val="56"/>
        <w:rPr>
          <w:rFonts w:hint="default" w:ascii="Times New Roman" w:hAnsi="Times New Roman" w:cs="Times New Roman"/>
          <w:color w:val="auto"/>
          <w:sz w:val="52"/>
          <w:szCs w:val="52"/>
        </w:rPr>
      </w:pPr>
    </w:p>
    <w:p w14:paraId="5502408C">
      <w:pPr>
        <w:pStyle w:val="56"/>
        <w:rPr>
          <w:rFonts w:hint="default" w:ascii="Times New Roman" w:hAnsi="Times New Roman" w:cs="Times New Roman"/>
          <w:color w:val="auto"/>
          <w:sz w:val="52"/>
          <w:szCs w:val="52"/>
        </w:rPr>
      </w:pPr>
    </w:p>
    <w:p w14:paraId="697F4646">
      <w:pPr>
        <w:pStyle w:val="56"/>
        <w:rPr>
          <w:rFonts w:hint="default" w:ascii="Times New Roman" w:hAnsi="Times New Roman" w:cs="Times New Roman"/>
          <w:color w:val="auto"/>
          <w:sz w:val="52"/>
          <w:szCs w:val="52"/>
        </w:rPr>
      </w:pPr>
    </w:p>
    <w:p w14:paraId="03ADD3D6">
      <w:pPr>
        <w:ind w:firstLine="1040"/>
        <w:rPr>
          <w:rFonts w:hint="default" w:ascii="Times New Roman" w:hAnsi="Times New Roman" w:cs="Times New Roman"/>
          <w:color w:val="auto"/>
          <w:sz w:val="44"/>
          <w:szCs w:val="44"/>
        </w:rPr>
      </w:pPr>
    </w:p>
    <w:p w14:paraId="15EEE3F6">
      <w:pPr>
        <w:ind w:firstLine="1040"/>
        <w:rPr>
          <w:rFonts w:hint="default" w:ascii="Times New Roman" w:hAnsi="Times New Roman" w:cs="Times New Roman"/>
          <w:color w:val="auto"/>
          <w:sz w:val="44"/>
          <w:szCs w:val="44"/>
        </w:rPr>
      </w:pPr>
    </w:p>
    <w:p w14:paraId="1F2FDC16">
      <w:pPr>
        <w:ind w:firstLine="1040"/>
        <w:rPr>
          <w:rFonts w:hint="default" w:ascii="Times New Roman" w:hAnsi="Times New Roman" w:cs="Times New Roman"/>
          <w:color w:val="auto"/>
          <w:sz w:val="44"/>
          <w:szCs w:val="44"/>
        </w:rPr>
      </w:pPr>
    </w:p>
    <w:p w14:paraId="02C1644A">
      <w:pPr>
        <w:ind w:firstLine="1040"/>
        <w:rPr>
          <w:rFonts w:hint="default" w:ascii="Times New Roman" w:hAnsi="Times New Roman" w:eastAsia="仿宋" w:cs="Times New Roman"/>
          <w:color w:val="auto"/>
          <w:sz w:val="44"/>
          <w:szCs w:val="44"/>
        </w:rPr>
      </w:pPr>
    </w:p>
    <w:p w14:paraId="7C2DEA71">
      <w:pPr>
        <w:adjustRightInd w:val="0"/>
        <w:snapToGrid w:val="0"/>
        <w:spacing w:line="288" w:lineRule="auto"/>
        <w:ind w:firstLine="720" w:firstLineChars="200"/>
        <w:rPr>
          <w:rFonts w:hint="default" w:ascii="Times New Roman" w:hAnsi="Times New Roman" w:cs="Times New Roman"/>
          <w:color w:val="auto"/>
          <w:sz w:val="36"/>
          <w:szCs w:val="36"/>
          <w:u w:val="single"/>
          <w:lang w:val="en-US"/>
        </w:rPr>
      </w:pPr>
      <w:r>
        <w:rPr>
          <w:rFonts w:hint="default" w:ascii="Times New Roman" w:hAnsi="Times New Roman" w:cs="Times New Roman"/>
          <w:color w:val="auto"/>
          <w:sz w:val="36"/>
          <w:szCs w:val="36"/>
        </w:rPr>
        <w:t>项目名称：</w:t>
      </w:r>
      <w:r>
        <w:rPr>
          <w:rFonts w:hint="eastAsia" w:ascii="Times New Roman" w:hAnsi="Times New Roman"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eastAsia="zh-CN"/>
        </w:rPr>
        <w:t>焱熔烁美塑料制品生产项目</w:t>
      </w:r>
      <w:r>
        <w:rPr>
          <w:rFonts w:hint="eastAsia" w:ascii="Times New Roman" w:hAnsi="Times New Roman" w:cs="Times New Roman"/>
          <w:color w:val="auto"/>
          <w:sz w:val="36"/>
          <w:szCs w:val="36"/>
          <w:u w:val="single"/>
          <w:lang w:val="en-US" w:eastAsia="zh-CN"/>
        </w:rPr>
        <w:t xml:space="preserve">    </w:t>
      </w:r>
    </w:p>
    <w:p w14:paraId="61AC450A">
      <w:pPr>
        <w:adjustRightInd w:val="0"/>
        <w:snapToGrid w:val="0"/>
        <w:spacing w:line="288" w:lineRule="auto"/>
        <w:ind w:firstLine="720" w:firstLineChars="200"/>
        <w:rPr>
          <w:rFonts w:hint="default" w:ascii="Times New Roman" w:hAnsi="Times New Roman" w:cs="Times New Roman"/>
          <w:color w:val="auto"/>
          <w:sz w:val="36"/>
          <w:szCs w:val="36"/>
          <w:u w:val="single"/>
        </w:rPr>
      </w:pPr>
      <w:r>
        <w:rPr>
          <w:rFonts w:hint="default" w:ascii="Times New Roman" w:hAnsi="Times New Roman" w:cs="Times New Roman"/>
          <w:color w:val="auto"/>
          <w:sz w:val="36"/>
          <w:szCs w:val="36"/>
        </w:rPr>
        <w:t>建设单位：</w:t>
      </w:r>
      <w:r>
        <w:rPr>
          <w:rFonts w:hint="default" w:ascii="Times New Roman" w:hAnsi="Times New Roman" w:eastAsia="宋体" w:cs="Times New Roman"/>
          <w:color w:val="auto"/>
          <w:sz w:val="36"/>
          <w:szCs w:val="36"/>
          <w:u w:val="single"/>
          <w:lang w:val="en-US" w:eastAsia="zh-CN"/>
        </w:rPr>
        <w:t>重庆焱熔烁美塑胶科技有限责任公司</w:t>
      </w:r>
    </w:p>
    <w:p w14:paraId="0826572B">
      <w:pPr>
        <w:adjustRightInd w:val="0"/>
        <w:snapToGrid w:val="0"/>
        <w:spacing w:line="288" w:lineRule="auto"/>
        <w:ind w:firstLine="720" w:firstLineChars="200"/>
        <w:rPr>
          <w:rFonts w:hint="default" w:ascii="Times New Roman" w:hAnsi="Times New Roman" w:cs="Times New Roman"/>
          <w:color w:val="auto"/>
          <w:sz w:val="36"/>
          <w:szCs w:val="36"/>
          <w:u w:val="single"/>
        </w:rPr>
      </w:pPr>
      <w:r>
        <w:rPr>
          <w:rFonts w:hint="default" w:ascii="Times New Roman" w:hAnsi="Times New Roman" w:cs="Times New Roman"/>
          <w:color w:val="auto"/>
          <w:sz w:val="36"/>
          <w:szCs w:val="36"/>
        </w:rPr>
        <w:t>编制日期：</w:t>
      </w:r>
      <w:r>
        <w:rPr>
          <w:rFonts w:hint="default" w:ascii="Times New Roman" w:hAnsi="Times New Roman" w:cs="Times New Roman"/>
          <w:color w:val="auto"/>
          <w:sz w:val="36"/>
          <w:szCs w:val="36"/>
          <w:u w:val="single"/>
        </w:rPr>
        <w:t xml:space="preserve">       </w:t>
      </w:r>
      <w:r>
        <w:rPr>
          <w:rFonts w:hint="default" w:ascii="Times New Roman" w:hAnsi="Times New Roman"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rPr>
        <w:t>二〇二</w:t>
      </w:r>
      <w:r>
        <w:rPr>
          <w:rFonts w:hint="default" w:ascii="Times New Roman" w:hAnsi="Times New Roman" w:cs="Times New Roman"/>
          <w:color w:val="auto"/>
          <w:sz w:val="36"/>
          <w:szCs w:val="36"/>
          <w:u w:val="single"/>
          <w:lang w:eastAsia="zh-CN"/>
        </w:rPr>
        <w:t>五</w:t>
      </w:r>
      <w:r>
        <w:rPr>
          <w:rFonts w:hint="default" w:ascii="Times New Roman" w:hAnsi="Times New Roman" w:cs="Times New Roman"/>
          <w:color w:val="auto"/>
          <w:sz w:val="36"/>
          <w:szCs w:val="36"/>
          <w:u w:val="single"/>
        </w:rPr>
        <w:t>年</w:t>
      </w:r>
      <w:r>
        <w:rPr>
          <w:rFonts w:hint="eastAsia" w:cs="Times New Roman"/>
          <w:color w:val="auto"/>
          <w:sz w:val="36"/>
          <w:szCs w:val="36"/>
          <w:u w:val="single"/>
          <w:lang w:val="en-US" w:eastAsia="zh-CN"/>
        </w:rPr>
        <w:t>十</w:t>
      </w:r>
      <w:r>
        <w:rPr>
          <w:rFonts w:hint="default" w:ascii="Times New Roman" w:hAnsi="Times New Roman" w:cs="Times New Roman"/>
          <w:color w:val="auto"/>
          <w:sz w:val="36"/>
          <w:szCs w:val="36"/>
          <w:u w:val="single"/>
        </w:rPr>
        <w:t xml:space="preserve">月 </w:t>
      </w:r>
      <w:r>
        <w:rPr>
          <w:rFonts w:hint="default" w:ascii="Times New Roman" w:hAnsi="Times New Roman"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val="en-US" w:eastAsia="zh-CN"/>
        </w:rPr>
        <w:t xml:space="preserve"> </w:t>
      </w:r>
      <w:r>
        <w:rPr>
          <w:rFonts w:hint="eastAsia" w:ascii="Times New Roman" w:hAnsi="Times New Roman"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rPr>
        <w:t xml:space="preserve">   </w:t>
      </w:r>
    </w:p>
    <w:p w14:paraId="0BF73CD3">
      <w:pPr>
        <w:adjustRightInd w:val="0"/>
        <w:snapToGrid w:val="0"/>
        <w:spacing w:line="288" w:lineRule="auto"/>
        <w:ind w:firstLine="1040"/>
        <w:rPr>
          <w:rFonts w:hint="default" w:ascii="Times New Roman" w:hAnsi="Times New Roman" w:cs="Times New Roman"/>
          <w:color w:val="auto"/>
          <w:sz w:val="36"/>
          <w:szCs w:val="36"/>
          <w:u w:val="single"/>
        </w:rPr>
      </w:pPr>
    </w:p>
    <w:p w14:paraId="6D02ADA1">
      <w:pPr>
        <w:adjustRightInd w:val="0"/>
        <w:snapToGrid w:val="0"/>
        <w:spacing w:line="288" w:lineRule="auto"/>
        <w:ind w:firstLine="1040"/>
        <w:rPr>
          <w:rFonts w:hint="default" w:ascii="Times New Roman" w:hAnsi="Times New Roman" w:cs="Times New Roman"/>
          <w:color w:val="auto"/>
          <w:sz w:val="36"/>
          <w:szCs w:val="36"/>
        </w:rPr>
      </w:pPr>
    </w:p>
    <w:p w14:paraId="5B6D1636">
      <w:pPr>
        <w:adjustRightInd w:val="0"/>
        <w:snapToGrid w:val="0"/>
        <w:spacing w:line="288" w:lineRule="auto"/>
        <w:ind w:firstLine="1040"/>
        <w:rPr>
          <w:rFonts w:hint="default" w:ascii="Times New Roman" w:hAnsi="Times New Roman" w:eastAsia="宋体" w:cs="Times New Roman"/>
          <w:color w:val="auto"/>
          <w:sz w:val="36"/>
          <w:szCs w:val="36"/>
          <w:lang w:val="en-US" w:eastAsia="zh-CN"/>
        </w:rPr>
      </w:pPr>
      <w:r>
        <w:rPr>
          <w:rFonts w:hint="default" w:ascii="Times New Roman" w:hAnsi="Times New Roman" w:cs="Times New Roman"/>
          <w:color w:val="auto"/>
          <w:sz w:val="36"/>
          <w:szCs w:val="36"/>
          <w:lang w:val="en-US" w:eastAsia="zh-CN"/>
        </w:rPr>
        <w:t xml:space="preserve">                                        </w:t>
      </w:r>
    </w:p>
    <w:p w14:paraId="5A8DDBFE">
      <w:pPr>
        <w:adjustRightInd w:val="0"/>
        <w:snapToGrid w:val="0"/>
        <w:spacing w:line="288" w:lineRule="auto"/>
        <w:ind w:firstLine="1040"/>
        <w:rPr>
          <w:rFonts w:hint="default" w:ascii="Times New Roman" w:hAnsi="Times New Roman" w:cs="Times New Roman"/>
          <w:color w:val="auto"/>
          <w:sz w:val="36"/>
          <w:szCs w:val="36"/>
        </w:rPr>
      </w:pPr>
    </w:p>
    <w:p w14:paraId="13750CB1">
      <w:pPr>
        <w:adjustRightInd w:val="0"/>
        <w:snapToGrid w:val="0"/>
        <w:spacing w:line="288" w:lineRule="auto"/>
        <w:ind w:firstLine="1040"/>
        <w:rPr>
          <w:rFonts w:hint="default" w:ascii="Times New Roman" w:hAnsi="Times New Roman" w:cs="Times New Roman"/>
          <w:color w:val="auto"/>
          <w:sz w:val="36"/>
          <w:szCs w:val="36"/>
        </w:rPr>
      </w:pPr>
    </w:p>
    <w:p w14:paraId="085A07DE">
      <w:pPr>
        <w:adjustRightInd w:val="0"/>
        <w:snapToGrid w:val="0"/>
        <w:spacing w:line="288" w:lineRule="auto"/>
        <w:jc w:val="center"/>
        <w:rPr>
          <w:rFonts w:hint="default" w:ascii="Times New Roman" w:hAnsi="Times New Roman"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05393802">
      <w:pPr>
        <w:adjustRightInd w:val="0"/>
        <w:snapToGrid w:val="0"/>
        <w:spacing w:line="288" w:lineRule="auto"/>
        <w:ind w:firstLine="1040"/>
        <w:rPr>
          <w:rFonts w:hint="default" w:ascii="Times New Roman" w:hAnsi="Times New Roman"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E6614F7">
      <w:pPr>
        <w:pStyle w:val="26"/>
        <w:jc w:val="center"/>
        <w:outlineLvl w:val="0"/>
        <w:rPr>
          <w:rFonts w:hint="default" w:ascii="Times New Roman" w:hAnsi="Times New Roman" w:cs="Times New Roman"/>
          <w:snapToGrid w:val="0"/>
          <w:color w:val="auto"/>
          <w:sz w:val="30"/>
          <w:szCs w:val="30"/>
        </w:rPr>
      </w:pPr>
      <w:r>
        <w:drawing>
          <wp:inline distT="0" distB="0" distL="114300" distR="114300">
            <wp:extent cx="4924425" cy="7067550"/>
            <wp:effectExtent l="0" t="0" r="9525"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8"/>
                    <a:stretch>
                      <a:fillRect/>
                    </a:stretch>
                  </pic:blipFill>
                  <pic:spPr>
                    <a:xfrm>
                      <a:off x="0" y="0"/>
                      <a:ext cx="4924425" cy="7067550"/>
                    </a:xfrm>
                    <a:prstGeom prst="rect">
                      <a:avLst/>
                    </a:prstGeom>
                    <a:noFill/>
                    <a:ln>
                      <a:noFill/>
                    </a:ln>
                  </pic:spPr>
                </pic:pic>
              </a:graphicData>
            </a:graphic>
          </wp:inline>
        </w:drawing>
      </w:r>
      <w:r>
        <w:drawing>
          <wp:inline distT="0" distB="0" distL="114300" distR="114300">
            <wp:extent cx="5835015" cy="8397240"/>
            <wp:effectExtent l="0" t="0" r="13335" b="381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9"/>
                    <a:stretch>
                      <a:fillRect/>
                    </a:stretch>
                  </pic:blipFill>
                  <pic:spPr>
                    <a:xfrm>
                      <a:off x="0" y="0"/>
                      <a:ext cx="5835015" cy="8397240"/>
                    </a:xfrm>
                    <a:prstGeom prst="rect">
                      <a:avLst/>
                    </a:prstGeom>
                    <a:noFill/>
                    <a:ln>
                      <a:noFill/>
                    </a:ln>
                  </pic:spPr>
                </pic:pic>
              </a:graphicData>
            </a:graphic>
          </wp:inline>
        </w:drawing>
      </w:r>
      <w:r>
        <w:rPr>
          <w:rFonts w:hint="default" w:ascii="Times New Roman" w:hAnsi="Times New Roman" w:cs="Times New Roman"/>
          <w:snapToGrid w:val="0"/>
          <w:color w:val="auto"/>
          <w:sz w:val="30"/>
          <w:szCs w:val="30"/>
        </w:rPr>
        <w:t>一、建设项目基本情况</w:t>
      </w:r>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5"/>
        <w:gridCol w:w="590"/>
        <w:gridCol w:w="1792"/>
        <w:gridCol w:w="1637"/>
        <w:gridCol w:w="2212"/>
        <w:gridCol w:w="2639"/>
        <w:gridCol w:w="95"/>
      </w:tblGrid>
      <w:tr w14:paraId="3E684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50484A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6488" w:type="dxa"/>
            <w:gridSpan w:val="3"/>
            <w:noWrap w:val="0"/>
            <w:vAlign w:val="center"/>
          </w:tcPr>
          <w:p w14:paraId="40EDE42C">
            <w:pPr>
              <w:adjustRightInd w:val="0"/>
              <w:snapToGrid w:val="0"/>
              <w:jc w:val="center"/>
              <w:rPr>
                <w:rFonts w:hint="default" w:ascii="Times New Roman" w:hAnsi="Times New Roman" w:eastAsia="宋体" w:cs="Times New Roman"/>
                <w:color w:val="auto"/>
                <w:szCs w:val="21"/>
                <w:lang w:eastAsia="zh-CN"/>
              </w:rPr>
            </w:pPr>
            <w:bookmarkStart w:id="0" w:name="OLE_LINK1"/>
            <w:r>
              <w:rPr>
                <w:rFonts w:hint="default" w:ascii="Times New Roman" w:hAnsi="Times New Roman" w:cs="Times New Roman"/>
                <w:color w:val="auto"/>
                <w:szCs w:val="21"/>
                <w:lang w:eastAsia="zh-CN"/>
              </w:rPr>
              <w:t>焱熔烁</w:t>
            </w:r>
            <w:bookmarkEnd w:id="0"/>
            <w:r>
              <w:rPr>
                <w:rFonts w:hint="default" w:ascii="Times New Roman" w:hAnsi="Times New Roman" w:cs="Times New Roman"/>
                <w:color w:val="auto"/>
                <w:szCs w:val="21"/>
                <w:lang w:eastAsia="zh-CN"/>
              </w:rPr>
              <w:t>美塑料制品生产项目</w:t>
            </w:r>
          </w:p>
        </w:tc>
      </w:tr>
      <w:tr w14:paraId="6E32B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2F7963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6488" w:type="dxa"/>
            <w:gridSpan w:val="3"/>
            <w:noWrap w:val="0"/>
            <w:vAlign w:val="center"/>
          </w:tcPr>
          <w:p w14:paraId="4A3C2AB1">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2509-500117-04-01-121692</w:t>
            </w:r>
          </w:p>
        </w:tc>
      </w:tr>
      <w:tr w14:paraId="1CD18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88" w:hRule="atLeast"/>
          <w:jc w:val="center"/>
        </w:trPr>
        <w:tc>
          <w:tcPr>
            <w:tcW w:w="2382" w:type="dxa"/>
            <w:gridSpan w:val="2"/>
            <w:noWrap w:val="0"/>
            <w:tcMar>
              <w:top w:w="16" w:type="dxa"/>
              <w:left w:w="16" w:type="dxa"/>
              <w:right w:w="16" w:type="dxa"/>
            </w:tcMar>
            <w:vAlign w:val="center"/>
          </w:tcPr>
          <w:p w14:paraId="3D1B67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637" w:type="dxa"/>
            <w:noWrap w:val="0"/>
            <w:vAlign w:val="center"/>
          </w:tcPr>
          <w:p w14:paraId="7672D9E7">
            <w:pPr>
              <w:adjustRightInd w:val="0"/>
              <w:snapToGrid w:val="0"/>
              <w:jc w:val="center"/>
              <w:rPr>
                <w:rFonts w:hint="default" w:ascii="Times New Roman" w:hAnsi="Times New Roman" w:eastAsia="宋体" w:cs="Times New Roman"/>
                <w:color w:val="auto"/>
                <w:szCs w:val="21"/>
                <w:lang w:eastAsia="zh-CN"/>
              </w:rPr>
            </w:pPr>
          </w:p>
        </w:tc>
        <w:tc>
          <w:tcPr>
            <w:tcW w:w="2212" w:type="dxa"/>
            <w:noWrap w:val="0"/>
            <w:vAlign w:val="center"/>
          </w:tcPr>
          <w:p w14:paraId="7D6728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noWrap w:val="0"/>
            <w:vAlign w:val="center"/>
          </w:tcPr>
          <w:p w14:paraId="4E3426D4">
            <w:pPr>
              <w:adjustRightInd w:val="0"/>
              <w:snapToGrid w:val="0"/>
              <w:jc w:val="center"/>
              <w:rPr>
                <w:rFonts w:hint="default" w:ascii="Times New Roman" w:hAnsi="Times New Roman" w:eastAsia="宋体" w:cs="Times New Roman"/>
                <w:color w:val="auto"/>
                <w:szCs w:val="21"/>
                <w:lang w:eastAsia="zh-CN"/>
              </w:rPr>
            </w:pPr>
          </w:p>
        </w:tc>
      </w:tr>
      <w:tr w14:paraId="27ED3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90" w:hRule="atLeast"/>
          <w:jc w:val="center"/>
        </w:trPr>
        <w:tc>
          <w:tcPr>
            <w:tcW w:w="2382" w:type="dxa"/>
            <w:gridSpan w:val="2"/>
            <w:noWrap w:val="0"/>
            <w:tcMar>
              <w:top w:w="16" w:type="dxa"/>
              <w:left w:w="16" w:type="dxa"/>
              <w:right w:w="16" w:type="dxa"/>
            </w:tcMar>
            <w:vAlign w:val="center"/>
          </w:tcPr>
          <w:p w14:paraId="695BD57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6488" w:type="dxa"/>
            <w:gridSpan w:val="3"/>
            <w:noWrap w:val="0"/>
            <w:vAlign w:val="center"/>
          </w:tcPr>
          <w:p w14:paraId="561EA08F">
            <w:pPr>
              <w:adjustRightInd w:val="0"/>
              <w:snapToGrid w:val="0"/>
              <w:jc w:val="center"/>
              <w:rPr>
                <w:rFonts w:hint="default" w:ascii="Times New Roman" w:hAnsi="Times New Roman" w:eastAsia="宋体" w:cs="Times New Roman"/>
                <w:color w:val="auto"/>
                <w:szCs w:val="21"/>
                <w:lang w:eastAsia="zh-CN"/>
              </w:rPr>
            </w:pPr>
          </w:p>
        </w:tc>
      </w:tr>
      <w:tr w14:paraId="47221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6837E1D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6488" w:type="dxa"/>
            <w:gridSpan w:val="3"/>
            <w:noWrap w:val="0"/>
            <w:vAlign w:val="center"/>
          </w:tcPr>
          <w:p w14:paraId="201F6F7E">
            <w:pPr>
              <w:jc w:val="center"/>
              <w:rPr>
                <w:rFonts w:hint="default" w:ascii="Times New Roman" w:hAnsi="Times New Roman" w:cs="Times New Roman"/>
                <w:color w:val="auto"/>
                <w:szCs w:val="21"/>
              </w:rPr>
            </w:pPr>
          </w:p>
        </w:tc>
      </w:tr>
      <w:tr w14:paraId="36135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561" w:hRule="atLeast"/>
          <w:jc w:val="center"/>
        </w:trPr>
        <w:tc>
          <w:tcPr>
            <w:tcW w:w="2382" w:type="dxa"/>
            <w:gridSpan w:val="2"/>
            <w:noWrap w:val="0"/>
            <w:tcMar>
              <w:top w:w="16" w:type="dxa"/>
              <w:left w:w="16" w:type="dxa"/>
              <w:right w:w="16" w:type="dxa"/>
            </w:tcMar>
            <w:vAlign w:val="center"/>
          </w:tcPr>
          <w:p w14:paraId="5205EE1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6F0AA85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637" w:type="dxa"/>
            <w:noWrap w:val="0"/>
            <w:vAlign w:val="center"/>
          </w:tcPr>
          <w:p w14:paraId="1C106801">
            <w:pPr>
              <w:adjustRightInd w:val="0"/>
              <w:snapToGrid w:val="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C3670汽车零部件及配件制造、C2929塑料零件及其他塑料制品制造</w:t>
            </w:r>
          </w:p>
        </w:tc>
        <w:tc>
          <w:tcPr>
            <w:tcW w:w="2212" w:type="dxa"/>
            <w:noWrap w:val="0"/>
            <w:vAlign w:val="center"/>
          </w:tcPr>
          <w:p w14:paraId="6A40C816">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3DD2F22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639" w:type="dxa"/>
            <w:noWrap w:val="0"/>
            <w:vAlign w:val="center"/>
          </w:tcPr>
          <w:p w14:paraId="1DB59ECD">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三十三、</w:t>
            </w:r>
            <w:r>
              <w:rPr>
                <w:rFonts w:hint="eastAsia" w:cs="Times New Roman"/>
                <w:color w:val="auto"/>
                <w:szCs w:val="21"/>
                <w:lang w:eastAsia="zh-CN"/>
              </w:rPr>
              <w:t>汽车制造业36</w:t>
            </w:r>
            <w:r>
              <w:rPr>
                <w:rFonts w:hint="default" w:ascii="Times New Roman" w:hAnsi="Times New Roman" w:cs="Times New Roman"/>
                <w:color w:val="auto"/>
                <w:szCs w:val="21"/>
              </w:rPr>
              <w:t>汽车零部件及配件制造367</w:t>
            </w:r>
          </w:p>
          <w:p w14:paraId="6CC3373C">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二十六、橡胶和塑料制品业29其他（年用非溶剂型低VOCs含量涂料10吨以下的除外）</w:t>
            </w:r>
          </w:p>
        </w:tc>
      </w:tr>
      <w:tr w14:paraId="47FCA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1219" w:hRule="atLeast"/>
          <w:jc w:val="center"/>
        </w:trPr>
        <w:tc>
          <w:tcPr>
            <w:tcW w:w="2382" w:type="dxa"/>
            <w:gridSpan w:val="2"/>
            <w:noWrap w:val="0"/>
            <w:tcMar>
              <w:top w:w="16" w:type="dxa"/>
              <w:left w:w="16" w:type="dxa"/>
              <w:right w:w="16" w:type="dxa"/>
            </w:tcMar>
            <w:vAlign w:val="center"/>
          </w:tcPr>
          <w:p w14:paraId="26AB50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1637" w:type="dxa"/>
            <w:noWrap w:val="0"/>
            <w:vAlign w:val="center"/>
          </w:tcPr>
          <w:p w14:paraId="653A0038">
            <w:pPr>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新建</w:t>
            </w:r>
          </w:p>
          <w:p w14:paraId="44E798A9">
            <w:pPr>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改建</w:t>
            </w:r>
          </w:p>
          <w:p w14:paraId="73234306">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扩建</w:t>
            </w:r>
          </w:p>
          <w:p w14:paraId="71EF4392">
            <w:pPr>
              <w:jc w:val="left"/>
              <w:rPr>
                <w:rFonts w:hint="default" w:ascii="Times New Roman" w:hAnsi="Times New Roman" w:cs="Times New Roman"/>
                <w:color w:val="auto"/>
                <w:szCs w:val="21"/>
              </w:rPr>
            </w:pPr>
            <w:r>
              <w:rPr>
                <w:rFonts w:hint="default" w:ascii="Times New Roman" w:hAnsi="Times New Roman" w:cs="Times New Roman"/>
                <w:color w:val="auto"/>
                <w:szCs w:val="21"/>
              </w:rPr>
              <w:t>□技术改造</w:t>
            </w:r>
          </w:p>
        </w:tc>
        <w:tc>
          <w:tcPr>
            <w:tcW w:w="2212" w:type="dxa"/>
            <w:noWrap w:val="0"/>
            <w:vAlign w:val="center"/>
          </w:tcPr>
          <w:p w14:paraId="2C9E29B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3ACDDD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14:paraId="77C31ED4">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590321FF">
            <w:pPr>
              <w:jc w:val="left"/>
              <w:rPr>
                <w:rFonts w:hint="default" w:ascii="Times New Roman" w:hAnsi="Times New Roman" w:cs="Times New Roman"/>
                <w:color w:val="auto"/>
                <w:szCs w:val="21"/>
              </w:rPr>
            </w:pPr>
            <w:r>
              <w:rPr>
                <w:rFonts w:hint="default" w:ascii="Times New Roman" w:hAnsi="Times New Roman" w:cs="Times New Roman"/>
                <w:color w:val="auto"/>
                <w:szCs w:val="21"/>
              </w:rPr>
              <w:t>□不予批准后再次申报项目</w:t>
            </w:r>
          </w:p>
          <w:p w14:paraId="1B32FBFB">
            <w:pPr>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□超五年重新审核项目     </w:t>
            </w:r>
          </w:p>
          <w:p w14:paraId="00BB22DB">
            <w:pPr>
              <w:jc w:val="left"/>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14:paraId="11710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851" w:hRule="atLeast"/>
          <w:jc w:val="center"/>
        </w:trPr>
        <w:tc>
          <w:tcPr>
            <w:tcW w:w="2382" w:type="dxa"/>
            <w:gridSpan w:val="2"/>
            <w:noWrap w:val="0"/>
            <w:tcMar>
              <w:top w:w="16" w:type="dxa"/>
              <w:left w:w="16" w:type="dxa"/>
              <w:right w:w="16" w:type="dxa"/>
            </w:tcMar>
            <w:vAlign w:val="center"/>
          </w:tcPr>
          <w:p w14:paraId="719026B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281EF0D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637" w:type="dxa"/>
            <w:noWrap w:val="0"/>
            <w:vAlign w:val="center"/>
          </w:tcPr>
          <w:p w14:paraId="7301EF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重庆市</w:t>
            </w:r>
            <w:r>
              <w:rPr>
                <w:rFonts w:hint="default" w:ascii="Times New Roman" w:hAnsi="Times New Roman" w:cs="Times New Roman"/>
                <w:color w:val="auto"/>
                <w:szCs w:val="21"/>
                <w:lang w:eastAsia="zh-CN"/>
              </w:rPr>
              <w:t>合川区</w:t>
            </w:r>
            <w:r>
              <w:rPr>
                <w:rFonts w:hint="default" w:ascii="Times New Roman" w:hAnsi="Times New Roman" w:cs="Times New Roman"/>
                <w:color w:val="auto"/>
                <w:szCs w:val="21"/>
              </w:rPr>
              <w:t>发展和改革委员会</w:t>
            </w:r>
          </w:p>
        </w:tc>
        <w:tc>
          <w:tcPr>
            <w:tcW w:w="2212" w:type="dxa"/>
            <w:noWrap w:val="0"/>
            <w:vAlign w:val="center"/>
          </w:tcPr>
          <w:p w14:paraId="538702F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4784CF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639" w:type="dxa"/>
            <w:noWrap w:val="0"/>
            <w:vAlign w:val="center"/>
          </w:tcPr>
          <w:p w14:paraId="41AB8DB7">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2509-500117-04-01-121692</w:t>
            </w:r>
          </w:p>
        </w:tc>
      </w:tr>
      <w:tr w14:paraId="34732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348398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637" w:type="dxa"/>
            <w:noWrap w:val="0"/>
            <w:vAlign w:val="center"/>
          </w:tcPr>
          <w:p w14:paraId="2CAADB2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1200</w:t>
            </w:r>
          </w:p>
        </w:tc>
        <w:tc>
          <w:tcPr>
            <w:tcW w:w="2212" w:type="dxa"/>
            <w:noWrap w:val="0"/>
            <w:tcMar>
              <w:top w:w="16" w:type="dxa"/>
              <w:left w:w="16" w:type="dxa"/>
              <w:right w:w="16" w:type="dxa"/>
            </w:tcMar>
            <w:vAlign w:val="center"/>
          </w:tcPr>
          <w:p w14:paraId="59469D8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230B983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14:paraId="4DBD8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0625B6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637" w:type="dxa"/>
            <w:noWrap w:val="0"/>
            <w:vAlign w:val="center"/>
          </w:tcPr>
          <w:p w14:paraId="1BFF9B7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4.2</w:t>
            </w:r>
          </w:p>
        </w:tc>
        <w:tc>
          <w:tcPr>
            <w:tcW w:w="2212" w:type="dxa"/>
            <w:noWrap w:val="0"/>
            <w:tcMar>
              <w:top w:w="16" w:type="dxa"/>
              <w:left w:w="16" w:type="dxa"/>
              <w:right w:w="16" w:type="dxa"/>
            </w:tcMar>
            <w:vAlign w:val="center"/>
          </w:tcPr>
          <w:p w14:paraId="78C5FA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14:paraId="6073CB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3个月</w:t>
            </w:r>
          </w:p>
        </w:tc>
      </w:tr>
      <w:tr w14:paraId="08BEB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5" w:type="dxa"/>
          <w:wAfter w:w="95" w:type="dxa"/>
          <w:trHeight w:val="497" w:hRule="atLeast"/>
          <w:jc w:val="center"/>
        </w:trPr>
        <w:tc>
          <w:tcPr>
            <w:tcW w:w="2382" w:type="dxa"/>
            <w:gridSpan w:val="2"/>
            <w:noWrap w:val="0"/>
            <w:tcMar>
              <w:top w:w="16" w:type="dxa"/>
              <w:left w:w="16" w:type="dxa"/>
              <w:right w:w="16" w:type="dxa"/>
            </w:tcMar>
            <w:vAlign w:val="center"/>
          </w:tcPr>
          <w:p w14:paraId="3F03D05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637" w:type="dxa"/>
            <w:noWrap w:val="0"/>
            <w:vAlign w:val="center"/>
          </w:tcPr>
          <w:p w14:paraId="40455778">
            <w:pPr>
              <w:adjustRightInd w:val="0"/>
              <w:snapToGrid w:val="0"/>
              <w:rPr>
                <w:rFonts w:hint="default" w:ascii="Times New Roman" w:hAnsi="Times New Roman" w:cs="Times New Roman"/>
                <w:color w:val="auto"/>
                <w:szCs w:val="21"/>
              </w:rPr>
            </w:pPr>
            <w:r>
              <w:rPr>
                <w:rFonts w:hint="default" w:ascii="Times New Roman" w:hAnsi="Times New Roman" w:cs="Times New Roman"/>
                <w:bCs/>
                <w:color w:val="auto"/>
                <w:sz w:val="24"/>
              </w:rPr>
              <w:t>☑</w:t>
            </w:r>
            <w:r>
              <w:rPr>
                <w:rFonts w:hint="default" w:ascii="Times New Roman" w:hAnsi="Times New Roman" w:cs="Times New Roman"/>
                <w:color w:val="auto"/>
                <w:szCs w:val="21"/>
              </w:rPr>
              <w:t>否</w:t>
            </w:r>
          </w:p>
          <w:p w14:paraId="7BF89B61">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212" w:type="dxa"/>
            <w:noWrap w:val="0"/>
            <w:tcMar>
              <w:top w:w="16" w:type="dxa"/>
              <w:left w:w="16" w:type="dxa"/>
              <w:right w:w="16" w:type="dxa"/>
            </w:tcMar>
            <w:vAlign w:val="center"/>
          </w:tcPr>
          <w:p w14:paraId="48567BC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用地（用海）</w:t>
            </w:r>
          </w:p>
          <w:p w14:paraId="13EA877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2639" w:type="dxa"/>
            <w:noWrap w:val="0"/>
            <w:vAlign w:val="center"/>
          </w:tcPr>
          <w:p w14:paraId="2F244937">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2500</w:t>
            </w:r>
          </w:p>
        </w:tc>
      </w:tr>
      <w:tr w14:paraId="7F0DE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5" w:type="dxa"/>
          <w:wAfter w:w="95" w:type="dxa"/>
          <w:trHeight w:val="548" w:hRule="atLeast"/>
          <w:jc w:val="center"/>
        </w:trPr>
        <w:tc>
          <w:tcPr>
            <w:tcW w:w="2382" w:type="dxa"/>
            <w:gridSpan w:val="2"/>
            <w:noWrap w:val="0"/>
            <w:vAlign w:val="center"/>
          </w:tcPr>
          <w:p w14:paraId="37117087">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6488" w:type="dxa"/>
            <w:gridSpan w:val="3"/>
            <w:noWrap w:val="0"/>
            <w:vAlign w:val="center"/>
          </w:tcPr>
          <w:p w14:paraId="151DCD94">
            <w:pPr>
              <w:autoSpaceDE w:val="0"/>
              <w:autoSpaceDN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表1-1  专项评价设置原则表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7"/>
              <w:gridCol w:w="2624"/>
              <w:gridCol w:w="2006"/>
              <w:gridCol w:w="594"/>
            </w:tblGrid>
            <w:tr w14:paraId="10E4E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815" w:type="pct"/>
                  <w:noWrap w:val="0"/>
                  <w:vAlign w:val="center"/>
                </w:tcPr>
                <w:p w14:paraId="42E15A93">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专项评价的类别</w:t>
                  </w:r>
                </w:p>
              </w:tc>
              <w:tc>
                <w:tcPr>
                  <w:tcW w:w="2102" w:type="pct"/>
                  <w:noWrap w:val="0"/>
                  <w:vAlign w:val="center"/>
                </w:tcPr>
                <w:p w14:paraId="7169136D">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设置原则</w:t>
                  </w:r>
                </w:p>
              </w:tc>
              <w:tc>
                <w:tcPr>
                  <w:tcW w:w="1607" w:type="pct"/>
                  <w:noWrap w:val="0"/>
                  <w:vAlign w:val="center"/>
                </w:tcPr>
                <w:p w14:paraId="1D9D3B62">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w:t>
                  </w:r>
                </w:p>
              </w:tc>
              <w:tc>
                <w:tcPr>
                  <w:tcW w:w="474" w:type="pct"/>
                  <w:noWrap w:val="0"/>
                  <w:vAlign w:val="center"/>
                </w:tcPr>
                <w:p w14:paraId="37EA32B9">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是否设置</w:t>
                  </w:r>
                </w:p>
              </w:tc>
            </w:tr>
            <w:tr w14:paraId="3FD86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815" w:type="pct"/>
                  <w:noWrap w:val="0"/>
                  <w:vAlign w:val="center"/>
                </w:tcPr>
                <w:p w14:paraId="2536B97B">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大气</w:t>
                  </w:r>
                </w:p>
              </w:tc>
              <w:tc>
                <w:tcPr>
                  <w:tcW w:w="2102" w:type="pct"/>
                  <w:noWrap w:val="0"/>
                  <w:vAlign w:val="center"/>
                </w:tcPr>
                <w:p w14:paraId="1FC15C00">
                  <w:pPr>
                    <w:pStyle w:val="26"/>
                    <w:adjustRightInd w:val="0"/>
                    <w:snapToGrid w:val="0"/>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排放废气含有毒有害污染物</w:t>
                  </w:r>
                  <w:r>
                    <w:rPr>
                      <w:rFonts w:hint="default" w:ascii="Times New Roman" w:hAnsi="Times New Roman" w:cs="Times New Roman"/>
                      <w:color w:val="auto"/>
                      <w:sz w:val="18"/>
                      <w:szCs w:val="18"/>
                      <w:vertAlign w:val="superscript"/>
                    </w:rPr>
                    <w:t>1</w:t>
                  </w:r>
                  <w:r>
                    <w:rPr>
                      <w:rFonts w:hint="default" w:ascii="Times New Roman" w:hAnsi="Times New Roman" w:cs="Times New Roman"/>
                      <w:color w:val="auto"/>
                      <w:sz w:val="18"/>
                      <w:szCs w:val="18"/>
                    </w:rPr>
                    <w:t>、二噁英、苯并[a]芘、氰化物、氯气且厂界外500米范围内有环境空气保护目标</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的建设项目</w:t>
                  </w:r>
                </w:p>
              </w:tc>
              <w:tc>
                <w:tcPr>
                  <w:tcW w:w="1607" w:type="pct"/>
                  <w:noWrap w:val="0"/>
                  <w:vAlign w:val="center"/>
                </w:tcPr>
                <w:p w14:paraId="27D1A26B">
                  <w:pPr>
                    <w:pStyle w:val="26"/>
                    <w:adjustRightInd w:val="0"/>
                    <w:snapToGrid w:val="0"/>
                    <w:spacing w:before="0" w:beforeAutospacing="0" w:after="0" w:afterAutospacing="0" w:line="240" w:lineRule="auto"/>
                    <w:jc w:val="both"/>
                    <w:outlineLvl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本项目营运期废气污染物为</w:t>
                  </w:r>
                  <w:r>
                    <w:rPr>
                      <w:rFonts w:hint="default" w:ascii="Times New Roman" w:hAnsi="Times New Roman" w:eastAsia="宋体" w:cs="Times New Roman"/>
                      <w:b w:val="0"/>
                      <w:bCs/>
                      <w:snapToGrid w:val="0"/>
                      <w:color w:val="auto"/>
                      <w:kern w:val="0"/>
                      <w:sz w:val="18"/>
                      <w:szCs w:val="18"/>
                      <w:vertAlign w:val="baseline"/>
                      <w:lang w:val="en-US" w:eastAsia="zh-CN" w:bidi="ar-SA"/>
                    </w:rPr>
                    <w:t>非甲烷总烃</w:t>
                  </w:r>
                  <w:r>
                    <w:rPr>
                      <w:rFonts w:hint="eastAsia" w:ascii="Times New Roman" w:hAnsi="Times New Roman" w:eastAsia="宋体" w:cs="Times New Roman"/>
                      <w:b w:val="0"/>
                      <w:bCs/>
                      <w:snapToGrid w:val="0"/>
                      <w:color w:val="auto"/>
                      <w:kern w:val="0"/>
                      <w:sz w:val="18"/>
                      <w:szCs w:val="18"/>
                      <w:vertAlign w:val="baseline"/>
                      <w:lang w:val="en-US" w:eastAsia="zh-CN" w:bidi="ar-SA"/>
                    </w:rPr>
                    <w:t>、颗粒物、</w:t>
                  </w:r>
                  <w:r>
                    <w:rPr>
                      <w:rFonts w:hint="default" w:ascii="Times New Roman" w:hAnsi="Times New Roman" w:eastAsia="宋体" w:cs="Times New Roman"/>
                      <w:b w:val="0"/>
                      <w:bCs/>
                      <w:snapToGrid w:val="0"/>
                      <w:color w:val="auto"/>
                      <w:kern w:val="0"/>
                      <w:sz w:val="18"/>
                      <w:szCs w:val="18"/>
                      <w:vertAlign w:val="baseline"/>
                      <w:lang w:val="en-US" w:eastAsia="zh-CN" w:bidi="ar-SA"/>
                    </w:rPr>
                    <w:t>苯乙烯、丙烯腈、乙苯、甲苯</w:t>
                  </w:r>
                  <w:r>
                    <w:rPr>
                      <w:rFonts w:hint="eastAsia" w:ascii="Times New Roman" w:hAnsi="Times New Roman" w:eastAsia="宋体" w:cs="Times New Roman"/>
                      <w:b w:val="0"/>
                      <w:bCs/>
                      <w:snapToGrid w:val="0"/>
                      <w:color w:val="auto"/>
                      <w:kern w:val="0"/>
                      <w:sz w:val="18"/>
                      <w:szCs w:val="18"/>
                      <w:vertAlign w:val="baseline"/>
                      <w:lang w:val="en-US" w:eastAsia="zh-CN" w:bidi="ar-SA"/>
                    </w:rPr>
                    <w:t>、</w:t>
                  </w:r>
                  <w:r>
                    <w:rPr>
                      <w:rFonts w:hint="default" w:ascii="Times New Roman" w:hAnsi="Times New Roman" w:eastAsia="宋体" w:cs="Times New Roman"/>
                      <w:b w:val="0"/>
                      <w:bCs/>
                      <w:snapToGrid w:val="0"/>
                      <w:color w:val="auto"/>
                      <w:kern w:val="0"/>
                      <w:sz w:val="18"/>
                      <w:szCs w:val="18"/>
                      <w:vertAlign w:val="baseline"/>
                      <w:lang w:val="en-US" w:eastAsia="zh-CN" w:bidi="ar-SA"/>
                    </w:rPr>
                    <w:t>1,3-丁二烯</w:t>
                  </w:r>
                  <w:r>
                    <w:rPr>
                      <w:rFonts w:hint="eastAsia" w:ascii="Times New Roman" w:hAnsi="Times New Roman" w:eastAsia="宋体" w:cs="Times New Roman"/>
                      <w:b w:val="0"/>
                      <w:bCs/>
                      <w:snapToGrid w:val="0"/>
                      <w:color w:val="auto"/>
                      <w:kern w:val="0"/>
                      <w:sz w:val="18"/>
                      <w:szCs w:val="18"/>
                      <w:vertAlign w:val="baseline"/>
                      <w:lang w:val="en-US" w:eastAsia="zh-CN" w:bidi="ar-SA"/>
                    </w:rPr>
                    <w:t>、氨</w:t>
                  </w:r>
                  <w:r>
                    <w:rPr>
                      <w:rFonts w:hint="default" w:ascii="Times New Roman" w:hAnsi="Times New Roman" w:cs="Times New Roman"/>
                      <w:color w:val="auto"/>
                      <w:kern w:val="0"/>
                      <w:sz w:val="18"/>
                      <w:szCs w:val="18"/>
                      <w:lang w:eastAsia="zh-CN"/>
                    </w:rPr>
                    <w:t>、臭气浓度</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kern w:val="0"/>
                      <w:sz w:val="18"/>
                      <w:szCs w:val="18"/>
                      <w:lang w:val="en-US" w:eastAsia="zh-CN"/>
                    </w:rPr>
                    <w:t>均</w:t>
                  </w:r>
                  <w:r>
                    <w:rPr>
                      <w:rFonts w:hint="default" w:ascii="Times New Roman" w:hAnsi="Times New Roman" w:cs="Times New Roman"/>
                      <w:color w:val="auto"/>
                      <w:kern w:val="0"/>
                      <w:sz w:val="18"/>
                      <w:szCs w:val="18"/>
                    </w:rPr>
                    <w:t>不属于上述污染物</w:t>
                  </w:r>
                </w:p>
              </w:tc>
              <w:tc>
                <w:tcPr>
                  <w:tcW w:w="474" w:type="pct"/>
                  <w:noWrap w:val="0"/>
                  <w:vAlign w:val="center"/>
                </w:tcPr>
                <w:p w14:paraId="5EA59B88">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12E0E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815" w:type="pct"/>
                  <w:noWrap w:val="0"/>
                  <w:vAlign w:val="center"/>
                </w:tcPr>
                <w:p w14:paraId="655FDB88">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w:t>
                  </w:r>
                </w:p>
              </w:tc>
              <w:tc>
                <w:tcPr>
                  <w:tcW w:w="2102" w:type="pct"/>
                  <w:noWrap w:val="0"/>
                  <w:vAlign w:val="center"/>
                </w:tcPr>
                <w:p w14:paraId="3B6467AB">
                  <w:pPr>
                    <w:pStyle w:val="26"/>
                    <w:adjustRightInd w:val="0"/>
                    <w:snapToGrid w:val="0"/>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新增工业废水直排建设项目（槽罐车外送污水处理厂的除外）；新增废水直排的污水集中处理厂</w:t>
                  </w:r>
                </w:p>
              </w:tc>
              <w:tc>
                <w:tcPr>
                  <w:tcW w:w="1607" w:type="pct"/>
                  <w:noWrap w:val="0"/>
                  <w:vAlign w:val="center"/>
                </w:tcPr>
                <w:p w14:paraId="49FAF1C2">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本项目营运期废水主要为生活污水、地面清洁废水等，且不属于废水直排项目</w:t>
                  </w:r>
                </w:p>
              </w:tc>
              <w:tc>
                <w:tcPr>
                  <w:tcW w:w="474" w:type="pct"/>
                  <w:noWrap w:val="0"/>
                  <w:vAlign w:val="center"/>
                </w:tcPr>
                <w:p w14:paraId="73FD33F8">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1508D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15" w:type="pct"/>
                  <w:noWrap w:val="0"/>
                  <w:vAlign w:val="center"/>
                </w:tcPr>
                <w:p w14:paraId="7BA07CCC">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环境风险</w:t>
                  </w:r>
                </w:p>
              </w:tc>
              <w:tc>
                <w:tcPr>
                  <w:tcW w:w="2102" w:type="pct"/>
                  <w:noWrap w:val="0"/>
                  <w:vAlign w:val="center"/>
                </w:tcPr>
                <w:p w14:paraId="244D1020">
                  <w:pPr>
                    <w:pStyle w:val="26"/>
                    <w:adjustRightInd w:val="0"/>
                    <w:snapToGrid w:val="0"/>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有毒有害和易燃易爆危险物质存储量超过临界量</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的建设项目</w:t>
                  </w:r>
                </w:p>
              </w:tc>
              <w:tc>
                <w:tcPr>
                  <w:tcW w:w="1607" w:type="pct"/>
                  <w:noWrap w:val="0"/>
                  <w:vAlign w:val="center"/>
                </w:tcPr>
                <w:p w14:paraId="0F7420EB">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根据表4-</w:t>
                  </w:r>
                  <w:r>
                    <w:rPr>
                      <w:rFonts w:hint="eastAsia" w:ascii="Times New Roman" w:hAnsi="Times New Roman" w:cs="Times New Roman"/>
                      <w:color w:val="auto"/>
                      <w:kern w:val="0"/>
                      <w:sz w:val="18"/>
                      <w:szCs w:val="18"/>
                      <w:lang w:val="en-US" w:eastAsia="zh-CN"/>
                    </w:rPr>
                    <w:t>19</w:t>
                  </w:r>
                  <w:r>
                    <w:rPr>
                      <w:rFonts w:hint="default" w:ascii="Times New Roman" w:hAnsi="Times New Roman" w:cs="Times New Roman"/>
                      <w:color w:val="auto"/>
                      <w:kern w:val="0"/>
                      <w:sz w:val="18"/>
                      <w:szCs w:val="18"/>
                    </w:rPr>
                    <w:t>可知，本项目Q＜1，未超过临界量</w:t>
                  </w:r>
                </w:p>
              </w:tc>
              <w:tc>
                <w:tcPr>
                  <w:tcW w:w="474" w:type="pct"/>
                  <w:noWrap w:val="0"/>
                  <w:vAlign w:val="center"/>
                </w:tcPr>
                <w:p w14:paraId="279D5439">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39C31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815" w:type="pct"/>
                  <w:noWrap w:val="0"/>
                  <w:vAlign w:val="center"/>
                </w:tcPr>
                <w:p w14:paraId="724AFF7A">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生态</w:t>
                  </w:r>
                </w:p>
              </w:tc>
              <w:tc>
                <w:tcPr>
                  <w:tcW w:w="2102" w:type="pct"/>
                  <w:noWrap w:val="0"/>
                  <w:vAlign w:val="center"/>
                </w:tcPr>
                <w:p w14:paraId="7ED90F54">
                  <w:pPr>
                    <w:autoSpaceDE w:val="0"/>
                    <w:autoSpaceDN w:val="0"/>
                    <w:adjustRightInd w:val="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取水口下游500米范围内有重要水生生物的自然产卵场、索饵场、越冬场和洄游通道的新增河道取水的污染类建设项目</w:t>
                  </w:r>
                </w:p>
              </w:tc>
              <w:tc>
                <w:tcPr>
                  <w:tcW w:w="1607" w:type="pct"/>
                  <w:noWrap w:val="0"/>
                  <w:vAlign w:val="center"/>
                </w:tcPr>
                <w:p w14:paraId="53A219C8">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不属于</w:t>
                  </w:r>
                </w:p>
              </w:tc>
              <w:tc>
                <w:tcPr>
                  <w:tcW w:w="474" w:type="pct"/>
                  <w:noWrap w:val="0"/>
                  <w:vAlign w:val="center"/>
                </w:tcPr>
                <w:p w14:paraId="5E070FFA">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3D2B1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815" w:type="pct"/>
                  <w:noWrap w:val="0"/>
                  <w:vAlign w:val="center"/>
                </w:tcPr>
                <w:p w14:paraId="2020D46D">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海洋</w:t>
                  </w:r>
                </w:p>
              </w:tc>
              <w:tc>
                <w:tcPr>
                  <w:tcW w:w="2102" w:type="pct"/>
                  <w:noWrap w:val="0"/>
                  <w:vAlign w:val="center"/>
                </w:tcPr>
                <w:p w14:paraId="282876E1">
                  <w:pPr>
                    <w:pStyle w:val="26"/>
                    <w:adjustRightInd w:val="0"/>
                    <w:snapToGrid w:val="0"/>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直接向海排放污染物的海洋工程建设项目</w:t>
                  </w:r>
                </w:p>
              </w:tc>
              <w:tc>
                <w:tcPr>
                  <w:tcW w:w="1607" w:type="pct"/>
                  <w:noWrap w:val="0"/>
                  <w:vAlign w:val="center"/>
                </w:tcPr>
                <w:p w14:paraId="5E7FF19A">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本项目不属于海洋工程建设项目</w:t>
                  </w:r>
                </w:p>
              </w:tc>
              <w:tc>
                <w:tcPr>
                  <w:tcW w:w="474" w:type="pct"/>
                  <w:noWrap w:val="0"/>
                  <w:vAlign w:val="center"/>
                </w:tcPr>
                <w:p w14:paraId="5C7E3CB6">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40BF8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815" w:type="pct"/>
                  <w:noWrap w:val="0"/>
                  <w:vAlign w:val="center"/>
                </w:tcPr>
                <w:p w14:paraId="0F3A7F9D">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地下水</w:t>
                  </w:r>
                </w:p>
              </w:tc>
              <w:tc>
                <w:tcPr>
                  <w:tcW w:w="2102" w:type="pct"/>
                  <w:noWrap w:val="0"/>
                  <w:vAlign w:val="center"/>
                </w:tcPr>
                <w:p w14:paraId="5E046D0D">
                  <w:pPr>
                    <w:pStyle w:val="26"/>
                    <w:adjustRightInd w:val="0"/>
                    <w:snapToGrid w:val="0"/>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涉及集中式饮用水水源和热水、矿泉水、温泉等特殊地下水资源保护区</w:t>
                  </w:r>
                </w:p>
              </w:tc>
              <w:tc>
                <w:tcPr>
                  <w:tcW w:w="1607" w:type="pct"/>
                  <w:noWrap w:val="0"/>
                  <w:vAlign w:val="center"/>
                </w:tcPr>
                <w:p w14:paraId="29DE3895">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本项目厂界外500m范围内不涉及集中式饮用水水源和热水、矿泉水、温泉等特殊地下水资源保护区</w:t>
                  </w:r>
                </w:p>
              </w:tc>
              <w:tc>
                <w:tcPr>
                  <w:tcW w:w="474" w:type="pct"/>
                  <w:noWrap w:val="0"/>
                  <w:vAlign w:val="center"/>
                </w:tcPr>
                <w:p w14:paraId="15430EC0">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否</w:t>
                  </w:r>
                </w:p>
              </w:tc>
            </w:tr>
            <w:tr w14:paraId="5ABD1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5000" w:type="pct"/>
                  <w:gridSpan w:val="4"/>
                  <w:noWrap w:val="0"/>
                  <w:vAlign w:val="center"/>
                </w:tcPr>
                <w:p w14:paraId="1A6ECC6A">
                  <w:pPr>
                    <w:autoSpaceDE w:val="0"/>
                    <w:autoSpaceDN w:val="0"/>
                    <w:adjustRightInd w:val="0"/>
                    <w:snapToGrid w:val="0"/>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39DBC822">
            <w:pPr>
              <w:autoSpaceDE w:val="0"/>
              <w:autoSpaceDN w:val="0"/>
              <w:adjustRightInd w:val="0"/>
              <w:snapToGrid w:val="0"/>
              <w:jc w:val="center"/>
              <w:rPr>
                <w:rFonts w:hint="default" w:ascii="Times New Roman" w:hAnsi="Times New Roman" w:cs="Times New Roman"/>
                <w:color w:val="auto"/>
                <w:kern w:val="0"/>
                <w:szCs w:val="21"/>
              </w:rPr>
            </w:pPr>
          </w:p>
        </w:tc>
      </w:tr>
      <w:tr w14:paraId="7C7A4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5" w:type="dxa"/>
          <w:wAfter w:w="95" w:type="dxa"/>
          <w:trHeight w:val="710" w:hRule="atLeast"/>
          <w:jc w:val="center"/>
        </w:trPr>
        <w:tc>
          <w:tcPr>
            <w:tcW w:w="2382" w:type="dxa"/>
            <w:gridSpan w:val="2"/>
            <w:noWrap w:val="0"/>
            <w:vAlign w:val="center"/>
          </w:tcPr>
          <w:p w14:paraId="410A3AFD">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6488" w:type="dxa"/>
            <w:gridSpan w:val="3"/>
            <w:noWrap w:val="0"/>
            <w:vAlign w:val="center"/>
          </w:tcPr>
          <w:p w14:paraId="29F8DBE7">
            <w:pPr>
              <w:snapToGrid w:val="0"/>
              <w:spacing w:line="360" w:lineRule="auto"/>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规划名称：《重庆市合川工业园区南溪组团南溪片区控制性详细规划》（修改）</w:t>
            </w:r>
          </w:p>
          <w:p w14:paraId="47D66830">
            <w:pPr>
              <w:snapToGrid w:val="0"/>
              <w:spacing w:line="360" w:lineRule="auto"/>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审批机关：重庆市合川区人民政府</w:t>
            </w:r>
          </w:p>
          <w:p w14:paraId="0093D972">
            <w:pPr>
              <w:snapToGrid w:val="0"/>
              <w:spacing w:line="360" w:lineRule="auto"/>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审批文件名称：《关于重庆市合川工业园区南溪组团南溪片区控制性详细规划（修改）的批复》</w:t>
            </w:r>
          </w:p>
          <w:p w14:paraId="36BD46AF">
            <w:pPr>
              <w:snapToGrid w:val="0"/>
              <w:spacing w:line="360" w:lineRule="auto"/>
              <w:jc w:val="left"/>
              <w:rPr>
                <w:rFonts w:hint="default" w:ascii="Times New Roman" w:hAnsi="Times New Roman" w:eastAsia="宋体" w:cs="Times New Roman"/>
                <w:b/>
                <w:bCs/>
                <w:color w:val="auto"/>
                <w:sz w:val="17"/>
                <w:szCs w:val="17"/>
                <w:lang w:eastAsia="zh-CN"/>
              </w:rPr>
            </w:pPr>
            <w:r>
              <w:rPr>
                <w:rFonts w:hint="default" w:ascii="Times New Roman" w:hAnsi="Times New Roman" w:eastAsia="宋体" w:cs="Times New Roman"/>
                <w:color w:val="auto"/>
                <w:szCs w:val="21"/>
                <w:lang w:eastAsia="zh-CN"/>
              </w:rPr>
              <w:t>审批文件文号：合川府</w:t>
            </w:r>
            <w:r>
              <w:rPr>
                <w:rFonts w:hint="eastAsia" w:ascii="Times New Roman" w:hAnsi="Times New Roman" w:eastAsia="宋体" w:cs="Times New Roman"/>
                <w:color w:val="auto"/>
                <w:szCs w:val="21"/>
                <w:lang w:eastAsia="zh-CN"/>
              </w:rPr>
              <w:t>〔2016〕61号</w:t>
            </w:r>
          </w:p>
        </w:tc>
      </w:tr>
      <w:tr w14:paraId="75093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5" w:type="dxa"/>
          <w:wAfter w:w="95" w:type="dxa"/>
          <w:trHeight w:val="1805" w:hRule="atLeast"/>
          <w:jc w:val="center"/>
        </w:trPr>
        <w:tc>
          <w:tcPr>
            <w:tcW w:w="2382" w:type="dxa"/>
            <w:gridSpan w:val="2"/>
            <w:noWrap w:val="0"/>
            <w:vAlign w:val="center"/>
          </w:tcPr>
          <w:p w14:paraId="5EB8284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5148EC1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6488" w:type="dxa"/>
            <w:gridSpan w:val="3"/>
            <w:noWrap w:val="0"/>
            <w:vAlign w:val="center"/>
          </w:tcPr>
          <w:p w14:paraId="28428E62">
            <w:pPr>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规划环评名称：《合川工业园区南溪组团、渭沱组团B区规划环境影响报告书》</w:t>
            </w:r>
          </w:p>
          <w:p w14:paraId="13EBE0F4">
            <w:pPr>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审查机关：重庆市生态环境局</w:t>
            </w:r>
          </w:p>
          <w:p w14:paraId="125A8FFF">
            <w:pPr>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审查文件名称：《重庆市生态环境局关于合川工业园区南溪组团、渭沱组团B区规划环境影响报告书审查意见的函》</w:t>
            </w:r>
          </w:p>
          <w:p w14:paraId="42D07B15">
            <w:pPr>
              <w:snapToGrid w:val="0"/>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审查文件文号：渝环函</w:t>
            </w:r>
            <w:r>
              <w:rPr>
                <w:rFonts w:hint="eastAsia" w:ascii="Times New Roman" w:hAnsi="Times New Roman" w:cs="Times New Roman"/>
                <w:color w:val="auto"/>
                <w:szCs w:val="21"/>
                <w:lang w:eastAsia="zh-CN"/>
              </w:rPr>
              <w:t>〔2019〕1169号</w:t>
            </w:r>
          </w:p>
        </w:tc>
      </w:tr>
      <w:tr w14:paraId="31DF4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5" w:type="dxa"/>
          <w:wAfter w:w="95" w:type="dxa"/>
          <w:trHeight w:val="1021" w:hRule="atLeast"/>
          <w:jc w:val="center"/>
        </w:trPr>
        <w:tc>
          <w:tcPr>
            <w:tcW w:w="2382" w:type="dxa"/>
            <w:gridSpan w:val="2"/>
            <w:noWrap w:val="0"/>
            <w:vAlign w:val="center"/>
          </w:tcPr>
          <w:p w14:paraId="5F6E3344">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14:paraId="737539C3">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6488" w:type="dxa"/>
            <w:gridSpan w:val="3"/>
            <w:noWrap w:val="0"/>
            <w:vAlign w:val="center"/>
          </w:tcPr>
          <w:p w14:paraId="6822FB06">
            <w:pPr>
              <w:keepNext/>
              <w:keepLines/>
              <w:widowControl w:val="0"/>
              <w:adjustRightInd w:val="0"/>
              <w:snapToGrid w:val="0"/>
              <w:spacing w:line="360" w:lineRule="auto"/>
              <w:ind w:firstLine="0" w:firstLineChars="0"/>
              <w:jc w:val="both"/>
              <w:outlineLvl w:val="0"/>
              <w:rPr>
                <w:rFonts w:hint="default" w:ascii="Times New Roman" w:hAnsi="Times New Roman" w:eastAsia="宋体" w:cs="Times New Roman"/>
                <w:b/>
                <w:bCs/>
                <w:color w:val="auto"/>
                <w:kern w:val="44"/>
                <w:sz w:val="24"/>
                <w:szCs w:val="44"/>
                <w:lang w:val="en-US" w:eastAsia="zh-CN" w:bidi="ar-SA"/>
              </w:rPr>
            </w:pPr>
            <w:r>
              <w:rPr>
                <w:rFonts w:hint="eastAsia" w:ascii="Times New Roman" w:hAnsi="Times New Roman" w:eastAsia="宋体" w:cs="Times New Roman"/>
                <w:b/>
                <w:bCs/>
                <w:color w:val="auto"/>
                <w:kern w:val="44"/>
                <w:sz w:val="24"/>
                <w:szCs w:val="44"/>
                <w:lang w:val="en-US" w:eastAsia="zh-CN" w:bidi="ar-SA"/>
              </w:rPr>
              <w:t>一、</w:t>
            </w:r>
            <w:r>
              <w:rPr>
                <w:rFonts w:hint="default" w:ascii="Times New Roman" w:hAnsi="Times New Roman" w:eastAsia="宋体" w:cs="Times New Roman"/>
                <w:b/>
                <w:bCs/>
                <w:color w:val="auto"/>
                <w:kern w:val="44"/>
                <w:sz w:val="24"/>
                <w:szCs w:val="44"/>
                <w:lang w:val="en-US" w:eastAsia="zh-CN" w:bidi="ar-SA"/>
              </w:rPr>
              <w:t>与《重庆市合川工业园区南溪组团南溪片区控制性详细规划》（修改）符合性分析</w:t>
            </w:r>
          </w:p>
          <w:p w14:paraId="3AED17E0">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本项目位于合川工业园南溪组团A区，区域以发展电子信息、装备制造、医药、食品为主，居住商业配套为辅的科技领先、经济繁荣、环境优美的工业园，禁止化学合成、化学原料药的生产。</w:t>
            </w:r>
          </w:p>
          <w:p w14:paraId="3975C335">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本项目位于南溪组团A区，为汽车零部件和</w:t>
            </w:r>
            <w:r>
              <w:rPr>
                <w:rFonts w:hint="eastAsia" w:ascii="Times New Roman" w:hAnsi="Times New Roman" w:eastAsia="宋体" w:cs="Times New Roman"/>
                <w:color w:val="auto"/>
                <w:kern w:val="2"/>
                <w:sz w:val="21"/>
                <w:szCs w:val="20"/>
                <w:lang w:val="en-US" w:eastAsia="zh-CN" w:bidi="ar-SA"/>
              </w:rPr>
              <w:t>塑料零件制造</w:t>
            </w:r>
            <w:r>
              <w:rPr>
                <w:rFonts w:hint="default" w:ascii="Times New Roman" w:hAnsi="Times New Roman" w:eastAsia="宋体" w:cs="Times New Roman"/>
                <w:color w:val="auto"/>
                <w:kern w:val="2"/>
                <w:sz w:val="21"/>
                <w:szCs w:val="20"/>
                <w:lang w:val="en-US" w:eastAsia="zh-CN" w:bidi="ar-SA"/>
              </w:rPr>
              <w:t>生产，不属于园区禁止或限制入驻类企业。</w:t>
            </w:r>
          </w:p>
          <w:p w14:paraId="051F79C2">
            <w:pPr>
              <w:keepNext/>
              <w:keepLines/>
              <w:widowControl w:val="0"/>
              <w:adjustRightInd w:val="0"/>
              <w:snapToGrid w:val="0"/>
              <w:spacing w:line="360" w:lineRule="auto"/>
              <w:ind w:firstLine="0" w:firstLineChars="0"/>
              <w:jc w:val="both"/>
              <w:outlineLvl w:val="0"/>
              <w:rPr>
                <w:rFonts w:hint="default" w:ascii="Times New Roman" w:hAnsi="Times New Roman" w:eastAsia="宋体" w:cs="Times New Roman"/>
                <w:b/>
                <w:bCs/>
                <w:color w:val="auto"/>
                <w:kern w:val="44"/>
                <w:sz w:val="24"/>
                <w:szCs w:val="44"/>
                <w:lang w:val="en-US" w:eastAsia="zh-CN" w:bidi="ar-SA"/>
              </w:rPr>
            </w:pPr>
            <w:r>
              <w:rPr>
                <w:rFonts w:hint="eastAsia" w:ascii="Times New Roman" w:hAnsi="Times New Roman" w:eastAsia="宋体" w:cs="Times New Roman"/>
                <w:b/>
                <w:bCs/>
                <w:color w:val="auto"/>
                <w:kern w:val="44"/>
                <w:sz w:val="24"/>
                <w:szCs w:val="44"/>
                <w:lang w:val="en-US" w:eastAsia="zh-CN" w:bidi="ar-SA"/>
              </w:rPr>
              <w:t>二、</w:t>
            </w:r>
            <w:r>
              <w:rPr>
                <w:rFonts w:hint="default" w:ascii="Times New Roman" w:hAnsi="Times New Roman" w:eastAsia="宋体" w:cs="Times New Roman"/>
                <w:b/>
                <w:bCs/>
                <w:color w:val="auto"/>
                <w:kern w:val="44"/>
                <w:sz w:val="24"/>
                <w:szCs w:val="44"/>
                <w:lang w:val="en-US" w:eastAsia="zh-CN" w:bidi="ar-SA"/>
              </w:rPr>
              <w:t>与《合川工业园区南溪组团、渭沱组团B区规划环境影响报告书》及其审查意见函符合性分析</w:t>
            </w:r>
          </w:p>
          <w:p w14:paraId="486CD472">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南溪组团A区位于重庆市合川区南津街道，东至三环沙溪立交段，北至渝武高速，南至遂州路，西至铜合路，面积为13.48km</w:t>
            </w:r>
            <w:r>
              <w:rPr>
                <w:rFonts w:hint="default" w:ascii="Times New Roman" w:hAnsi="Times New Roman" w:eastAsia="宋体" w:cs="Times New Roman"/>
                <w:color w:val="auto"/>
                <w:kern w:val="2"/>
                <w:sz w:val="21"/>
                <w:szCs w:val="20"/>
                <w:vertAlign w:val="superscript"/>
                <w:lang w:val="en-US" w:eastAsia="zh-CN" w:bidi="ar-SA"/>
              </w:rPr>
              <w:t>2</w:t>
            </w:r>
            <w:r>
              <w:rPr>
                <w:rFonts w:hint="default" w:ascii="Times New Roman" w:hAnsi="Times New Roman" w:eastAsia="宋体" w:cs="Times New Roman"/>
                <w:color w:val="auto"/>
                <w:kern w:val="2"/>
                <w:sz w:val="21"/>
                <w:szCs w:val="20"/>
                <w:lang w:val="en-US" w:eastAsia="zh-CN" w:bidi="ar-SA"/>
              </w:rPr>
              <w:t>。</w:t>
            </w:r>
          </w:p>
          <w:p w14:paraId="41902E12">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（一）土地利用规划</w:t>
            </w:r>
          </w:p>
          <w:p w14:paraId="47143142">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本项目位于</w:t>
            </w:r>
            <w:r>
              <w:rPr>
                <w:rFonts w:hint="eastAsia" w:cs="Times New Roman"/>
                <w:color w:val="auto"/>
                <w:kern w:val="2"/>
                <w:sz w:val="21"/>
                <w:szCs w:val="20"/>
                <w:lang w:val="en-US" w:eastAsia="zh-CN" w:bidi="ar-SA"/>
              </w:rPr>
              <w:t>重庆市合川区南津街街道龙阳路10号1楼B区、C区厂房（南溪组团A区）</w:t>
            </w:r>
            <w:r>
              <w:rPr>
                <w:rFonts w:hint="default" w:ascii="Times New Roman" w:hAnsi="Times New Roman" w:eastAsia="宋体" w:cs="Times New Roman"/>
                <w:color w:val="auto"/>
                <w:kern w:val="2"/>
                <w:sz w:val="21"/>
                <w:szCs w:val="20"/>
                <w:lang w:val="en-US" w:eastAsia="zh-CN" w:bidi="ar-SA"/>
              </w:rPr>
              <w:t>，根据土地利用规划，本项目用地性质为工业用地，符合土地利用规划。</w:t>
            </w:r>
          </w:p>
          <w:p w14:paraId="7526C61E">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（二）产业定位</w:t>
            </w:r>
          </w:p>
          <w:p w14:paraId="15A1DD23">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本项目位于</w:t>
            </w:r>
            <w:r>
              <w:rPr>
                <w:rFonts w:hint="eastAsia" w:cs="Times New Roman"/>
                <w:color w:val="auto"/>
                <w:kern w:val="2"/>
                <w:sz w:val="21"/>
                <w:szCs w:val="20"/>
                <w:lang w:val="en-US" w:eastAsia="zh-CN" w:bidi="ar-SA"/>
              </w:rPr>
              <w:t>重庆市合川区南津街街道龙阳路10号1楼B区、C区厂房（南溪组团A区）</w:t>
            </w:r>
            <w:r>
              <w:rPr>
                <w:rFonts w:hint="default" w:ascii="Times New Roman" w:hAnsi="Times New Roman" w:eastAsia="宋体" w:cs="Times New Roman"/>
                <w:color w:val="auto"/>
                <w:kern w:val="2"/>
                <w:sz w:val="21"/>
                <w:szCs w:val="20"/>
                <w:lang w:val="en-US" w:eastAsia="zh-CN" w:bidi="ar-SA"/>
              </w:rPr>
              <w:t>，根据规划环评，南溪组团A区主要发展装备制造、电子信息、健康医药。本项目为汽车零部件和</w:t>
            </w:r>
            <w:r>
              <w:rPr>
                <w:rFonts w:hint="eastAsia" w:ascii="Times New Roman" w:hAnsi="Times New Roman" w:eastAsia="宋体" w:cs="Times New Roman"/>
                <w:color w:val="auto"/>
                <w:kern w:val="2"/>
                <w:sz w:val="21"/>
                <w:szCs w:val="20"/>
                <w:lang w:val="en-US" w:eastAsia="zh-CN" w:bidi="ar-SA"/>
              </w:rPr>
              <w:t>塑料零件制造</w:t>
            </w:r>
            <w:r>
              <w:rPr>
                <w:rFonts w:hint="default" w:ascii="Times New Roman" w:hAnsi="Times New Roman" w:eastAsia="宋体" w:cs="Times New Roman"/>
                <w:color w:val="auto"/>
                <w:kern w:val="2"/>
                <w:sz w:val="21"/>
                <w:szCs w:val="20"/>
                <w:lang w:val="en-US" w:eastAsia="zh-CN" w:bidi="ar-SA"/>
              </w:rPr>
              <w:t>生产项目，不属于园区禁止或限制入驻类行业，符合园区产业规划。</w:t>
            </w:r>
          </w:p>
          <w:p w14:paraId="1DA818AD">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（三）环境准入负面清单</w:t>
            </w:r>
          </w:p>
          <w:p w14:paraId="20BAAD4F">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根据《合川工业园区南溪组团、渭沱组团B区规划环境影响报告书》，本项目与规划环评符合性分析见表1-</w:t>
            </w:r>
            <w:r>
              <w:rPr>
                <w:rFonts w:hint="eastAsia" w:ascii="Times New Roman" w:hAnsi="Times New Roman" w:eastAsia="宋体" w:cs="Times New Roman"/>
                <w:color w:val="auto"/>
                <w:kern w:val="2"/>
                <w:sz w:val="21"/>
                <w:szCs w:val="20"/>
                <w:lang w:val="en-US" w:eastAsia="zh-CN" w:bidi="ar-SA"/>
              </w:rPr>
              <w:t>2</w:t>
            </w:r>
            <w:r>
              <w:rPr>
                <w:rFonts w:hint="default" w:ascii="Times New Roman" w:hAnsi="Times New Roman" w:eastAsia="宋体" w:cs="Times New Roman"/>
                <w:color w:val="auto"/>
                <w:kern w:val="2"/>
                <w:sz w:val="21"/>
                <w:szCs w:val="20"/>
                <w:lang w:val="en-US" w:eastAsia="zh-CN" w:bidi="ar-SA"/>
              </w:rPr>
              <w:t>。</w:t>
            </w:r>
          </w:p>
          <w:p w14:paraId="2ECDEC43">
            <w:pPr>
              <w:widowControl w:val="0"/>
              <w:adjustRightInd w:val="0"/>
              <w:snapToGrid w:val="0"/>
              <w:spacing w:after="0" w:line="36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表1-</w:t>
            </w:r>
            <w:r>
              <w:rPr>
                <w:rFonts w:hint="eastAsia" w:ascii="Times New Roman" w:hAnsi="Times New Roman" w:eastAsia="宋体" w:cs="Times New Roman"/>
                <w:b/>
                <w:color w:val="auto"/>
                <w:kern w:val="2"/>
                <w:sz w:val="21"/>
                <w:szCs w:val="21"/>
                <w:lang w:val="en-US" w:eastAsia="zh-CN" w:bidi="ar-SA"/>
              </w:rPr>
              <w:t>2</w:t>
            </w:r>
            <w:r>
              <w:rPr>
                <w:rFonts w:hint="default" w:ascii="Times New Roman" w:hAnsi="Times New Roman" w:eastAsia="宋体" w:cs="Times New Roman"/>
                <w:b/>
                <w:color w:val="auto"/>
                <w:kern w:val="2"/>
                <w:sz w:val="21"/>
                <w:szCs w:val="21"/>
                <w:lang w:val="en-US" w:eastAsia="zh-CN" w:bidi="ar-SA"/>
              </w:rPr>
              <w:t>与规划环评的符合性分析</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07"/>
              <w:gridCol w:w="600"/>
              <w:gridCol w:w="3087"/>
              <w:gridCol w:w="1498"/>
              <w:gridCol w:w="554"/>
            </w:tblGrid>
            <w:tr w14:paraId="4F9A8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tcBorders>
                    <w:tl2br w:val="nil"/>
                    <w:tr2bl w:val="nil"/>
                  </w:tcBorders>
                  <w:noWrap w:val="0"/>
                  <w:vAlign w:val="center"/>
                </w:tcPr>
                <w:p w14:paraId="67B7CE1D">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分类</w:t>
                  </w:r>
                </w:p>
              </w:tc>
              <w:tc>
                <w:tcPr>
                  <w:tcW w:w="3087" w:type="dxa"/>
                  <w:tcBorders>
                    <w:tl2br w:val="nil"/>
                    <w:tr2bl w:val="nil"/>
                  </w:tcBorders>
                  <w:noWrap w:val="0"/>
                  <w:vAlign w:val="center"/>
                </w:tcPr>
                <w:p w14:paraId="211C84AF">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清单内容</w:t>
                  </w:r>
                </w:p>
              </w:tc>
              <w:tc>
                <w:tcPr>
                  <w:tcW w:w="1498" w:type="dxa"/>
                  <w:tcBorders>
                    <w:tl2br w:val="nil"/>
                    <w:tr2bl w:val="nil"/>
                  </w:tcBorders>
                  <w:noWrap w:val="0"/>
                  <w:vAlign w:val="center"/>
                </w:tcPr>
                <w:p w14:paraId="3048FA31">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项目情况</w:t>
                  </w:r>
                </w:p>
              </w:tc>
              <w:tc>
                <w:tcPr>
                  <w:tcW w:w="554" w:type="dxa"/>
                  <w:tcBorders>
                    <w:tl2br w:val="nil"/>
                    <w:tr2bl w:val="nil"/>
                  </w:tcBorders>
                  <w:noWrap w:val="0"/>
                  <w:vAlign w:val="center"/>
                </w:tcPr>
                <w:p w14:paraId="32BEE813">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符合性</w:t>
                  </w:r>
                </w:p>
              </w:tc>
            </w:tr>
            <w:tr w14:paraId="4252B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restart"/>
                  <w:tcBorders>
                    <w:tl2br w:val="nil"/>
                    <w:tr2bl w:val="nil"/>
                  </w:tcBorders>
                  <w:noWrap w:val="0"/>
                  <w:vAlign w:val="center"/>
                </w:tcPr>
                <w:p w14:paraId="5EBE72FA">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空间布局约束</w:t>
                  </w:r>
                </w:p>
              </w:tc>
              <w:tc>
                <w:tcPr>
                  <w:tcW w:w="3087" w:type="dxa"/>
                  <w:tcBorders>
                    <w:tl2br w:val="nil"/>
                    <w:tr2bl w:val="nil"/>
                  </w:tcBorders>
                  <w:noWrap w:val="0"/>
                  <w:vAlign w:val="center"/>
                </w:tcPr>
                <w:p w14:paraId="14089FA9">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缙云山国家级风景名胜区、九峰山市级森林公园外围300m缓冲带区域原则上按照环境空气一类功能区对应要求进行管理；对临近环境空气一类功能区一侧工业用地不宜布置废气排放量大的企业，增强靠近九峰山市级森林公园一侧防护绿化</w:t>
                  </w:r>
                </w:p>
              </w:tc>
              <w:tc>
                <w:tcPr>
                  <w:tcW w:w="1498" w:type="dxa"/>
                  <w:tcBorders>
                    <w:tl2br w:val="nil"/>
                    <w:tr2bl w:val="nil"/>
                  </w:tcBorders>
                  <w:noWrap w:val="0"/>
                  <w:vAlign w:val="center"/>
                </w:tcPr>
                <w:p w14:paraId="3C9BB229">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本项目所在位置位于九峰山300m缓冲带范围外。</w:t>
                  </w:r>
                </w:p>
              </w:tc>
              <w:tc>
                <w:tcPr>
                  <w:tcW w:w="554" w:type="dxa"/>
                  <w:tcBorders>
                    <w:tl2br w:val="nil"/>
                    <w:tr2bl w:val="nil"/>
                  </w:tcBorders>
                  <w:noWrap w:val="0"/>
                  <w:vAlign w:val="center"/>
                </w:tcPr>
                <w:p w14:paraId="739BF947">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55A0E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continue"/>
                  <w:tcBorders>
                    <w:tl2br w:val="nil"/>
                    <w:tr2bl w:val="nil"/>
                  </w:tcBorders>
                  <w:noWrap w:val="0"/>
                  <w:vAlign w:val="center"/>
                </w:tcPr>
                <w:p w14:paraId="69E25A8A">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0AA3B9C9">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规划区内企业入驻时应优化环境防护距离设置，以防范产业园区涉生态环境“邻避”问题为出发点，将环境防护距离优化控制在园区边界或用地红线内</w:t>
                  </w:r>
                </w:p>
              </w:tc>
              <w:tc>
                <w:tcPr>
                  <w:tcW w:w="1498" w:type="dxa"/>
                  <w:tcBorders>
                    <w:tl2br w:val="nil"/>
                    <w:tr2bl w:val="nil"/>
                  </w:tcBorders>
                  <w:noWrap w:val="0"/>
                  <w:vAlign w:val="center"/>
                </w:tcPr>
                <w:p w14:paraId="7D8FD8EC">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本项目不涉及环境防护距离。</w:t>
                  </w:r>
                </w:p>
              </w:tc>
              <w:tc>
                <w:tcPr>
                  <w:tcW w:w="554" w:type="dxa"/>
                  <w:tcBorders>
                    <w:tl2br w:val="nil"/>
                    <w:tr2bl w:val="nil"/>
                  </w:tcBorders>
                  <w:noWrap w:val="0"/>
                  <w:vAlign w:val="center"/>
                </w:tcPr>
                <w:p w14:paraId="5A0E4E7C">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31A97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noWrap w:val="0"/>
                  <w:vAlign w:val="center"/>
                </w:tcPr>
                <w:p w14:paraId="1CAEF68E">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污染物排放管控</w:t>
                  </w:r>
                </w:p>
              </w:tc>
              <w:tc>
                <w:tcPr>
                  <w:tcW w:w="707" w:type="dxa"/>
                  <w:gridSpan w:val="2"/>
                  <w:tcBorders>
                    <w:tl2br w:val="nil"/>
                    <w:tr2bl w:val="nil"/>
                  </w:tcBorders>
                  <w:noWrap w:val="0"/>
                  <w:vAlign w:val="center"/>
                </w:tcPr>
                <w:p w14:paraId="44A67AB9">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水污染控制措施要求</w:t>
                  </w:r>
                </w:p>
              </w:tc>
              <w:tc>
                <w:tcPr>
                  <w:tcW w:w="3087" w:type="dxa"/>
                  <w:tcBorders>
                    <w:tl2br w:val="nil"/>
                    <w:tr2bl w:val="nil"/>
                  </w:tcBorders>
                  <w:noWrap w:val="0"/>
                  <w:vAlign w:val="center"/>
                </w:tcPr>
                <w:p w14:paraId="768F3627">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规划区废水全部进入污水处理厂处理达标后排放，水污染物达标排放率100%</w:t>
                  </w:r>
                </w:p>
              </w:tc>
              <w:tc>
                <w:tcPr>
                  <w:tcW w:w="1498" w:type="dxa"/>
                  <w:tcBorders>
                    <w:tl2br w:val="nil"/>
                    <w:tr2bl w:val="nil"/>
                  </w:tcBorders>
                  <w:noWrap w:val="0"/>
                  <w:vAlign w:val="center"/>
                </w:tcPr>
                <w:p w14:paraId="24923E3F">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本项目排放的废水最终排至园区污水处理厂处理，达标率为100%</w:t>
                  </w:r>
                </w:p>
              </w:tc>
              <w:tc>
                <w:tcPr>
                  <w:tcW w:w="554" w:type="dxa"/>
                  <w:tcBorders>
                    <w:tl2br w:val="nil"/>
                    <w:tr2bl w:val="nil"/>
                  </w:tcBorders>
                  <w:noWrap w:val="0"/>
                  <w:vAlign w:val="center"/>
                </w:tcPr>
                <w:p w14:paraId="2318E903">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444FE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49EE24A0">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707" w:type="dxa"/>
                  <w:gridSpan w:val="2"/>
                  <w:tcBorders>
                    <w:tl2br w:val="nil"/>
                    <w:tr2bl w:val="nil"/>
                  </w:tcBorders>
                  <w:noWrap w:val="0"/>
                  <w:vAlign w:val="center"/>
                </w:tcPr>
                <w:p w14:paraId="0F6DD9D3">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大气污染物控制措施要求</w:t>
                  </w:r>
                </w:p>
              </w:tc>
              <w:tc>
                <w:tcPr>
                  <w:tcW w:w="3087" w:type="dxa"/>
                  <w:tcBorders>
                    <w:tl2br w:val="nil"/>
                    <w:tr2bl w:val="nil"/>
                  </w:tcBorders>
                  <w:noWrap w:val="0"/>
                  <w:vAlign w:val="center"/>
                </w:tcPr>
                <w:p w14:paraId="65EA9357">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涉及挥发性有机污染物的排放的企业应按国家及重庆市“十三五”挥发性有机物大气污染防治工作实施方案要求，采用低毒、低挥发性原辅材料，进行工艺改造，并对原辅材料储运、加工生产、废弃物处置等环节实施全过程控制；鼓励水泥、玻璃制品等行业在已达标的基础上深度治理，并持续实行水泥行业错峰生产</w:t>
                  </w:r>
                </w:p>
              </w:tc>
              <w:tc>
                <w:tcPr>
                  <w:tcW w:w="1498" w:type="dxa"/>
                  <w:tcBorders>
                    <w:tl2br w:val="nil"/>
                    <w:tr2bl w:val="nil"/>
                  </w:tcBorders>
                  <w:noWrap w:val="0"/>
                  <w:vAlign w:val="center"/>
                </w:tcPr>
                <w:p w14:paraId="33318CF5">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本项目采用低毒、低挥发性的原辅材料，并对原辅材料储运、加工生产、废弃物处置等环节实施全过程控制，不属于水泥、玻璃制品等行业</w:t>
                  </w:r>
                </w:p>
              </w:tc>
              <w:tc>
                <w:tcPr>
                  <w:tcW w:w="554" w:type="dxa"/>
                  <w:tcBorders>
                    <w:tl2br w:val="nil"/>
                    <w:tr2bl w:val="nil"/>
                  </w:tcBorders>
                  <w:noWrap w:val="0"/>
                  <w:vAlign w:val="center"/>
                </w:tcPr>
                <w:p w14:paraId="7603A95E">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0325B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4F7D0DE9">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707" w:type="dxa"/>
                  <w:gridSpan w:val="2"/>
                  <w:tcBorders>
                    <w:tl2br w:val="nil"/>
                    <w:tr2bl w:val="nil"/>
                  </w:tcBorders>
                  <w:noWrap w:val="0"/>
                  <w:vAlign w:val="center"/>
                </w:tcPr>
                <w:p w14:paraId="03DCF011">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固体废物处置措施</w:t>
                  </w:r>
                </w:p>
              </w:tc>
              <w:tc>
                <w:tcPr>
                  <w:tcW w:w="3087" w:type="dxa"/>
                  <w:tcBorders>
                    <w:tl2br w:val="nil"/>
                    <w:tr2bl w:val="nil"/>
                  </w:tcBorders>
                  <w:noWrap w:val="0"/>
                  <w:vAlign w:val="center"/>
                </w:tcPr>
                <w:p w14:paraId="6D5C7995">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工业固体废物综合利用率达到95.5%</w:t>
                  </w:r>
                </w:p>
              </w:tc>
              <w:tc>
                <w:tcPr>
                  <w:tcW w:w="1498" w:type="dxa"/>
                  <w:tcBorders>
                    <w:tl2br w:val="nil"/>
                    <w:tr2bl w:val="nil"/>
                  </w:tcBorders>
                  <w:noWrap w:val="0"/>
                  <w:vAlign w:val="center"/>
                </w:tcPr>
                <w:p w14:paraId="0BF3F7C6">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本项目工业固体废物综合处置率达到100%</w:t>
                  </w:r>
                </w:p>
              </w:tc>
              <w:tc>
                <w:tcPr>
                  <w:tcW w:w="554" w:type="dxa"/>
                  <w:tcBorders>
                    <w:tl2br w:val="nil"/>
                    <w:tr2bl w:val="nil"/>
                  </w:tcBorders>
                  <w:noWrap w:val="0"/>
                  <w:vAlign w:val="center"/>
                </w:tcPr>
                <w:p w14:paraId="70C12456">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49389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tcBorders>
                    <w:tl2br w:val="nil"/>
                    <w:tr2bl w:val="nil"/>
                  </w:tcBorders>
                  <w:noWrap w:val="0"/>
                  <w:vAlign w:val="center"/>
                </w:tcPr>
                <w:p w14:paraId="209529A9">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环境风险防控</w:t>
                  </w:r>
                </w:p>
              </w:tc>
              <w:tc>
                <w:tcPr>
                  <w:tcW w:w="3087" w:type="dxa"/>
                  <w:tcBorders>
                    <w:tl2br w:val="nil"/>
                    <w:tr2bl w:val="nil"/>
                  </w:tcBorders>
                  <w:noWrap w:val="0"/>
                  <w:vAlign w:val="center"/>
                </w:tcPr>
                <w:p w14:paraId="7F08D5B4">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规划区建设三级（车间、厂区、规划区）环境风险防控体系；督促规划区内各企业加强环境风险防控，建设防止环境风险物质泄漏扩散的封堵、围栏、喷淋、吸收、收集、处理等应急设施</w:t>
                  </w:r>
                </w:p>
              </w:tc>
              <w:tc>
                <w:tcPr>
                  <w:tcW w:w="1498" w:type="dxa"/>
                  <w:tcBorders>
                    <w:tl2br w:val="nil"/>
                    <w:tr2bl w:val="nil"/>
                  </w:tcBorders>
                  <w:noWrap w:val="0"/>
                  <w:vAlign w:val="center"/>
                </w:tcPr>
                <w:p w14:paraId="21F5A40D">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本项目环境风险较低，采取了车间风险防控措施，</w:t>
                  </w:r>
                  <w:r>
                    <w:rPr>
                      <w:rFonts w:hint="eastAsia" w:cs="Times New Roman"/>
                      <w:color w:val="auto"/>
                      <w:kern w:val="2"/>
                      <w:sz w:val="18"/>
                      <w:szCs w:val="18"/>
                      <w:lang w:val="en-US" w:eastAsia="zh-CN" w:bidi="ar-SA"/>
                    </w:rPr>
                    <w:t>厂区建立完善的风险管理制度，</w:t>
                  </w:r>
                  <w:r>
                    <w:rPr>
                      <w:rFonts w:hint="default" w:ascii="Times New Roman" w:hAnsi="Times New Roman" w:eastAsia="宋体" w:cs="Times New Roman"/>
                      <w:color w:val="auto"/>
                      <w:kern w:val="2"/>
                      <w:sz w:val="18"/>
                      <w:szCs w:val="18"/>
                      <w:lang w:val="en-US" w:eastAsia="zh-CN" w:bidi="ar-SA"/>
                    </w:rPr>
                    <w:t>同时依托园区风险防控体系</w:t>
                  </w:r>
                  <w:r>
                    <w:rPr>
                      <w:rFonts w:hint="eastAsia" w:cs="Times New Roman"/>
                      <w:color w:val="auto"/>
                      <w:kern w:val="2"/>
                      <w:sz w:val="18"/>
                      <w:szCs w:val="18"/>
                      <w:lang w:val="en-US" w:eastAsia="zh-CN" w:bidi="ar-SA"/>
                    </w:rPr>
                    <w:t>，且本项目危废间、液体物料暂存区采取了托盘、围堰等设施防止风险物质泄漏扩散。</w:t>
                  </w:r>
                </w:p>
              </w:tc>
              <w:tc>
                <w:tcPr>
                  <w:tcW w:w="554" w:type="dxa"/>
                  <w:tcBorders>
                    <w:tl2br w:val="nil"/>
                    <w:tr2bl w:val="nil"/>
                  </w:tcBorders>
                  <w:noWrap w:val="0"/>
                  <w:vAlign w:val="center"/>
                </w:tcPr>
                <w:p w14:paraId="134F5308">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2FC28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tcBorders>
                    <w:tl2br w:val="nil"/>
                    <w:tr2bl w:val="nil"/>
                  </w:tcBorders>
                  <w:noWrap w:val="0"/>
                  <w:vAlign w:val="center"/>
                </w:tcPr>
                <w:p w14:paraId="1F3C6BFE">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资源利用效率</w:t>
                  </w:r>
                </w:p>
              </w:tc>
              <w:tc>
                <w:tcPr>
                  <w:tcW w:w="3087" w:type="dxa"/>
                  <w:tcBorders>
                    <w:tl2br w:val="nil"/>
                    <w:tr2bl w:val="nil"/>
                  </w:tcBorders>
                  <w:noWrap w:val="0"/>
                  <w:vAlign w:val="center"/>
                </w:tcPr>
                <w:p w14:paraId="0CD6AE23">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新建和改造的工业项目清洁生产水平不得低于国家清洁生产标准的国内先进水平。新建高耗能项目单位产品（产值）能耗要达到国际先进水平</w:t>
                  </w:r>
                </w:p>
              </w:tc>
              <w:tc>
                <w:tcPr>
                  <w:tcW w:w="1498" w:type="dxa"/>
                  <w:tcBorders>
                    <w:tl2br w:val="nil"/>
                    <w:tr2bl w:val="nil"/>
                  </w:tcBorders>
                  <w:noWrap w:val="0"/>
                  <w:vAlign w:val="center"/>
                </w:tcPr>
                <w:p w14:paraId="587EE3C0">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本项目清洁生产水平达到国内先进水平；本项目不属于高耗能项目</w:t>
                  </w:r>
                </w:p>
              </w:tc>
              <w:tc>
                <w:tcPr>
                  <w:tcW w:w="554" w:type="dxa"/>
                  <w:tcBorders>
                    <w:tl2br w:val="nil"/>
                    <w:tr2bl w:val="nil"/>
                  </w:tcBorders>
                  <w:noWrap w:val="0"/>
                  <w:vAlign w:val="center"/>
                </w:tcPr>
                <w:p w14:paraId="71F2694C">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14ECE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restart"/>
                  <w:tcBorders>
                    <w:tl2br w:val="nil"/>
                    <w:tr2bl w:val="nil"/>
                  </w:tcBorders>
                  <w:noWrap w:val="0"/>
                  <w:vAlign w:val="center"/>
                </w:tcPr>
                <w:p w14:paraId="53F56F8B">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禁止准入产业</w:t>
                  </w:r>
                </w:p>
              </w:tc>
              <w:tc>
                <w:tcPr>
                  <w:tcW w:w="3087" w:type="dxa"/>
                  <w:tcBorders>
                    <w:tl2br w:val="nil"/>
                    <w:tr2bl w:val="nil"/>
                  </w:tcBorders>
                  <w:noWrap w:val="0"/>
                  <w:vAlign w:val="center"/>
                </w:tcPr>
                <w:p w14:paraId="2C1DCB0B">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禁止《市场准入负面清单》、《关于发布长江经济带发展负面清单（指南）的通知》、《重庆市长江经济带发展负面清单实施细则（试行）》、《重庆市产业投资准入工作手册》（渝发改投</w:t>
                  </w:r>
                  <w:r>
                    <w:rPr>
                      <w:rFonts w:hint="eastAsia" w:cs="Times New Roman"/>
                      <w:color w:val="auto"/>
                      <w:kern w:val="2"/>
                      <w:sz w:val="18"/>
                      <w:szCs w:val="18"/>
                      <w:lang w:val="en-US" w:eastAsia="zh-CN" w:bidi="ar-SA"/>
                    </w:rPr>
                    <w:t>〔2018〕541号</w:t>
                  </w:r>
                  <w:r>
                    <w:rPr>
                      <w:rFonts w:hint="default" w:ascii="Times New Roman" w:hAnsi="Times New Roman" w:eastAsia="宋体" w:cs="Times New Roman"/>
                      <w:color w:val="auto"/>
                      <w:kern w:val="2"/>
                      <w:sz w:val="18"/>
                      <w:szCs w:val="18"/>
                      <w:lang w:val="en-US" w:eastAsia="zh-CN" w:bidi="ar-SA"/>
                    </w:rPr>
                    <w:t>）、《重庆市关于严格工业布局和准入的通知》（渝发改投</w:t>
                  </w:r>
                  <w:r>
                    <w:rPr>
                      <w:rFonts w:hint="eastAsia" w:cs="Times New Roman"/>
                      <w:color w:val="auto"/>
                      <w:kern w:val="2"/>
                      <w:sz w:val="18"/>
                      <w:szCs w:val="18"/>
                      <w:lang w:val="en-US" w:eastAsia="zh-CN" w:bidi="ar-SA"/>
                    </w:rPr>
                    <w:t>〔2018〕781号</w:t>
                  </w:r>
                  <w:r>
                    <w:rPr>
                      <w:rFonts w:hint="default" w:ascii="Times New Roman" w:hAnsi="Times New Roman" w:eastAsia="宋体" w:cs="Times New Roman"/>
                      <w:color w:val="auto"/>
                      <w:kern w:val="2"/>
                      <w:sz w:val="18"/>
                      <w:szCs w:val="18"/>
                      <w:lang w:val="en-US" w:eastAsia="zh-CN" w:bidi="ar-SA"/>
                    </w:rPr>
                    <w:t>）中提出的负面清单以及不予准入类项目；禁止引入资源环境绩效水平超过《重庆市工业项目环境准入规定》限值以及不符合生态建设和环境保护规划区域布局规定的工业项目</w:t>
                  </w:r>
                </w:p>
              </w:tc>
              <w:tc>
                <w:tcPr>
                  <w:tcW w:w="1498" w:type="dxa"/>
                  <w:tcBorders>
                    <w:tl2br w:val="nil"/>
                    <w:tr2bl w:val="nil"/>
                  </w:tcBorders>
                  <w:noWrap w:val="0"/>
                  <w:vAlign w:val="center"/>
                </w:tcPr>
                <w:p w14:paraId="219FED12">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本项目不属于负面清单及不予准入类项目</w:t>
                  </w:r>
                </w:p>
              </w:tc>
              <w:tc>
                <w:tcPr>
                  <w:tcW w:w="554" w:type="dxa"/>
                  <w:tcBorders>
                    <w:tl2br w:val="nil"/>
                    <w:tr2bl w:val="nil"/>
                  </w:tcBorders>
                  <w:noWrap w:val="0"/>
                  <w:vAlign w:val="center"/>
                </w:tcPr>
                <w:p w14:paraId="20F6D15B">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7D97F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continue"/>
                  <w:tcBorders>
                    <w:tl2br w:val="nil"/>
                    <w:tr2bl w:val="nil"/>
                  </w:tcBorders>
                  <w:noWrap w:val="0"/>
                  <w:vAlign w:val="center"/>
                </w:tcPr>
                <w:p w14:paraId="191F568B">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0490D462">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禁止新建、扩建造纸、印染、化学原料药、电镀、铅酸电池、危险废物利用和处置、排放重金属以及存在严重环境安全风险的工业项目</w:t>
                  </w:r>
                </w:p>
              </w:tc>
              <w:tc>
                <w:tcPr>
                  <w:tcW w:w="1498" w:type="dxa"/>
                  <w:tcBorders>
                    <w:tl2br w:val="nil"/>
                    <w:tr2bl w:val="nil"/>
                  </w:tcBorders>
                  <w:noWrap w:val="0"/>
                  <w:vAlign w:val="center"/>
                </w:tcPr>
                <w:p w14:paraId="1589E188">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本项目属于</w:t>
                  </w:r>
                  <w:r>
                    <w:rPr>
                      <w:rFonts w:hint="eastAsia" w:ascii="Times New Roman" w:hAnsi="Times New Roman" w:eastAsia="宋体" w:cs="Times New Roman"/>
                      <w:color w:val="auto"/>
                      <w:kern w:val="2"/>
                      <w:sz w:val="18"/>
                      <w:szCs w:val="18"/>
                      <w:lang w:val="en-US" w:eastAsia="zh-CN" w:bidi="ar-SA"/>
                    </w:rPr>
                    <w:t>汽车零部件和塑料零件制造生产项目</w:t>
                  </w:r>
                  <w:r>
                    <w:rPr>
                      <w:rFonts w:hint="default" w:ascii="Times New Roman" w:hAnsi="Times New Roman" w:eastAsia="宋体" w:cs="Times New Roman"/>
                      <w:color w:val="auto"/>
                      <w:kern w:val="2"/>
                      <w:sz w:val="18"/>
                      <w:szCs w:val="18"/>
                      <w:lang w:val="en-US" w:eastAsia="zh-CN" w:bidi="ar-SA"/>
                    </w:rPr>
                    <w:t>，不属于上述禁止类项目，无重金属排放，环境风险小。</w:t>
                  </w:r>
                </w:p>
              </w:tc>
              <w:tc>
                <w:tcPr>
                  <w:tcW w:w="554" w:type="dxa"/>
                  <w:tcBorders>
                    <w:tl2br w:val="nil"/>
                    <w:tr2bl w:val="nil"/>
                  </w:tcBorders>
                  <w:noWrap w:val="0"/>
                  <w:vAlign w:val="center"/>
                </w:tcPr>
                <w:p w14:paraId="29F97A6D">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313A1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continue"/>
                  <w:tcBorders>
                    <w:tl2br w:val="nil"/>
                    <w:tr2bl w:val="nil"/>
                  </w:tcBorders>
                  <w:noWrap w:val="0"/>
                  <w:vAlign w:val="center"/>
                </w:tcPr>
                <w:p w14:paraId="0AB21676">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542E32FE">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长江及主要支流1km范围内新建重化工、纺织、造纸等存在污染风险的工业项目</w:t>
                  </w:r>
                </w:p>
              </w:tc>
              <w:tc>
                <w:tcPr>
                  <w:tcW w:w="1498" w:type="dxa"/>
                  <w:tcBorders>
                    <w:tl2br w:val="nil"/>
                    <w:tr2bl w:val="nil"/>
                  </w:tcBorders>
                  <w:noWrap w:val="0"/>
                  <w:vAlign w:val="center"/>
                </w:tcPr>
                <w:p w14:paraId="4F08705D">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本项目不属于重化工、纺织、造纸等存在污染风险的工业项目。</w:t>
                  </w:r>
                </w:p>
              </w:tc>
              <w:tc>
                <w:tcPr>
                  <w:tcW w:w="554" w:type="dxa"/>
                  <w:tcBorders>
                    <w:tl2br w:val="nil"/>
                    <w:tr2bl w:val="nil"/>
                  </w:tcBorders>
                  <w:noWrap w:val="0"/>
                  <w:vAlign w:val="center"/>
                </w:tcPr>
                <w:p w14:paraId="5489FDDC">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48B4F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continue"/>
                  <w:tcBorders>
                    <w:tl2br w:val="nil"/>
                    <w:tr2bl w:val="nil"/>
                  </w:tcBorders>
                  <w:noWrap w:val="0"/>
                  <w:vAlign w:val="center"/>
                </w:tcPr>
                <w:p w14:paraId="0A8FDE25">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4373A81E">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在嘉陵江及其一级支流汇入口上游20公里、集中式饮用水水源取水口上游20公里范围内的沿岸地区（江河50年一遇洪水位向陆域一侧1公里范围内），禁止新建、扩建排放重金属（铬、镉、汞、砷、铅等五类重金属）、剧毒物质和持久性有机污染物的工业项目</w:t>
                  </w:r>
                </w:p>
              </w:tc>
              <w:tc>
                <w:tcPr>
                  <w:tcW w:w="1498" w:type="dxa"/>
                  <w:tcBorders>
                    <w:tl2br w:val="nil"/>
                    <w:tr2bl w:val="nil"/>
                  </w:tcBorders>
                  <w:noWrap w:val="0"/>
                  <w:vAlign w:val="center"/>
                </w:tcPr>
                <w:p w14:paraId="434077D9">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本项目不排放重金属、剧毒物质和持久性有机污染物。</w:t>
                  </w:r>
                </w:p>
              </w:tc>
              <w:tc>
                <w:tcPr>
                  <w:tcW w:w="554" w:type="dxa"/>
                  <w:tcBorders>
                    <w:tl2br w:val="nil"/>
                    <w:tr2bl w:val="nil"/>
                  </w:tcBorders>
                  <w:noWrap w:val="0"/>
                  <w:vAlign w:val="center"/>
                </w:tcPr>
                <w:p w14:paraId="1C6C6AE3">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04E97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dxa"/>
                  <w:gridSpan w:val="3"/>
                  <w:vMerge w:val="continue"/>
                  <w:tcBorders>
                    <w:tl2br w:val="nil"/>
                    <w:tr2bl w:val="nil"/>
                  </w:tcBorders>
                  <w:noWrap w:val="0"/>
                  <w:vAlign w:val="center"/>
                </w:tcPr>
                <w:p w14:paraId="58AFB34B">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3035FC98">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禁止新建、扩建化工项目（为园区主导产业配套必需的、对环境影响小、风险可控的化工项目除外）</w:t>
                  </w:r>
                </w:p>
              </w:tc>
              <w:tc>
                <w:tcPr>
                  <w:tcW w:w="1498" w:type="dxa"/>
                  <w:tcBorders>
                    <w:tl2br w:val="nil"/>
                    <w:tr2bl w:val="nil"/>
                  </w:tcBorders>
                  <w:noWrap w:val="0"/>
                  <w:vAlign w:val="center"/>
                </w:tcPr>
                <w:p w14:paraId="621D46D6">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本项目不属于化工项目，对周边环境影响小，风险可控。</w:t>
                  </w:r>
                </w:p>
              </w:tc>
              <w:tc>
                <w:tcPr>
                  <w:tcW w:w="554" w:type="dxa"/>
                  <w:tcBorders>
                    <w:tl2br w:val="nil"/>
                    <w:tr2bl w:val="nil"/>
                  </w:tcBorders>
                  <w:noWrap w:val="0"/>
                  <w:vAlign w:val="center"/>
                </w:tcPr>
                <w:p w14:paraId="64AE3AE7">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01BFD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gridSpan w:val="2"/>
                  <w:vMerge w:val="restart"/>
                  <w:tcBorders>
                    <w:tl2br w:val="nil"/>
                    <w:tr2bl w:val="nil"/>
                  </w:tcBorders>
                  <w:noWrap w:val="0"/>
                  <w:vAlign w:val="center"/>
                </w:tcPr>
                <w:p w14:paraId="03939CF4">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限制准入产业</w:t>
                  </w:r>
                </w:p>
              </w:tc>
              <w:tc>
                <w:tcPr>
                  <w:tcW w:w="600" w:type="dxa"/>
                  <w:vMerge w:val="restart"/>
                  <w:tcBorders>
                    <w:tl2br w:val="nil"/>
                    <w:tr2bl w:val="nil"/>
                  </w:tcBorders>
                  <w:noWrap w:val="0"/>
                  <w:vAlign w:val="center"/>
                </w:tcPr>
                <w:p w14:paraId="4C96BCC9">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总体</w:t>
                  </w:r>
                </w:p>
              </w:tc>
              <w:tc>
                <w:tcPr>
                  <w:tcW w:w="3087" w:type="dxa"/>
                  <w:tcBorders>
                    <w:tl2br w:val="nil"/>
                    <w:tr2bl w:val="nil"/>
                  </w:tcBorders>
                  <w:noWrap w:val="0"/>
                  <w:vAlign w:val="center"/>
                </w:tcPr>
                <w:p w14:paraId="1FE69C71">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严格控制过剩产能和“两高一资”项目，严格限制造纸、印染、煤电、传统化工、传统燃油汽车、涉及重金属以及有毒有害和持久性有机污染物排放的项目</w:t>
                  </w:r>
                </w:p>
              </w:tc>
              <w:tc>
                <w:tcPr>
                  <w:tcW w:w="1498" w:type="dxa"/>
                  <w:tcBorders>
                    <w:tl2br w:val="nil"/>
                    <w:tr2bl w:val="nil"/>
                  </w:tcBorders>
                  <w:noWrap w:val="0"/>
                  <w:vAlign w:val="center"/>
                </w:tcPr>
                <w:p w14:paraId="79DCB3D6">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本项目不属于过剩产能和“两高一资”项目，不涉及重金属及有毒有害和持久性有机污染物排放。</w:t>
                  </w:r>
                </w:p>
              </w:tc>
              <w:tc>
                <w:tcPr>
                  <w:tcW w:w="554" w:type="dxa"/>
                  <w:tcBorders>
                    <w:tl2br w:val="nil"/>
                    <w:tr2bl w:val="nil"/>
                  </w:tcBorders>
                  <w:noWrap w:val="0"/>
                  <w:vAlign w:val="center"/>
                </w:tcPr>
                <w:p w14:paraId="6FCCFC91">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6B66F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gridSpan w:val="2"/>
                  <w:vMerge w:val="continue"/>
                  <w:tcBorders>
                    <w:tl2br w:val="nil"/>
                    <w:tr2bl w:val="nil"/>
                  </w:tcBorders>
                  <w:noWrap w:val="0"/>
                  <w:vAlign w:val="center"/>
                </w:tcPr>
                <w:p w14:paraId="0BE6F8B2">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600" w:type="dxa"/>
                  <w:vMerge w:val="continue"/>
                  <w:tcBorders>
                    <w:tl2br w:val="nil"/>
                    <w:tr2bl w:val="nil"/>
                  </w:tcBorders>
                  <w:noWrap w:val="0"/>
                  <w:vAlign w:val="center"/>
                </w:tcPr>
                <w:p w14:paraId="0E2ABDBA">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4AD492CA">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在合川区、江津区、长寿区、璧山县等地区严格限制新建、扩建可能对主城区大气产生影响的燃煤、重油等高污染物工业项目</w:t>
                  </w:r>
                </w:p>
              </w:tc>
              <w:tc>
                <w:tcPr>
                  <w:tcW w:w="1498" w:type="dxa"/>
                  <w:tcBorders>
                    <w:tl2br w:val="nil"/>
                    <w:tr2bl w:val="nil"/>
                  </w:tcBorders>
                  <w:noWrap w:val="0"/>
                  <w:vAlign w:val="center"/>
                </w:tcPr>
                <w:p w14:paraId="4B99A1A6">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本项目不属于燃煤、重油等高污染工业项目。</w:t>
                  </w:r>
                </w:p>
              </w:tc>
              <w:tc>
                <w:tcPr>
                  <w:tcW w:w="554" w:type="dxa"/>
                  <w:tcBorders>
                    <w:tl2br w:val="nil"/>
                    <w:tr2bl w:val="nil"/>
                  </w:tcBorders>
                  <w:noWrap w:val="0"/>
                  <w:vAlign w:val="center"/>
                </w:tcPr>
                <w:p w14:paraId="77D4CD97">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4B47D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gridSpan w:val="2"/>
                  <w:vMerge w:val="continue"/>
                  <w:tcBorders>
                    <w:tl2br w:val="nil"/>
                    <w:tr2bl w:val="nil"/>
                  </w:tcBorders>
                  <w:noWrap w:val="0"/>
                  <w:vAlign w:val="center"/>
                </w:tcPr>
                <w:p w14:paraId="6A2929BE">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600" w:type="dxa"/>
                  <w:vMerge w:val="continue"/>
                  <w:tcBorders>
                    <w:tl2br w:val="nil"/>
                    <w:tr2bl w:val="nil"/>
                  </w:tcBorders>
                  <w:noWrap w:val="0"/>
                  <w:vAlign w:val="center"/>
                </w:tcPr>
                <w:p w14:paraId="7ABC78F0">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10895BEB">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严格限制高耗排水的工业项目，可能对饮用水源带来安全隐患的项目</w:t>
                  </w:r>
                </w:p>
              </w:tc>
              <w:tc>
                <w:tcPr>
                  <w:tcW w:w="1498" w:type="dxa"/>
                  <w:tcBorders>
                    <w:tl2br w:val="nil"/>
                    <w:tr2bl w:val="nil"/>
                  </w:tcBorders>
                  <w:noWrap w:val="0"/>
                  <w:vAlign w:val="center"/>
                </w:tcPr>
                <w:p w14:paraId="4C3A569F">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w:t>
                  </w:r>
                  <w:r>
                    <w:rPr>
                      <w:rFonts w:hint="eastAsia" w:cs="Times New Roman"/>
                      <w:color w:val="auto"/>
                      <w:kern w:val="2"/>
                      <w:sz w:val="18"/>
                      <w:szCs w:val="18"/>
                      <w:lang w:val="en-US" w:eastAsia="zh-CN" w:bidi="ar-SA"/>
                    </w:rPr>
                    <w:t>年用水量0.198万t</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废水</w:t>
                  </w:r>
                  <w:r>
                    <w:rPr>
                      <w:rFonts w:hint="default" w:ascii="Times New Roman" w:hAnsi="Times New Roman" w:eastAsia="宋体" w:cs="Times New Roman"/>
                      <w:color w:val="auto"/>
                      <w:kern w:val="2"/>
                      <w:sz w:val="18"/>
                      <w:szCs w:val="18"/>
                      <w:lang w:val="en-US" w:eastAsia="zh-CN" w:bidi="ar-SA"/>
                    </w:rPr>
                    <w:t>排水量</w:t>
                  </w:r>
                  <w:r>
                    <w:rPr>
                      <w:rFonts w:hint="eastAsia" w:cs="Times New Roman"/>
                      <w:color w:val="auto"/>
                      <w:kern w:val="2"/>
                      <w:sz w:val="18"/>
                      <w:szCs w:val="18"/>
                      <w:lang w:val="en-US" w:eastAsia="zh-CN" w:bidi="ar-SA"/>
                    </w:rPr>
                    <w:t>0.0292万t</w:t>
                  </w:r>
                  <w:r>
                    <w:rPr>
                      <w:rFonts w:hint="default" w:ascii="Times New Roman" w:hAnsi="Times New Roman" w:eastAsia="宋体" w:cs="Times New Roman"/>
                      <w:color w:val="auto"/>
                      <w:kern w:val="2"/>
                      <w:sz w:val="18"/>
                      <w:szCs w:val="18"/>
                      <w:lang w:val="en-US" w:eastAsia="zh-CN" w:bidi="ar-SA"/>
                    </w:rPr>
                    <w:t>，项目排放的废水最终排至园区污水处理厂处理，</w:t>
                  </w:r>
                  <w:r>
                    <w:rPr>
                      <w:rFonts w:hint="eastAsia" w:cs="Times New Roman"/>
                      <w:color w:val="auto"/>
                      <w:kern w:val="2"/>
                      <w:sz w:val="18"/>
                      <w:szCs w:val="18"/>
                      <w:lang w:val="en-US" w:eastAsia="zh-CN" w:bidi="ar-SA"/>
                    </w:rPr>
                    <w:t>且废水</w:t>
                  </w:r>
                  <w:r>
                    <w:rPr>
                      <w:rFonts w:hint="default" w:ascii="Times New Roman" w:hAnsi="Times New Roman" w:eastAsia="宋体" w:cs="Times New Roman"/>
                      <w:color w:val="auto"/>
                      <w:kern w:val="2"/>
                      <w:sz w:val="18"/>
                      <w:szCs w:val="18"/>
                      <w:lang w:val="en-US" w:eastAsia="zh-CN" w:bidi="ar-SA"/>
                    </w:rPr>
                    <w:t>达标率为100%</w:t>
                  </w:r>
                </w:p>
              </w:tc>
              <w:tc>
                <w:tcPr>
                  <w:tcW w:w="554" w:type="dxa"/>
                  <w:tcBorders>
                    <w:tl2br w:val="nil"/>
                    <w:tr2bl w:val="nil"/>
                  </w:tcBorders>
                  <w:noWrap w:val="0"/>
                  <w:vAlign w:val="center"/>
                </w:tcPr>
                <w:p w14:paraId="500A13EA">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5C1A4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gridSpan w:val="2"/>
                  <w:vMerge w:val="continue"/>
                  <w:tcBorders>
                    <w:tl2br w:val="nil"/>
                    <w:tr2bl w:val="nil"/>
                  </w:tcBorders>
                  <w:noWrap w:val="0"/>
                  <w:vAlign w:val="center"/>
                </w:tcPr>
                <w:p w14:paraId="5201DD44">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600" w:type="dxa"/>
                  <w:vMerge w:val="continue"/>
                  <w:tcBorders>
                    <w:tl2br w:val="nil"/>
                    <w:tr2bl w:val="nil"/>
                  </w:tcBorders>
                  <w:noWrap w:val="0"/>
                  <w:vAlign w:val="center"/>
                </w:tcPr>
                <w:p w14:paraId="1AC8627F">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p>
              </w:tc>
              <w:tc>
                <w:tcPr>
                  <w:tcW w:w="3087" w:type="dxa"/>
                  <w:tcBorders>
                    <w:tl2br w:val="nil"/>
                    <w:tr2bl w:val="nil"/>
                  </w:tcBorders>
                  <w:noWrap w:val="0"/>
                  <w:vAlign w:val="center"/>
                </w:tcPr>
                <w:p w14:paraId="50976ECD">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严格限制在声环境2类区附近建设产生噪声污染的工业项目</w:t>
                  </w:r>
                </w:p>
              </w:tc>
              <w:tc>
                <w:tcPr>
                  <w:tcW w:w="1498" w:type="dxa"/>
                  <w:tcBorders>
                    <w:tl2br w:val="nil"/>
                    <w:tr2bl w:val="nil"/>
                  </w:tcBorders>
                  <w:noWrap w:val="0"/>
                  <w:vAlign w:val="center"/>
                </w:tcPr>
                <w:p w14:paraId="688BDB04">
                  <w:pPr>
                    <w:widowControl w:val="0"/>
                    <w:adjustRightInd w:val="0"/>
                    <w:snapToGrid w:val="0"/>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本项目所在区属于声环境3类区，周边50m区域内无声环境敏感点。</w:t>
                  </w:r>
                </w:p>
              </w:tc>
              <w:tc>
                <w:tcPr>
                  <w:tcW w:w="554" w:type="dxa"/>
                  <w:tcBorders>
                    <w:tl2br w:val="nil"/>
                    <w:tr2bl w:val="nil"/>
                  </w:tcBorders>
                  <w:noWrap w:val="0"/>
                  <w:vAlign w:val="center"/>
                </w:tcPr>
                <w:p w14:paraId="09E8390E">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bl>
          <w:p w14:paraId="087E21B8">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本项目符合《合川工业园区南溪组团、渭沱组团B区规划环境影响报告书》要求。</w:t>
            </w:r>
          </w:p>
          <w:p w14:paraId="7C871E1C">
            <w:pPr>
              <w:widowControl w:val="0"/>
              <w:adjustRightInd w:val="0"/>
              <w:snapToGrid w:val="0"/>
              <w:spacing w:after="0" w:line="36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表1-</w:t>
            </w:r>
            <w:r>
              <w:rPr>
                <w:rFonts w:hint="eastAsia" w:ascii="Times New Roman" w:hAnsi="Times New Roman" w:eastAsia="宋体" w:cs="Times New Roman"/>
                <w:b/>
                <w:color w:val="auto"/>
                <w:kern w:val="2"/>
                <w:sz w:val="21"/>
                <w:szCs w:val="21"/>
                <w:lang w:val="en-US" w:eastAsia="zh-CN" w:bidi="ar-SA"/>
              </w:rPr>
              <w:t>3</w:t>
            </w:r>
            <w:r>
              <w:rPr>
                <w:rFonts w:hint="default" w:ascii="Times New Roman" w:hAnsi="Times New Roman" w:eastAsia="宋体" w:cs="Times New Roman"/>
                <w:b/>
                <w:color w:val="auto"/>
                <w:kern w:val="2"/>
                <w:sz w:val="21"/>
                <w:szCs w:val="21"/>
                <w:lang w:val="en-US" w:eastAsia="zh-CN" w:bidi="ar-SA"/>
              </w:rPr>
              <w:t xml:space="preserve">   与审查意见符合性分析</w:t>
            </w:r>
          </w:p>
          <w:tbl>
            <w:tblPr>
              <w:tblStyle w:val="30"/>
              <w:tblW w:w="49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3589"/>
              <w:gridCol w:w="1484"/>
              <w:gridCol w:w="649"/>
            </w:tblGrid>
            <w:tr w14:paraId="3C9D9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1123BC9D">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序号</w:t>
                  </w:r>
                </w:p>
              </w:tc>
              <w:tc>
                <w:tcPr>
                  <w:tcW w:w="3589" w:type="dxa"/>
                  <w:tcBorders>
                    <w:tl2br w:val="nil"/>
                    <w:tr2bl w:val="nil"/>
                  </w:tcBorders>
                  <w:noWrap w:val="0"/>
                  <w:vAlign w:val="center"/>
                </w:tcPr>
                <w:p w14:paraId="76DF1DBB">
                  <w:pPr>
                    <w:widowControl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渝环函</w:t>
                  </w:r>
                  <w:r>
                    <w:rPr>
                      <w:rFonts w:hint="eastAsia" w:ascii="Times New Roman" w:hAnsi="Times New Roman" w:eastAsia="宋体" w:cs="Times New Roman"/>
                      <w:color w:val="auto"/>
                      <w:kern w:val="0"/>
                      <w:sz w:val="18"/>
                      <w:szCs w:val="18"/>
                      <w:lang w:val="en-US" w:eastAsia="zh-CN" w:bidi="ar-SA"/>
                    </w:rPr>
                    <w:t>〔2019〕1169号</w:t>
                  </w:r>
                </w:p>
              </w:tc>
              <w:tc>
                <w:tcPr>
                  <w:tcW w:w="1484" w:type="dxa"/>
                  <w:tcBorders>
                    <w:tl2br w:val="nil"/>
                    <w:tr2bl w:val="nil"/>
                  </w:tcBorders>
                  <w:noWrap w:val="0"/>
                  <w:vAlign w:val="center"/>
                </w:tcPr>
                <w:p w14:paraId="29348129">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项目情况</w:t>
                  </w:r>
                </w:p>
              </w:tc>
              <w:tc>
                <w:tcPr>
                  <w:tcW w:w="649" w:type="dxa"/>
                  <w:tcBorders>
                    <w:tl2br w:val="nil"/>
                    <w:tr2bl w:val="nil"/>
                  </w:tcBorders>
                  <w:noWrap w:val="0"/>
                  <w:vAlign w:val="center"/>
                </w:tcPr>
                <w:p w14:paraId="3D26E186">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符合性</w:t>
                  </w:r>
                </w:p>
              </w:tc>
            </w:tr>
            <w:tr w14:paraId="087D4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1" w:type="dxa"/>
                  <w:gridSpan w:val="4"/>
                  <w:tcBorders>
                    <w:tl2br w:val="nil"/>
                    <w:tr2bl w:val="nil"/>
                  </w:tcBorders>
                  <w:noWrap w:val="0"/>
                  <w:vAlign w:val="center"/>
                </w:tcPr>
                <w:p w14:paraId="7EA446B8">
                  <w:pPr>
                    <w:pStyle w:val="123"/>
                    <w:spacing w:line="240" w:lineRule="auto"/>
                    <w:ind w:firstLine="0" w:firstLineChars="0"/>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b w:val="0"/>
                      <w:bCs/>
                      <w:color w:val="auto"/>
                      <w:sz w:val="18"/>
                      <w:szCs w:val="18"/>
                      <w:lang w:eastAsia="zh-CN"/>
                    </w:rPr>
                    <w:t>（一）</w:t>
                  </w:r>
                  <w:r>
                    <w:rPr>
                      <w:rFonts w:ascii="Times New Roman" w:hAnsi="Times New Roman" w:cs="Times New Roman"/>
                      <w:b w:val="0"/>
                      <w:bCs/>
                      <w:color w:val="auto"/>
                      <w:sz w:val="18"/>
                      <w:szCs w:val="18"/>
                    </w:rPr>
                    <w:t>加强空间管制</w:t>
                  </w:r>
                </w:p>
              </w:tc>
            </w:tr>
            <w:tr w14:paraId="3886D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11170693">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3589" w:type="dxa"/>
                  <w:tcBorders>
                    <w:tl2br w:val="nil"/>
                    <w:tr2bl w:val="nil"/>
                  </w:tcBorders>
                  <w:noWrap w:val="0"/>
                  <w:vAlign w:val="center"/>
                </w:tcPr>
                <w:p w14:paraId="378B03C3">
                  <w:pPr>
                    <w:pStyle w:val="123"/>
                    <w:spacing w:line="240" w:lineRule="auto"/>
                    <w:ind w:firstLine="0" w:firstLineChars="0"/>
                    <w:rPr>
                      <w:rFonts w:hint="default"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规划区后续开发建设时应在嘉陵江沿岸布置不少于50米的绿化缓冲带。嘉陵江及其一级支流汇入口上游20公里、集中式饮用水水源取水口上游20公里范围内的沿岸地区（江河50年一遇洪水位向陆域一侧1公里范围内），禁止新建、扩建排放重金属（铬、镉、汞、砷、铅）、剧毒物质和持久性有机污染物的工业项目。南溪组团A区、C区环境空气质量一类区（缙云山风景名胜区、九峰山市级森林公园）300米缓冲带内现有企业大气污染物排放量不得增加，规划未实施的地块不得引进有工艺废气排放的企业。规划区内企业环境防护距离应优化控制在规划区边界或用地红线以内。南溪组团A区、C区超出城市总体规划建设用地范围的地块暂不开发，未来按照国土空间规划的建设用地范围进行开发管理。</w:t>
                  </w:r>
                </w:p>
              </w:tc>
              <w:tc>
                <w:tcPr>
                  <w:tcW w:w="1484" w:type="dxa"/>
                  <w:tcBorders>
                    <w:tl2br w:val="nil"/>
                    <w:tr2bl w:val="nil"/>
                  </w:tcBorders>
                  <w:noWrap w:val="0"/>
                  <w:vAlign w:val="center"/>
                </w:tcPr>
                <w:p w14:paraId="7DCFD9FA">
                  <w:pPr>
                    <w:pStyle w:val="10"/>
                    <w:rPr>
                      <w:rFonts w:hint="default"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本项目位于南溪组团A区，</w:t>
                  </w:r>
                  <w:r>
                    <w:rPr>
                      <w:rFonts w:hint="eastAsia" w:cs="Times New Roman"/>
                      <w:color w:val="auto"/>
                      <w:sz w:val="18"/>
                      <w:szCs w:val="18"/>
                      <w:lang w:val="en-US" w:eastAsia="zh-CN"/>
                    </w:rPr>
                    <w:t>不在</w:t>
                  </w:r>
                  <w:r>
                    <w:rPr>
                      <w:rFonts w:ascii="Times New Roman" w:hAnsi="Times New Roman" w:cs="Times New Roman"/>
                      <w:color w:val="auto"/>
                      <w:sz w:val="18"/>
                      <w:szCs w:val="18"/>
                    </w:rPr>
                    <w:t>嘉陵江沿岸50米</w:t>
                  </w:r>
                  <w:r>
                    <w:rPr>
                      <w:rFonts w:hint="eastAsia" w:cs="Times New Roman"/>
                      <w:color w:val="auto"/>
                      <w:sz w:val="18"/>
                      <w:szCs w:val="18"/>
                      <w:lang w:val="en-US" w:eastAsia="zh-CN"/>
                    </w:rPr>
                    <w:t>范围内</w:t>
                  </w:r>
                  <w:r>
                    <w:rPr>
                      <w:rFonts w:hint="eastAsia" w:cs="Times New Roman"/>
                      <w:color w:val="auto"/>
                      <w:sz w:val="18"/>
                      <w:szCs w:val="18"/>
                      <w:lang w:eastAsia="zh-CN"/>
                    </w:rPr>
                    <w:t>，</w:t>
                  </w:r>
                  <w:r>
                    <w:rPr>
                      <w:rFonts w:hint="eastAsia" w:cs="Times New Roman"/>
                      <w:color w:val="auto"/>
                      <w:sz w:val="18"/>
                      <w:szCs w:val="18"/>
                      <w:lang w:val="en-US" w:eastAsia="zh-CN"/>
                    </w:rPr>
                    <w:t>不在</w:t>
                  </w:r>
                  <w:r>
                    <w:rPr>
                      <w:rFonts w:ascii="Times New Roman" w:hAnsi="Times New Roman" w:cs="Times New Roman"/>
                      <w:color w:val="auto"/>
                      <w:sz w:val="18"/>
                      <w:szCs w:val="18"/>
                    </w:rPr>
                    <w:t>嘉陵江及其一级支流汇入口上游20公里</w:t>
                  </w:r>
                  <w:r>
                    <w:rPr>
                      <w:rFonts w:hint="eastAsia" w:cs="Times New Roman"/>
                      <w:color w:val="auto"/>
                      <w:sz w:val="18"/>
                      <w:szCs w:val="18"/>
                      <w:lang w:val="en-US" w:eastAsia="zh-CN"/>
                    </w:rPr>
                    <w:t>范围内，不在</w:t>
                  </w:r>
                  <w:r>
                    <w:rPr>
                      <w:rFonts w:ascii="Times New Roman" w:hAnsi="Times New Roman" w:cs="Times New Roman"/>
                      <w:color w:val="auto"/>
                      <w:sz w:val="18"/>
                      <w:szCs w:val="18"/>
                    </w:rPr>
                    <w:t>集中式饮用水水源取水口上游20公里</w:t>
                  </w:r>
                  <w:r>
                    <w:rPr>
                      <w:rFonts w:hint="eastAsia" w:cs="Times New Roman"/>
                      <w:color w:val="auto"/>
                      <w:sz w:val="18"/>
                      <w:szCs w:val="18"/>
                      <w:lang w:val="en-US" w:eastAsia="zh-CN"/>
                    </w:rPr>
                    <w:t>沿岸以内，</w:t>
                  </w:r>
                  <w:r>
                    <w:rPr>
                      <w:rFonts w:ascii="Times New Roman" w:hAnsi="Times New Roman" w:cs="Times New Roman"/>
                      <w:color w:val="auto"/>
                      <w:sz w:val="18"/>
                      <w:szCs w:val="18"/>
                    </w:rPr>
                    <w:t>不属于排放重金属（铬、镉、汞、砷、铅）、剧毒物质和持久性有机污染物的工业项目，本项目位于缙云山风景名胜区、九峰山市级森林公园及其外围300m缓冲带之外。</w:t>
                  </w:r>
                </w:p>
              </w:tc>
              <w:tc>
                <w:tcPr>
                  <w:tcW w:w="649" w:type="dxa"/>
                  <w:tcBorders>
                    <w:tl2br w:val="nil"/>
                    <w:tr2bl w:val="nil"/>
                  </w:tcBorders>
                  <w:noWrap w:val="0"/>
                  <w:vAlign w:val="center"/>
                </w:tcPr>
                <w:p w14:paraId="2949AFA3">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符合</w:t>
                  </w:r>
                </w:p>
              </w:tc>
            </w:tr>
            <w:tr w14:paraId="159D9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161" w:type="dxa"/>
                  <w:gridSpan w:val="4"/>
                  <w:tcBorders>
                    <w:tl2br w:val="nil"/>
                    <w:tr2bl w:val="nil"/>
                  </w:tcBorders>
                  <w:noWrap w:val="0"/>
                  <w:vAlign w:val="center"/>
                </w:tcPr>
                <w:p w14:paraId="1A5B5153">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（二）严格环境准入</w:t>
                  </w:r>
                </w:p>
              </w:tc>
            </w:tr>
            <w:tr w14:paraId="7255B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0C89C7E3">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3589" w:type="dxa"/>
                  <w:tcBorders>
                    <w:tl2br w:val="nil"/>
                    <w:tr2bl w:val="nil"/>
                  </w:tcBorders>
                  <w:noWrap w:val="0"/>
                  <w:vAlign w:val="center"/>
                </w:tcPr>
                <w:p w14:paraId="36A508B7">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强化规划环评与合川区“三线一单”</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生态保护红线、环境质量底线、资源利用上线，生态环境准入清单）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本项目清洁生产水平不得低于国内先进水平。</w:t>
                  </w:r>
                </w:p>
              </w:tc>
              <w:tc>
                <w:tcPr>
                  <w:tcW w:w="1484" w:type="dxa"/>
                  <w:tcBorders>
                    <w:tl2br w:val="nil"/>
                    <w:tr2bl w:val="nil"/>
                  </w:tcBorders>
                  <w:noWrap w:val="0"/>
                  <w:vAlign w:val="center"/>
                </w:tcPr>
                <w:p w14:paraId="7F66402F">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本项目符合合川区“三线一单”要求，满足生态环境准入清单要求，主要能源为电，清洁</w:t>
                  </w:r>
                  <w:r>
                    <w:rPr>
                      <w:rFonts w:hint="eastAsia" w:cs="Times New Roman"/>
                      <w:color w:val="auto"/>
                      <w:kern w:val="2"/>
                      <w:sz w:val="18"/>
                      <w:szCs w:val="18"/>
                      <w:lang w:val="en-US" w:eastAsia="zh-CN" w:bidi="ar-SA"/>
                    </w:rPr>
                    <w:t>生产</w:t>
                  </w:r>
                  <w:r>
                    <w:rPr>
                      <w:rFonts w:hint="default" w:ascii="Times New Roman" w:hAnsi="Times New Roman" w:eastAsia="宋体" w:cs="Times New Roman"/>
                      <w:color w:val="auto"/>
                      <w:kern w:val="2"/>
                      <w:sz w:val="18"/>
                      <w:szCs w:val="18"/>
                      <w:lang w:val="en-US" w:eastAsia="zh-CN" w:bidi="ar-SA"/>
                    </w:rPr>
                    <w:t>水平</w:t>
                  </w:r>
                  <w:r>
                    <w:rPr>
                      <w:rFonts w:hint="eastAsia" w:cs="Times New Roman"/>
                      <w:color w:val="auto"/>
                      <w:kern w:val="2"/>
                      <w:sz w:val="18"/>
                      <w:szCs w:val="18"/>
                      <w:lang w:val="en-US" w:eastAsia="zh-CN" w:bidi="ar-SA"/>
                    </w:rPr>
                    <w:t>能</w:t>
                  </w:r>
                  <w:r>
                    <w:rPr>
                      <w:rFonts w:hint="default" w:ascii="Times New Roman" w:hAnsi="Times New Roman" w:eastAsia="宋体" w:cs="Times New Roman"/>
                      <w:color w:val="auto"/>
                      <w:kern w:val="2"/>
                      <w:sz w:val="18"/>
                      <w:szCs w:val="18"/>
                      <w:lang w:val="en-US" w:eastAsia="zh-CN" w:bidi="ar-SA"/>
                    </w:rPr>
                    <w:t>达到国内先进水平。</w:t>
                  </w:r>
                </w:p>
              </w:tc>
              <w:tc>
                <w:tcPr>
                  <w:tcW w:w="649" w:type="dxa"/>
                  <w:tcBorders>
                    <w:tl2br w:val="nil"/>
                    <w:tr2bl w:val="nil"/>
                  </w:tcBorders>
                  <w:noWrap w:val="0"/>
                  <w:vAlign w:val="center"/>
                </w:tcPr>
                <w:p w14:paraId="426DEBD8">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5C183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1" w:type="dxa"/>
                  <w:gridSpan w:val="4"/>
                  <w:tcBorders>
                    <w:tl2br w:val="nil"/>
                    <w:tr2bl w:val="nil"/>
                  </w:tcBorders>
                  <w:noWrap w:val="0"/>
                  <w:vAlign w:val="center"/>
                </w:tcPr>
                <w:p w14:paraId="12FCB3EF">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（三）加强大气污染防治</w:t>
                  </w:r>
                </w:p>
              </w:tc>
            </w:tr>
            <w:tr w14:paraId="474AE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2EF66B21">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w:t>
                  </w:r>
                </w:p>
              </w:tc>
              <w:tc>
                <w:tcPr>
                  <w:tcW w:w="3589" w:type="dxa"/>
                  <w:tcBorders>
                    <w:tl2br w:val="nil"/>
                    <w:tr2bl w:val="nil"/>
                  </w:tcBorders>
                  <w:noWrap w:val="0"/>
                  <w:vAlign w:val="top"/>
                </w:tcPr>
                <w:p w14:paraId="09840E26">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B区应控制砷化镓芯片外延工序生产规模，采取严格的废气收集及处理措施，最大程度减少重金属废气排放对周边环境的影响。</w:t>
                  </w:r>
                </w:p>
              </w:tc>
              <w:tc>
                <w:tcPr>
                  <w:tcW w:w="1484" w:type="dxa"/>
                  <w:tcBorders>
                    <w:tl2br w:val="nil"/>
                    <w:tr2bl w:val="nil"/>
                  </w:tcBorders>
                  <w:noWrap w:val="0"/>
                  <w:vAlign w:val="center"/>
                </w:tcPr>
                <w:p w14:paraId="48A89323">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本项目将按照要求提出污染防治措施；主要能源为电，无燃煤</w:t>
                  </w:r>
                  <w:r>
                    <w:rPr>
                      <w:rFonts w:hint="eastAsia" w:cs="Times New Roman"/>
                      <w:color w:val="auto"/>
                      <w:kern w:val="2"/>
                      <w:sz w:val="18"/>
                      <w:szCs w:val="18"/>
                      <w:lang w:val="en-US" w:eastAsia="zh-CN" w:bidi="ar-SA"/>
                    </w:rPr>
                    <w:t>、燃</w:t>
                  </w:r>
                  <w:r>
                    <w:rPr>
                      <w:rFonts w:hint="default" w:ascii="Times New Roman" w:hAnsi="Times New Roman" w:eastAsia="宋体" w:cs="Times New Roman"/>
                      <w:color w:val="auto"/>
                      <w:kern w:val="2"/>
                      <w:sz w:val="18"/>
                      <w:szCs w:val="18"/>
                      <w:lang w:val="en-US" w:eastAsia="zh-CN" w:bidi="ar-SA"/>
                    </w:rPr>
                    <w:t>气锅炉，不属于水泥生产等企业，挥发性有机物收集及处理满足国家及重庆市“十三五”挥发性有机物污染防治工作方案的要求。</w:t>
                  </w:r>
                </w:p>
              </w:tc>
              <w:tc>
                <w:tcPr>
                  <w:tcW w:w="649" w:type="dxa"/>
                  <w:tcBorders>
                    <w:tl2br w:val="nil"/>
                    <w:tr2bl w:val="nil"/>
                  </w:tcBorders>
                  <w:noWrap w:val="0"/>
                  <w:vAlign w:val="center"/>
                </w:tcPr>
                <w:p w14:paraId="60D5EC4D">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3118B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161" w:type="dxa"/>
                  <w:gridSpan w:val="4"/>
                  <w:tcBorders>
                    <w:tl2br w:val="nil"/>
                    <w:tr2bl w:val="nil"/>
                  </w:tcBorders>
                  <w:noWrap w:val="0"/>
                  <w:vAlign w:val="center"/>
                </w:tcPr>
                <w:p w14:paraId="41630EEE">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（四）加强水环境保护</w:t>
                  </w:r>
                </w:p>
              </w:tc>
            </w:tr>
            <w:tr w14:paraId="32DDB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439" w:type="dxa"/>
                  <w:tcBorders>
                    <w:tl2br w:val="nil"/>
                    <w:tr2bl w:val="nil"/>
                  </w:tcBorders>
                  <w:noWrap w:val="0"/>
                  <w:vAlign w:val="center"/>
                </w:tcPr>
                <w:p w14:paraId="1C3C3BCA">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w:t>
                  </w:r>
                </w:p>
              </w:tc>
              <w:tc>
                <w:tcPr>
                  <w:tcW w:w="3589" w:type="dxa"/>
                  <w:tcBorders>
                    <w:tl2br w:val="nil"/>
                    <w:tr2bl w:val="nil"/>
                  </w:tcBorders>
                  <w:noWrap w:val="0"/>
                  <w:vAlign w:val="center"/>
                </w:tcPr>
                <w:p w14:paraId="3768D4B4">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提高废水回用率，减少废水污染物排放。加强现有企业废水排放监管，确保规划区废水经污水处理厂处理达标后排放。规划区禁止含重金属</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汞、铬、镉、铅、砷</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废水排放。南溪组团B区污水处理厂应尽快进行提标改造，增设电子工业特征水污染物处理工艺。渭沱组团污水处理厂加快建设进度，确保渭沱组团B区生产废水、生活污水能进入污水处理厂集中处理达标后外排。</w:t>
                  </w:r>
                </w:p>
              </w:tc>
              <w:tc>
                <w:tcPr>
                  <w:tcW w:w="1484" w:type="dxa"/>
                  <w:tcBorders>
                    <w:tl2br w:val="nil"/>
                    <w:tr2bl w:val="nil"/>
                  </w:tcBorders>
                  <w:noWrap w:val="0"/>
                  <w:vAlign w:val="center"/>
                </w:tcPr>
                <w:p w14:paraId="065C6117">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本项目不排放五类重点重金属、剧毒物质和持久性有机污染物，生活污水经化粪池处理后排入园区污水处理厂集中处理达标后外排。</w:t>
                  </w:r>
                </w:p>
              </w:tc>
              <w:tc>
                <w:tcPr>
                  <w:tcW w:w="649" w:type="dxa"/>
                  <w:tcBorders>
                    <w:tl2br w:val="nil"/>
                    <w:tr2bl w:val="nil"/>
                  </w:tcBorders>
                  <w:noWrap w:val="0"/>
                  <w:vAlign w:val="center"/>
                </w:tcPr>
                <w:p w14:paraId="2177F0EE">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76BD3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161" w:type="dxa"/>
                  <w:gridSpan w:val="4"/>
                  <w:tcBorders>
                    <w:tl2br w:val="nil"/>
                    <w:tr2bl w:val="nil"/>
                  </w:tcBorders>
                  <w:noWrap w:val="0"/>
                  <w:vAlign w:val="center"/>
                </w:tcPr>
                <w:p w14:paraId="151F160E">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（五）重视地下水污染防控</w:t>
                  </w:r>
                </w:p>
              </w:tc>
            </w:tr>
            <w:tr w14:paraId="35852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433A6B33">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c>
                <w:tcPr>
                  <w:tcW w:w="3589" w:type="dxa"/>
                  <w:tcBorders>
                    <w:tl2br w:val="nil"/>
                    <w:tr2bl w:val="nil"/>
                  </w:tcBorders>
                  <w:noWrap w:val="0"/>
                  <w:vAlign w:val="center"/>
                </w:tcPr>
                <w:p w14:paraId="0EB149E0">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484" w:type="dxa"/>
                  <w:tcBorders>
                    <w:tl2br w:val="nil"/>
                    <w:tr2bl w:val="nil"/>
                  </w:tcBorders>
                  <w:noWrap w:val="0"/>
                  <w:vAlign w:val="center"/>
                </w:tcPr>
                <w:p w14:paraId="26A33924">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本项目可能存在的地下水污染的区域为危废贮存库和液体物料暂存区，以上区域拟按照相关规范文件采取防腐防渗处理、设置围堰等地下水污染防控措施。</w:t>
                  </w:r>
                </w:p>
              </w:tc>
              <w:tc>
                <w:tcPr>
                  <w:tcW w:w="649" w:type="dxa"/>
                  <w:tcBorders>
                    <w:tl2br w:val="nil"/>
                    <w:tr2bl w:val="nil"/>
                  </w:tcBorders>
                  <w:noWrap w:val="0"/>
                  <w:vAlign w:val="center"/>
                </w:tcPr>
                <w:p w14:paraId="7CE466D2">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7B6B7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161" w:type="dxa"/>
                  <w:gridSpan w:val="4"/>
                  <w:tcBorders>
                    <w:tl2br w:val="nil"/>
                    <w:tr2bl w:val="nil"/>
                  </w:tcBorders>
                  <w:noWrap w:val="0"/>
                  <w:vAlign w:val="center"/>
                </w:tcPr>
                <w:p w14:paraId="17F6F4F0">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（六）强化噪声污染防控</w:t>
                  </w:r>
                </w:p>
              </w:tc>
            </w:tr>
            <w:tr w14:paraId="7897B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1A870922">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w:t>
                  </w:r>
                </w:p>
              </w:tc>
              <w:tc>
                <w:tcPr>
                  <w:tcW w:w="3589" w:type="dxa"/>
                  <w:tcBorders>
                    <w:tl2br w:val="nil"/>
                    <w:tr2bl w:val="nil"/>
                  </w:tcBorders>
                  <w:noWrap w:val="0"/>
                  <w:vAlign w:val="center"/>
                </w:tcPr>
                <w:p w14:paraId="1D7B8A5B">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合理布局噪声源，高噪声源应尽量远离居住区布置。加强规划区现有企业噪声治理，采用低噪声设备，采取消声、隔声、减震等措施，确保厂界噪声达标，尽量减少对周边居民的影响。</w:t>
                  </w:r>
                </w:p>
              </w:tc>
              <w:tc>
                <w:tcPr>
                  <w:tcW w:w="1484" w:type="dxa"/>
                  <w:tcBorders>
                    <w:tl2br w:val="nil"/>
                    <w:tr2bl w:val="nil"/>
                  </w:tcBorders>
                  <w:noWrap w:val="0"/>
                  <w:vAlign w:val="center"/>
                </w:tcPr>
                <w:p w14:paraId="009C975D">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本项目通过合理布局、</w:t>
                  </w:r>
                  <w:r>
                    <w:rPr>
                      <w:rFonts w:hint="eastAsia" w:cs="Times New Roman"/>
                      <w:color w:val="auto"/>
                      <w:kern w:val="2"/>
                      <w:sz w:val="18"/>
                      <w:szCs w:val="18"/>
                      <w:lang w:val="en-US" w:eastAsia="zh-CN" w:bidi="ar-SA"/>
                    </w:rPr>
                    <w:t>减振</w:t>
                  </w:r>
                  <w:r>
                    <w:rPr>
                      <w:rFonts w:hint="default" w:ascii="Times New Roman" w:hAnsi="Times New Roman" w:eastAsia="宋体" w:cs="Times New Roman"/>
                      <w:color w:val="auto"/>
                      <w:kern w:val="2"/>
                      <w:sz w:val="18"/>
                      <w:szCs w:val="18"/>
                      <w:lang w:val="en-US" w:eastAsia="zh-CN" w:bidi="ar-SA"/>
                    </w:rPr>
                    <w:t>隔声等措施后，经预测厂界噪声能够达标。</w:t>
                  </w:r>
                </w:p>
              </w:tc>
              <w:tc>
                <w:tcPr>
                  <w:tcW w:w="649" w:type="dxa"/>
                  <w:tcBorders>
                    <w:tl2br w:val="nil"/>
                    <w:tr2bl w:val="nil"/>
                  </w:tcBorders>
                  <w:noWrap w:val="0"/>
                  <w:vAlign w:val="center"/>
                </w:tcPr>
                <w:p w14:paraId="43EABF0F">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532EC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161" w:type="dxa"/>
                  <w:gridSpan w:val="4"/>
                  <w:tcBorders>
                    <w:tl2br w:val="nil"/>
                    <w:tr2bl w:val="nil"/>
                  </w:tcBorders>
                  <w:noWrap w:val="0"/>
                  <w:vAlign w:val="center"/>
                </w:tcPr>
                <w:p w14:paraId="5E96FB97">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（七）加强土壤和固体废物污染防治</w:t>
                  </w:r>
                </w:p>
              </w:tc>
            </w:tr>
            <w:tr w14:paraId="0FE29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0AE198DD">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w:t>
                  </w:r>
                </w:p>
              </w:tc>
              <w:tc>
                <w:tcPr>
                  <w:tcW w:w="3589" w:type="dxa"/>
                  <w:tcBorders>
                    <w:tl2br w:val="nil"/>
                    <w:tr2bl w:val="nil"/>
                  </w:tcBorders>
                  <w:noWrap w:val="0"/>
                  <w:vAlign w:val="center"/>
                </w:tcPr>
                <w:p w14:paraId="68410D6F">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经评估确定为污染地块的，应当在土地转让前开展治理修复。</w:t>
                  </w:r>
                </w:p>
              </w:tc>
              <w:tc>
                <w:tcPr>
                  <w:tcW w:w="1484" w:type="dxa"/>
                  <w:tcBorders>
                    <w:tl2br w:val="nil"/>
                    <w:tr2bl w:val="nil"/>
                  </w:tcBorders>
                  <w:noWrap w:val="0"/>
                  <w:vAlign w:val="center"/>
                </w:tcPr>
                <w:p w14:paraId="2BC84A8E">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本项目危险废物收集后定期交有资质的单位处置</w:t>
                  </w:r>
                  <w:r>
                    <w:rPr>
                      <w:rFonts w:hint="default" w:ascii="Times New Roman" w:hAnsi="Times New Roman" w:eastAsia="宋体" w:cs="Times New Roman"/>
                      <w:color w:val="auto"/>
                      <w:kern w:val="2"/>
                      <w:sz w:val="18"/>
                      <w:szCs w:val="18"/>
                      <w:lang w:val="en-US" w:eastAsia="zh-CN" w:bidi="ar-SA"/>
                    </w:rPr>
                    <w:t>，一般固体废物交物资回收单位</w:t>
                  </w:r>
                  <w:r>
                    <w:rPr>
                      <w:rFonts w:hint="eastAsia" w:cs="Times New Roman"/>
                      <w:color w:val="auto"/>
                      <w:kern w:val="2"/>
                      <w:sz w:val="18"/>
                      <w:szCs w:val="18"/>
                      <w:lang w:val="en-US" w:eastAsia="zh-CN" w:bidi="ar-SA"/>
                    </w:rPr>
                    <w:t>处置</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本项目固体废物将得到有效、合理的处置</w:t>
                  </w:r>
                  <w:r>
                    <w:rPr>
                      <w:rFonts w:hint="default" w:ascii="Times New Roman" w:hAnsi="Times New Roman" w:eastAsia="宋体" w:cs="Times New Roman"/>
                      <w:color w:val="auto"/>
                      <w:kern w:val="2"/>
                      <w:sz w:val="18"/>
                      <w:szCs w:val="18"/>
                      <w:lang w:val="en-US" w:eastAsia="zh-CN" w:bidi="ar-SA"/>
                    </w:rPr>
                    <w:t>。</w:t>
                  </w:r>
                </w:p>
              </w:tc>
              <w:tc>
                <w:tcPr>
                  <w:tcW w:w="649" w:type="dxa"/>
                  <w:tcBorders>
                    <w:tl2br w:val="nil"/>
                    <w:tr2bl w:val="nil"/>
                  </w:tcBorders>
                  <w:noWrap w:val="0"/>
                  <w:vAlign w:val="center"/>
                </w:tcPr>
                <w:p w14:paraId="4247588F">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r w14:paraId="10CCD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161" w:type="dxa"/>
                  <w:gridSpan w:val="4"/>
                  <w:tcBorders>
                    <w:tl2br w:val="nil"/>
                    <w:tr2bl w:val="nil"/>
                  </w:tcBorders>
                  <w:noWrap w:val="0"/>
                  <w:vAlign w:val="center"/>
                </w:tcPr>
                <w:p w14:paraId="1996CB08">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（八）</w:t>
                  </w:r>
                  <w:r>
                    <w:rPr>
                      <w:rFonts w:hint="default" w:ascii="Times New Roman" w:hAnsi="Times New Roman" w:eastAsia="宋体" w:cs="Times New Roman"/>
                      <w:color w:val="auto"/>
                      <w:kern w:val="2"/>
                      <w:sz w:val="18"/>
                      <w:szCs w:val="18"/>
                      <w:lang w:val="en-US" w:eastAsia="zh-CN" w:bidi="ar-SA"/>
                    </w:rPr>
                    <w:t>强化环境风险防范</w:t>
                  </w:r>
                </w:p>
              </w:tc>
            </w:tr>
            <w:tr w14:paraId="6ECF7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dxa"/>
                  <w:tcBorders>
                    <w:tl2br w:val="nil"/>
                    <w:tr2bl w:val="nil"/>
                  </w:tcBorders>
                  <w:noWrap w:val="0"/>
                  <w:vAlign w:val="center"/>
                </w:tcPr>
                <w:p w14:paraId="79DC85D6">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w:t>
                  </w:r>
                </w:p>
              </w:tc>
              <w:tc>
                <w:tcPr>
                  <w:tcW w:w="3589" w:type="dxa"/>
                  <w:tcBorders>
                    <w:tl2br w:val="nil"/>
                    <w:tr2bl w:val="nil"/>
                  </w:tcBorders>
                  <w:noWrap w:val="0"/>
                  <w:vAlign w:val="center"/>
                </w:tcPr>
                <w:p w14:paraId="09AEB92E">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蛉县级自然保护区造成影响。应加快实施盐井水厂、方溪水厂</w:t>
                  </w:r>
                  <w:r>
                    <w:rPr>
                      <w:rFonts w:hint="eastAsia" w:ascii="Times New Roman" w:hAnsi="Times New Roman" w:eastAsia="宋体" w:cs="Times New Roman"/>
                      <w:color w:val="auto"/>
                      <w:kern w:val="2"/>
                      <w:sz w:val="18"/>
                      <w:szCs w:val="18"/>
                      <w:lang w:val="en-US" w:eastAsia="zh-CN" w:bidi="ar-SA"/>
                    </w:rPr>
                    <w:t>拆迁</w:t>
                  </w:r>
                  <w:r>
                    <w:rPr>
                      <w:rFonts w:hint="default" w:ascii="Times New Roman" w:hAnsi="Times New Roman" w:eastAsia="宋体" w:cs="Times New Roman"/>
                      <w:color w:val="auto"/>
                      <w:kern w:val="2"/>
                      <w:sz w:val="18"/>
                      <w:szCs w:val="18"/>
                      <w:lang w:val="en-US" w:eastAsia="zh-CN" w:bidi="ar-SA"/>
                    </w:rPr>
                    <w:t>关闭进度，确保居民饮用水安全</w:t>
                  </w:r>
                </w:p>
              </w:tc>
              <w:tc>
                <w:tcPr>
                  <w:tcW w:w="1484" w:type="dxa"/>
                  <w:tcBorders>
                    <w:tl2br w:val="nil"/>
                    <w:tr2bl w:val="nil"/>
                  </w:tcBorders>
                  <w:noWrap w:val="0"/>
                  <w:vAlign w:val="center"/>
                </w:tcPr>
                <w:p w14:paraId="2D4A083B">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本项目为</w:t>
                  </w:r>
                  <w:r>
                    <w:rPr>
                      <w:rFonts w:hint="eastAsia" w:ascii="Times New Roman" w:hAnsi="Times New Roman" w:eastAsia="宋体" w:cs="Times New Roman"/>
                      <w:color w:val="auto"/>
                      <w:kern w:val="2"/>
                      <w:sz w:val="18"/>
                      <w:szCs w:val="18"/>
                      <w:lang w:val="en-US" w:eastAsia="zh-CN" w:bidi="ar-SA"/>
                    </w:rPr>
                    <w:t>汽车零部件和塑料零件制造生产项目</w:t>
                  </w:r>
                  <w:r>
                    <w:rPr>
                      <w:rFonts w:hint="default" w:ascii="Times New Roman" w:hAnsi="Times New Roman" w:eastAsia="宋体" w:cs="Times New Roman"/>
                      <w:color w:val="auto"/>
                      <w:kern w:val="2"/>
                      <w:sz w:val="18"/>
                      <w:szCs w:val="18"/>
                      <w:lang w:val="en-US" w:eastAsia="zh-CN" w:bidi="ar-SA"/>
                    </w:rPr>
                    <w:t>，风险物质的使用量和存储量比较小，项目按照本环评文件落实了环境风险防范措施后，能够有效</w:t>
                  </w:r>
                  <w:r>
                    <w:rPr>
                      <w:rFonts w:hint="eastAsia" w:ascii="Times New Roman" w:hAnsi="Times New Roman" w:eastAsia="宋体" w:cs="Times New Roman"/>
                      <w:color w:val="auto"/>
                      <w:kern w:val="2"/>
                      <w:sz w:val="18"/>
                      <w:szCs w:val="18"/>
                      <w:lang w:val="en-US" w:eastAsia="zh-CN" w:bidi="ar-SA"/>
                    </w:rPr>
                    <w:t>地</w:t>
                  </w:r>
                  <w:r>
                    <w:rPr>
                      <w:rFonts w:hint="default" w:ascii="Times New Roman" w:hAnsi="Times New Roman" w:eastAsia="宋体" w:cs="Times New Roman"/>
                      <w:color w:val="auto"/>
                      <w:kern w:val="2"/>
                      <w:sz w:val="18"/>
                      <w:szCs w:val="18"/>
                      <w:lang w:val="en-US" w:eastAsia="zh-CN" w:bidi="ar-SA"/>
                    </w:rPr>
                    <w:t>防范突发性环境风险事故。</w:t>
                  </w:r>
                </w:p>
              </w:tc>
              <w:tc>
                <w:tcPr>
                  <w:tcW w:w="649" w:type="dxa"/>
                  <w:tcBorders>
                    <w:tl2br w:val="nil"/>
                    <w:tr2bl w:val="nil"/>
                  </w:tcBorders>
                  <w:noWrap w:val="0"/>
                  <w:vAlign w:val="center"/>
                </w:tcPr>
                <w:p w14:paraId="36A81E1D">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符合</w:t>
                  </w:r>
                </w:p>
              </w:tc>
            </w:tr>
          </w:tbl>
          <w:p w14:paraId="4BD4BD0D">
            <w:pPr>
              <w:pStyle w:val="54"/>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本项目符合《重庆市合川区工业园区南溪组团、渭沱组团规划环境影响报告书》审查意见（渝环函</w:t>
            </w:r>
            <w:r>
              <w:rPr>
                <w:rFonts w:hint="eastAsia" w:ascii="Times New Roman" w:hAnsi="Times New Roman" w:eastAsia="宋体" w:cs="Times New Roman"/>
                <w:color w:val="auto"/>
                <w:kern w:val="2"/>
                <w:sz w:val="21"/>
                <w:szCs w:val="21"/>
                <w:lang w:val="en-US" w:eastAsia="zh-CN" w:bidi="ar-SA"/>
              </w:rPr>
              <w:t>〔2019〕1169号</w:t>
            </w:r>
            <w:r>
              <w:rPr>
                <w:rFonts w:hint="default" w:ascii="Times New Roman" w:hAnsi="Times New Roman" w:eastAsia="宋体" w:cs="Times New Roman"/>
                <w:color w:val="auto"/>
                <w:kern w:val="2"/>
                <w:sz w:val="21"/>
                <w:szCs w:val="21"/>
                <w:lang w:val="en-US" w:eastAsia="zh-CN" w:bidi="ar-SA"/>
              </w:rPr>
              <w:t>）要求。</w:t>
            </w:r>
          </w:p>
          <w:p w14:paraId="69762B15">
            <w:pPr>
              <w:pStyle w:val="6"/>
              <w:rPr>
                <w:rFonts w:hint="default" w:ascii="Times New Roman" w:hAnsi="Times New Roman" w:eastAsia="宋体" w:cs="Times New Roman"/>
                <w:color w:val="auto"/>
                <w:kern w:val="2"/>
                <w:sz w:val="21"/>
                <w:szCs w:val="21"/>
                <w:lang w:val="en-US" w:eastAsia="zh-CN" w:bidi="ar-SA"/>
              </w:rPr>
            </w:pPr>
          </w:p>
          <w:p w14:paraId="5C0B5DEB">
            <w:pPr>
              <w:rPr>
                <w:rFonts w:hint="default" w:ascii="Times New Roman" w:hAnsi="Times New Roman" w:eastAsia="宋体" w:cs="Times New Roman"/>
                <w:color w:val="auto"/>
                <w:kern w:val="2"/>
                <w:sz w:val="21"/>
                <w:szCs w:val="21"/>
                <w:lang w:val="en-US" w:eastAsia="zh-CN" w:bidi="ar-SA"/>
              </w:rPr>
            </w:pPr>
          </w:p>
          <w:p w14:paraId="40DADC5D">
            <w:pPr>
              <w:rPr>
                <w:rFonts w:hint="default" w:ascii="Times New Roman" w:hAnsi="Times New Roman" w:eastAsia="宋体" w:cs="Times New Roman"/>
                <w:color w:val="auto"/>
                <w:kern w:val="2"/>
                <w:sz w:val="21"/>
                <w:szCs w:val="21"/>
                <w:lang w:val="en-US" w:eastAsia="zh-CN" w:bidi="ar-SA"/>
              </w:rPr>
            </w:pPr>
          </w:p>
          <w:p w14:paraId="51E3465D">
            <w:pPr>
              <w:rPr>
                <w:rFonts w:hint="default" w:ascii="Times New Roman" w:hAnsi="Times New Roman" w:eastAsia="宋体" w:cs="Times New Roman"/>
                <w:color w:val="auto"/>
                <w:kern w:val="2"/>
                <w:sz w:val="21"/>
                <w:szCs w:val="21"/>
                <w:lang w:val="en-US" w:eastAsia="zh-CN" w:bidi="ar-SA"/>
              </w:rPr>
            </w:pPr>
          </w:p>
          <w:p w14:paraId="45B44CF9">
            <w:pPr>
              <w:rPr>
                <w:rFonts w:hint="default" w:ascii="Times New Roman" w:hAnsi="Times New Roman" w:eastAsia="宋体" w:cs="Times New Roman"/>
                <w:color w:val="auto"/>
                <w:kern w:val="2"/>
                <w:sz w:val="21"/>
                <w:szCs w:val="21"/>
                <w:lang w:val="en-US" w:eastAsia="zh-CN" w:bidi="ar-SA"/>
              </w:rPr>
            </w:pPr>
          </w:p>
          <w:p w14:paraId="5E8668D1">
            <w:pPr>
              <w:rPr>
                <w:rFonts w:hint="default" w:ascii="Times New Roman" w:hAnsi="Times New Roman" w:eastAsia="宋体" w:cs="Times New Roman"/>
                <w:color w:val="auto"/>
                <w:kern w:val="2"/>
                <w:sz w:val="21"/>
                <w:szCs w:val="21"/>
                <w:lang w:val="en-US" w:eastAsia="zh-CN" w:bidi="ar-SA"/>
              </w:rPr>
            </w:pPr>
          </w:p>
          <w:p w14:paraId="312735D8">
            <w:pPr>
              <w:rPr>
                <w:rFonts w:hint="default" w:ascii="Times New Roman" w:hAnsi="Times New Roman" w:eastAsia="宋体" w:cs="Times New Roman"/>
                <w:color w:val="auto"/>
                <w:kern w:val="2"/>
                <w:sz w:val="21"/>
                <w:szCs w:val="21"/>
                <w:lang w:val="en-US" w:eastAsia="zh-CN" w:bidi="ar-SA"/>
              </w:rPr>
            </w:pPr>
          </w:p>
          <w:p w14:paraId="66FF0EE2">
            <w:pPr>
              <w:rPr>
                <w:rFonts w:hint="default" w:ascii="Times New Roman" w:hAnsi="Times New Roman" w:eastAsia="宋体" w:cs="Times New Roman"/>
                <w:color w:val="auto"/>
                <w:kern w:val="2"/>
                <w:sz w:val="21"/>
                <w:szCs w:val="21"/>
                <w:lang w:val="en-US" w:eastAsia="zh-CN" w:bidi="ar-SA"/>
              </w:rPr>
            </w:pPr>
          </w:p>
          <w:p w14:paraId="782CF21C">
            <w:pPr>
              <w:rPr>
                <w:rFonts w:hint="default" w:ascii="Times New Roman" w:hAnsi="Times New Roman" w:eastAsia="宋体" w:cs="Times New Roman"/>
                <w:color w:val="auto"/>
                <w:kern w:val="2"/>
                <w:sz w:val="21"/>
                <w:szCs w:val="21"/>
                <w:lang w:val="en-US" w:eastAsia="zh-CN" w:bidi="ar-SA"/>
              </w:rPr>
            </w:pPr>
          </w:p>
          <w:p w14:paraId="32BC0F6D">
            <w:pPr>
              <w:rPr>
                <w:rFonts w:hint="default" w:ascii="Times New Roman" w:hAnsi="Times New Roman" w:eastAsia="宋体" w:cs="Times New Roman"/>
                <w:color w:val="auto"/>
                <w:kern w:val="2"/>
                <w:sz w:val="21"/>
                <w:szCs w:val="21"/>
                <w:lang w:val="en-US" w:eastAsia="zh-CN" w:bidi="ar-SA"/>
              </w:rPr>
            </w:pPr>
          </w:p>
          <w:p w14:paraId="0C984365">
            <w:pPr>
              <w:rPr>
                <w:rFonts w:hint="default" w:ascii="Times New Roman" w:hAnsi="Times New Roman" w:eastAsia="宋体" w:cs="Times New Roman"/>
                <w:color w:val="auto"/>
                <w:kern w:val="2"/>
                <w:sz w:val="21"/>
                <w:szCs w:val="21"/>
                <w:lang w:val="en-US" w:eastAsia="zh-CN" w:bidi="ar-SA"/>
              </w:rPr>
            </w:pPr>
          </w:p>
          <w:p w14:paraId="2108658D">
            <w:pPr>
              <w:rPr>
                <w:rFonts w:hint="default" w:ascii="Times New Roman" w:hAnsi="Times New Roman" w:eastAsia="宋体" w:cs="Times New Roman"/>
                <w:color w:val="auto"/>
                <w:kern w:val="2"/>
                <w:sz w:val="21"/>
                <w:szCs w:val="21"/>
                <w:lang w:val="en-US" w:eastAsia="zh-CN" w:bidi="ar-SA"/>
              </w:rPr>
            </w:pPr>
          </w:p>
          <w:p w14:paraId="0C023586">
            <w:pPr>
              <w:rPr>
                <w:rFonts w:hint="default" w:ascii="Times New Roman" w:hAnsi="Times New Roman" w:eastAsia="宋体" w:cs="Times New Roman"/>
                <w:color w:val="auto"/>
                <w:kern w:val="2"/>
                <w:sz w:val="21"/>
                <w:szCs w:val="21"/>
                <w:lang w:val="en-US" w:eastAsia="zh-CN" w:bidi="ar-SA"/>
              </w:rPr>
            </w:pPr>
          </w:p>
          <w:p w14:paraId="3D3DE932">
            <w:pPr>
              <w:rPr>
                <w:rFonts w:hint="default" w:ascii="Times New Roman" w:hAnsi="Times New Roman" w:eastAsia="宋体" w:cs="Times New Roman"/>
                <w:color w:val="auto"/>
                <w:kern w:val="2"/>
                <w:sz w:val="21"/>
                <w:szCs w:val="21"/>
                <w:lang w:val="en-US" w:eastAsia="zh-CN" w:bidi="ar-SA"/>
              </w:rPr>
            </w:pPr>
          </w:p>
          <w:p w14:paraId="404C8516">
            <w:pPr>
              <w:rPr>
                <w:rFonts w:hint="default" w:ascii="Times New Roman" w:hAnsi="Times New Roman" w:eastAsia="宋体" w:cs="Times New Roman"/>
                <w:color w:val="auto"/>
                <w:kern w:val="2"/>
                <w:sz w:val="21"/>
                <w:szCs w:val="21"/>
                <w:lang w:val="en-US" w:eastAsia="zh-CN" w:bidi="ar-SA"/>
              </w:rPr>
            </w:pPr>
          </w:p>
          <w:p w14:paraId="5BAC8AB8">
            <w:pPr>
              <w:rPr>
                <w:rFonts w:hint="default" w:ascii="Times New Roman" w:hAnsi="Times New Roman" w:eastAsia="宋体" w:cs="Times New Roman"/>
                <w:color w:val="auto"/>
                <w:kern w:val="2"/>
                <w:sz w:val="21"/>
                <w:szCs w:val="21"/>
                <w:lang w:val="en-US" w:eastAsia="zh-CN" w:bidi="ar-SA"/>
              </w:rPr>
            </w:pPr>
          </w:p>
          <w:p w14:paraId="5B738CA1">
            <w:pPr>
              <w:rPr>
                <w:rFonts w:hint="default" w:ascii="Times New Roman" w:hAnsi="Times New Roman" w:eastAsia="宋体" w:cs="Times New Roman"/>
                <w:color w:val="auto"/>
                <w:kern w:val="2"/>
                <w:sz w:val="21"/>
                <w:szCs w:val="21"/>
                <w:lang w:val="en-US" w:eastAsia="zh-CN" w:bidi="ar-SA"/>
              </w:rPr>
            </w:pPr>
          </w:p>
          <w:p w14:paraId="1E097D8D">
            <w:pPr>
              <w:rPr>
                <w:rFonts w:hint="default" w:ascii="Times New Roman" w:hAnsi="Times New Roman" w:eastAsia="宋体" w:cs="Times New Roman"/>
                <w:color w:val="auto"/>
                <w:kern w:val="2"/>
                <w:sz w:val="21"/>
                <w:szCs w:val="21"/>
                <w:lang w:val="en-US" w:eastAsia="zh-CN" w:bidi="ar-SA"/>
              </w:rPr>
            </w:pPr>
          </w:p>
          <w:p w14:paraId="45931272">
            <w:pPr>
              <w:rPr>
                <w:rFonts w:hint="default" w:ascii="Times New Roman" w:hAnsi="Times New Roman" w:eastAsia="宋体" w:cs="Times New Roman"/>
                <w:color w:val="auto"/>
                <w:kern w:val="2"/>
                <w:sz w:val="21"/>
                <w:szCs w:val="21"/>
                <w:lang w:val="en-US" w:eastAsia="zh-CN" w:bidi="ar-SA"/>
              </w:rPr>
            </w:pPr>
          </w:p>
          <w:p w14:paraId="6E17D81A">
            <w:pPr>
              <w:rPr>
                <w:rFonts w:hint="default" w:ascii="Times New Roman" w:hAnsi="Times New Roman" w:eastAsia="宋体" w:cs="Times New Roman"/>
                <w:color w:val="auto"/>
                <w:kern w:val="2"/>
                <w:sz w:val="21"/>
                <w:szCs w:val="21"/>
                <w:lang w:val="en-US" w:eastAsia="zh-CN" w:bidi="ar-SA"/>
              </w:rPr>
            </w:pPr>
          </w:p>
          <w:p w14:paraId="5D54837F">
            <w:pPr>
              <w:rPr>
                <w:rFonts w:hint="default" w:ascii="Times New Roman" w:hAnsi="Times New Roman" w:eastAsia="宋体" w:cs="Times New Roman"/>
                <w:color w:val="auto"/>
                <w:kern w:val="2"/>
                <w:sz w:val="21"/>
                <w:szCs w:val="21"/>
                <w:lang w:val="en-US" w:eastAsia="zh-CN" w:bidi="ar-SA"/>
              </w:rPr>
            </w:pPr>
          </w:p>
          <w:p w14:paraId="1F7A0327">
            <w:pPr>
              <w:rPr>
                <w:rFonts w:hint="default" w:ascii="Times New Roman" w:hAnsi="Times New Roman" w:eastAsia="宋体" w:cs="Times New Roman"/>
                <w:color w:val="auto"/>
                <w:kern w:val="2"/>
                <w:sz w:val="21"/>
                <w:szCs w:val="21"/>
                <w:lang w:val="en-US" w:eastAsia="zh-CN" w:bidi="ar-SA"/>
              </w:rPr>
            </w:pPr>
          </w:p>
          <w:p w14:paraId="42458C41">
            <w:pPr>
              <w:rPr>
                <w:rFonts w:hint="default" w:ascii="Times New Roman" w:hAnsi="Times New Roman" w:eastAsia="宋体" w:cs="Times New Roman"/>
                <w:color w:val="auto"/>
                <w:kern w:val="2"/>
                <w:sz w:val="21"/>
                <w:szCs w:val="21"/>
                <w:lang w:val="en-US" w:eastAsia="zh-CN" w:bidi="ar-SA"/>
              </w:rPr>
            </w:pPr>
          </w:p>
          <w:p w14:paraId="33935BEB">
            <w:pPr>
              <w:rPr>
                <w:rFonts w:hint="default" w:ascii="Times New Roman" w:hAnsi="Times New Roman" w:eastAsia="宋体" w:cs="Times New Roman"/>
                <w:color w:val="auto"/>
                <w:kern w:val="2"/>
                <w:sz w:val="21"/>
                <w:szCs w:val="21"/>
                <w:lang w:val="en-US" w:eastAsia="zh-CN" w:bidi="ar-SA"/>
              </w:rPr>
            </w:pPr>
          </w:p>
          <w:p w14:paraId="22E87480">
            <w:pPr>
              <w:rPr>
                <w:rFonts w:hint="default" w:ascii="Times New Roman" w:hAnsi="Times New Roman" w:eastAsia="宋体" w:cs="Times New Roman"/>
                <w:color w:val="auto"/>
                <w:kern w:val="2"/>
                <w:sz w:val="21"/>
                <w:szCs w:val="21"/>
                <w:lang w:val="en-US" w:eastAsia="zh-CN" w:bidi="ar-SA"/>
              </w:rPr>
            </w:pPr>
          </w:p>
          <w:p w14:paraId="7D032919">
            <w:pPr>
              <w:rPr>
                <w:rFonts w:hint="default" w:ascii="Times New Roman" w:hAnsi="Times New Roman" w:eastAsia="宋体" w:cs="Times New Roman"/>
                <w:color w:val="auto"/>
                <w:kern w:val="2"/>
                <w:sz w:val="21"/>
                <w:szCs w:val="21"/>
                <w:lang w:val="en-US" w:eastAsia="zh-CN" w:bidi="ar-SA"/>
              </w:rPr>
            </w:pPr>
          </w:p>
          <w:p w14:paraId="42EC42F1">
            <w:pPr>
              <w:rPr>
                <w:rFonts w:hint="default" w:ascii="Times New Roman" w:hAnsi="Times New Roman" w:eastAsia="宋体" w:cs="Times New Roman"/>
                <w:color w:val="auto"/>
                <w:kern w:val="2"/>
                <w:sz w:val="21"/>
                <w:szCs w:val="21"/>
                <w:lang w:val="en-US" w:eastAsia="zh-CN" w:bidi="ar-SA"/>
              </w:rPr>
            </w:pPr>
          </w:p>
          <w:p w14:paraId="7F5BB664">
            <w:pPr>
              <w:rPr>
                <w:rFonts w:hint="default" w:ascii="Times New Roman" w:hAnsi="Times New Roman" w:eastAsia="宋体" w:cs="Times New Roman"/>
                <w:color w:val="auto"/>
                <w:kern w:val="2"/>
                <w:sz w:val="21"/>
                <w:szCs w:val="21"/>
                <w:lang w:val="en-US" w:eastAsia="zh-CN" w:bidi="ar-SA"/>
              </w:rPr>
            </w:pPr>
          </w:p>
          <w:p w14:paraId="37844935">
            <w:pPr>
              <w:rPr>
                <w:rFonts w:hint="default" w:ascii="Times New Roman" w:hAnsi="Times New Roman" w:eastAsia="宋体" w:cs="Times New Roman"/>
                <w:color w:val="auto"/>
                <w:kern w:val="2"/>
                <w:sz w:val="21"/>
                <w:szCs w:val="21"/>
                <w:lang w:val="en-US" w:eastAsia="zh-CN" w:bidi="ar-SA"/>
              </w:rPr>
            </w:pPr>
          </w:p>
          <w:p w14:paraId="4A3A22FC">
            <w:pPr>
              <w:rPr>
                <w:rFonts w:hint="default" w:ascii="Times New Roman" w:hAnsi="Times New Roman" w:eastAsia="宋体" w:cs="Times New Roman"/>
                <w:color w:val="auto"/>
                <w:kern w:val="2"/>
                <w:sz w:val="21"/>
                <w:szCs w:val="21"/>
                <w:lang w:val="en-US" w:eastAsia="zh-CN" w:bidi="ar-SA"/>
              </w:rPr>
            </w:pPr>
          </w:p>
          <w:p w14:paraId="066E7035">
            <w:pPr>
              <w:rPr>
                <w:rFonts w:hint="default" w:ascii="Times New Roman" w:hAnsi="Times New Roman" w:eastAsia="宋体" w:cs="Times New Roman"/>
                <w:color w:val="auto"/>
                <w:kern w:val="2"/>
                <w:sz w:val="21"/>
                <w:szCs w:val="21"/>
                <w:lang w:val="en-US" w:eastAsia="zh-CN" w:bidi="ar-SA"/>
              </w:rPr>
            </w:pPr>
          </w:p>
          <w:p w14:paraId="4D4F28B1">
            <w:pPr>
              <w:rPr>
                <w:rFonts w:hint="default" w:ascii="Times New Roman" w:hAnsi="Times New Roman" w:eastAsia="宋体" w:cs="Times New Roman"/>
                <w:color w:val="auto"/>
                <w:kern w:val="2"/>
                <w:sz w:val="21"/>
                <w:szCs w:val="21"/>
                <w:lang w:val="en-US" w:eastAsia="zh-CN" w:bidi="ar-SA"/>
              </w:rPr>
            </w:pPr>
          </w:p>
          <w:p w14:paraId="7941C84B">
            <w:pPr>
              <w:rPr>
                <w:rFonts w:hint="default" w:ascii="Times New Roman" w:hAnsi="Times New Roman" w:eastAsia="宋体" w:cs="Times New Roman"/>
                <w:color w:val="auto"/>
                <w:kern w:val="2"/>
                <w:sz w:val="21"/>
                <w:szCs w:val="21"/>
                <w:lang w:val="en-US" w:eastAsia="zh-CN" w:bidi="ar-SA"/>
              </w:rPr>
            </w:pPr>
          </w:p>
          <w:p w14:paraId="2C17ED55">
            <w:pPr>
              <w:rPr>
                <w:rFonts w:hint="default" w:ascii="Times New Roman" w:hAnsi="Times New Roman" w:eastAsia="宋体" w:cs="Times New Roman"/>
                <w:color w:val="auto"/>
                <w:kern w:val="2"/>
                <w:sz w:val="21"/>
                <w:szCs w:val="21"/>
                <w:lang w:val="en-US" w:eastAsia="zh-CN" w:bidi="ar-SA"/>
              </w:rPr>
            </w:pPr>
          </w:p>
        </w:tc>
      </w:tr>
      <w:tr w14:paraId="145E6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7" w:hRule="atLeast"/>
          <w:jc w:val="center"/>
        </w:trPr>
        <w:tc>
          <w:tcPr>
            <w:tcW w:w="685" w:type="dxa"/>
            <w:gridSpan w:val="2"/>
            <w:noWrap w:val="0"/>
            <w:vAlign w:val="center"/>
          </w:tcPr>
          <w:p w14:paraId="6241F89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8375" w:type="dxa"/>
            <w:gridSpan w:val="5"/>
            <w:noWrap w:val="0"/>
            <w:vAlign w:val="center"/>
          </w:tcPr>
          <w:p w14:paraId="1F8E438A">
            <w:pPr>
              <w:autoSpaceDE w:val="0"/>
              <w:autoSpaceDN w:val="0"/>
              <w:adjustRightInd w:val="0"/>
              <w:snapToGrid w:val="0"/>
              <w:spacing w:line="36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一、与“三线一单”符合性分析</w:t>
            </w:r>
          </w:p>
          <w:p w14:paraId="3A4E221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通过在重庆市“三线一单”智检服务平台进行调查分析，项目所在区域位于</w:t>
            </w:r>
            <w:r>
              <w:rPr>
                <w:rFonts w:hint="eastAsia" w:ascii="Times New Roman" w:hAnsi="Times New Roman" w:cs="Times New Roman"/>
                <w:color w:val="auto"/>
                <w:szCs w:val="21"/>
                <w:lang w:eastAsia="zh-CN"/>
              </w:rPr>
              <w:t>合川区工业城镇重点管控单元－南溪片区</w:t>
            </w:r>
            <w:r>
              <w:rPr>
                <w:rFonts w:hint="default" w:ascii="Times New Roman" w:hAnsi="Times New Roman" w:cs="Times New Roman"/>
                <w:color w:val="auto"/>
                <w:szCs w:val="21"/>
              </w:rPr>
              <w:t>，环境管控单元编码：</w:t>
            </w:r>
            <w:r>
              <w:rPr>
                <w:rFonts w:hint="eastAsia" w:ascii="Times New Roman" w:hAnsi="Times New Roman" w:cs="Times New Roman"/>
                <w:color w:val="auto"/>
                <w:szCs w:val="21"/>
                <w:lang w:eastAsia="zh-CN"/>
              </w:rPr>
              <w:t>ZH50011720002</w:t>
            </w:r>
            <w:r>
              <w:rPr>
                <w:rFonts w:hint="default" w:ascii="Times New Roman" w:hAnsi="Times New Roman" w:cs="Times New Roman"/>
                <w:color w:val="auto"/>
                <w:szCs w:val="21"/>
              </w:rPr>
              <w:t>，三线一单检测分析报告见附件，建设项目与“三线一单”管控要求的符合性分析见下表：</w:t>
            </w:r>
          </w:p>
          <w:p w14:paraId="31C89DD0">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w:t>
            </w:r>
            <w:r>
              <w:rPr>
                <w:rFonts w:hint="default" w:ascii="Times New Roman" w:hAnsi="Times New Roman" w:cs="Times New Roman"/>
                <w:b/>
                <w:bCs/>
                <w:color w:val="auto"/>
                <w:szCs w:val="21"/>
              </w:rPr>
              <w:t>建设项目与“三线一单”管控要求的符合性分析表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662"/>
              <w:gridCol w:w="715"/>
              <w:gridCol w:w="3791"/>
              <w:gridCol w:w="1615"/>
              <w:gridCol w:w="649"/>
            </w:tblGrid>
            <w:tr w14:paraId="1D81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pct"/>
                  <w:gridSpan w:val="3"/>
                  <w:tcBorders>
                    <w:top w:val="single" w:color="auto" w:sz="4" w:space="0"/>
                    <w:left w:val="single" w:color="auto" w:sz="4" w:space="0"/>
                    <w:bottom w:val="single" w:color="auto" w:sz="4" w:space="0"/>
                    <w:right w:val="single" w:color="auto" w:sz="4" w:space="0"/>
                  </w:tcBorders>
                  <w:noWrap w:val="0"/>
                  <w:vAlign w:val="center"/>
                </w:tcPr>
                <w:p w14:paraId="2CE63A2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环境管控单元编码</w:t>
                  </w:r>
                </w:p>
              </w:tc>
              <w:tc>
                <w:tcPr>
                  <w:tcW w:w="2326" w:type="pct"/>
                  <w:tcBorders>
                    <w:top w:val="single" w:color="auto" w:sz="4" w:space="0"/>
                    <w:left w:val="single" w:color="auto" w:sz="4" w:space="0"/>
                    <w:bottom w:val="single" w:color="auto" w:sz="4" w:space="0"/>
                    <w:right w:val="single" w:color="auto" w:sz="4" w:space="0"/>
                  </w:tcBorders>
                  <w:noWrap w:val="0"/>
                  <w:vAlign w:val="center"/>
                </w:tcPr>
                <w:p w14:paraId="2888E56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环境管控单元名称</w:t>
                  </w:r>
                </w:p>
              </w:tc>
              <w:tc>
                <w:tcPr>
                  <w:tcW w:w="1389" w:type="pct"/>
                  <w:gridSpan w:val="2"/>
                  <w:tcBorders>
                    <w:top w:val="single" w:color="auto" w:sz="4" w:space="0"/>
                    <w:left w:val="single" w:color="auto" w:sz="4" w:space="0"/>
                    <w:bottom w:val="single" w:color="auto" w:sz="4" w:space="0"/>
                    <w:right w:val="single" w:color="auto" w:sz="4" w:space="0"/>
                  </w:tcBorders>
                  <w:noWrap w:val="0"/>
                  <w:vAlign w:val="center"/>
                </w:tcPr>
                <w:p w14:paraId="34FD416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环境管控单元类型</w:t>
                  </w:r>
                </w:p>
              </w:tc>
            </w:tr>
            <w:tr w14:paraId="645D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pct"/>
                  <w:gridSpan w:val="3"/>
                  <w:tcBorders>
                    <w:top w:val="single" w:color="auto" w:sz="4" w:space="0"/>
                    <w:left w:val="single" w:color="auto" w:sz="4" w:space="0"/>
                    <w:bottom w:val="single" w:color="auto" w:sz="4" w:space="0"/>
                    <w:right w:val="single" w:color="auto" w:sz="4" w:space="0"/>
                  </w:tcBorders>
                  <w:noWrap w:val="0"/>
                  <w:vAlign w:val="center"/>
                </w:tcPr>
                <w:p w14:paraId="704FCCB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ZH50011720002</w:t>
                  </w:r>
                </w:p>
              </w:tc>
              <w:tc>
                <w:tcPr>
                  <w:tcW w:w="2326" w:type="pct"/>
                  <w:tcBorders>
                    <w:top w:val="single" w:color="auto" w:sz="4" w:space="0"/>
                    <w:left w:val="single" w:color="auto" w:sz="4" w:space="0"/>
                    <w:bottom w:val="single" w:color="auto" w:sz="4" w:space="0"/>
                    <w:right w:val="single" w:color="auto" w:sz="4" w:space="0"/>
                  </w:tcBorders>
                  <w:noWrap w:val="0"/>
                  <w:vAlign w:val="center"/>
                </w:tcPr>
                <w:p w14:paraId="267186C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sz w:val="18"/>
                      <w:szCs w:val="18"/>
                      <w:lang w:val="en-US" w:eastAsia="zh-CN"/>
                    </w:rPr>
                    <w:t>合川区工业城镇重点管控单元</w:t>
                  </w:r>
                  <w:r>
                    <w:rPr>
                      <w:rFonts w:hint="eastAsia" w:cs="Times New Roman"/>
                      <w:bCs/>
                      <w:color w:val="auto"/>
                      <w:sz w:val="18"/>
                      <w:szCs w:val="18"/>
                      <w:lang w:val="en-US" w:eastAsia="zh-CN"/>
                    </w:rPr>
                    <w:t>－</w:t>
                  </w:r>
                  <w:r>
                    <w:rPr>
                      <w:rFonts w:hint="default" w:ascii="Times New Roman" w:hAnsi="Times New Roman" w:eastAsia="宋体" w:cs="Times New Roman"/>
                      <w:bCs/>
                      <w:color w:val="auto"/>
                      <w:sz w:val="18"/>
                      <w:szCs w:val="18"/>
                      <w:lang w:val="en-US" w:eastAsia="zh-CN"/>
                    </w:rPr>
                    <w:t>南溪片区</w:t>
                  </w:r>
                </w:p>
              </w:tc>
              <w:tc>
                <w:tcPr>
                  <w:tcW w:w="1389" w:type="pct"/>
                  <w:gridSpan w:val="2"/>
                  <w:tcBorders>
                    <w:top w:val="single" w:color="auto" w:sz="4" w:space="0"/>
                    <w:left w:val="single" w:color="auto" w:sz="4" w:space="0"/>
                    <w:bottom w:val="single" w:color="auto" w:sz="4" w:space="0"/>
                    <w:right w:val="single" w:color="auto" w:sz="4" w:space="0"/>
                  </w:tcBorders>
                  <w:noWrap w:val="0"/>
                  <w:vAlign w:val="center"/>
                </w:tcPr>
                <w:p w14:paraId="3FF5792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重点管控单元</w:t>
                  </w:r>
                  <w:r>
                    <w:rPr>
                      <w:rFonts w:hint="eastAsia" w:cs="Times New Roman"/>
                      <w:bCs/>
                      <w:color w:val="auto"/>
                      <w:kern w:val="2"/>
                      <w:sz w:val="18"/>
                      <w:szCs w:val="18"/>
                      <w:lang w:val="en-US" w:eastAsia="zh-CN" w:bidi="ar"/>
                    </w:rPr>
                    <w:t>2</w:t>
                  </w:r>
                </w:p>
              </w:tc>
            </w:tr>
            <w:tr w14:paraId="6288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op w:val="single" w:color="auto" w:sz="4" w:space="0"/>
                    <w:left w:val="single" w:color="auto" w:sz="4" w:space="0"/>
                    <w:bottom w:val="single" w:color="auto" w:sz="4" w:space="0"/>
                    <w:right w:val="single" w:color="auto" w:sz="4" w:space="0"/>
                  </w:tcBorders>
                  <w:noWrap w:val="0"/>
                  <w:vAlign w:val="center"/>
                </w:tcPr>
                <w:p w14:paraId="67FE77A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管控要求层级</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757F9F1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管控类型</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006EA1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管控要求</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72A969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建设项目相关情况</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24FED2E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eastAsia="宋体" w:cs="Times New Roman"/>
                      <w:bCs/>
                      <w:color w:val="auto"/>
                      <w:kern w:val="2"/>
                      <w:sz w:val="18"/>
                      <w:szCs w:val="18"/>
                      <w:lang w:val="en-US" w:eastAsia="zh-CN" w:bidi="ar"/>
                    </w:rPr>
                    <w:t>符合性分析结论</w:t>
                  </w:r>
                </w:p>
              </w:tc>
            </w:tr>
            <w:tr w14:paraId="5531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restart"/>
                  <w:tcBorders>
                    <w:top w:val="single" w:color="auto" w:sz="4" w:space="0"/>
                    <w:left w:val="single" w:color="auto" w:sz="4" w:space="0"/>
                    <w:right w:val="single" w:color="auto" w:sz="4" w:space="0"/>
                  </w:tcBorders>
                  <w:noWrap w:val="0"/>
                  <w:vAlign w:val="center"/>
                </w:tcPr>
                <w:p w14:paraId="23156DA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重庆市总体管控要求</w:t>
                  </w:r>
                </w:p>
              </w:tc>
              <w:tc>
                <w:tcPr>
                  <w:tcW w:w="406" w:type="pct"/>
                  <w:vMerge w:val="restart"/>
                  <w:tcBorders>
                    <w:top w:val="single" w:color="auto" w:sz="4" w:space="0"/>
                    <w:left w:val="single" w:color="auto" w:sz="4" w:space="0"/>
                    <w:right w:val="single" w:color="auto" w:sz="4" w:space="0"/>
                  </w:tcBorders>
                  <w:noWrap w:val="0"/>
                  <w:vAlign w:val="center"/>
                </w:tcPr>
                <w:p w14:paraId="28BFE35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空间布局约束</w:t>
                  </w:r>
                </w:p>
              </w:tc>
              <w:tc>
                <w:tcPr>
                  <w:tcW w:w="2765" w:type="pct"/>
                  <w:gridSpan w:val="2"/>
                  <w:tcBorders>
                    <w:top w:val="single" w:color="auto" w:sz="4" w:space="0"/>
                    <w:left w:val="single" w:color="auto" w:sz="4" w:space="0"/>
                    <w:right w:val="single" w:color="auto" w:sz="4" w:space="0"/>
                  </w:tcBorders>
                  <w:noWrap w:val="0"/>
                  <w:vAlign w:val="center"/>
                </w:tcPr>
                <w:p w14:paraId="41BDCBB2">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第一条  深入贯彻习近平生态文明思想，筑牢长江上游重要生态屏障，推动优势区域重点发展、生态功能区重点保护、</w:t>
                  </w:r>
                  <w:r>
                    <w:rPr>
                      <w:rFonts w:hint="default" w:ascii="Times New Roman" w:hAnsi="Times New Roman" w:eastAsia="宋体" w:cs="Times New Roman"/>
                      <w:color w:val="auto"/>
                      <w:sz w:val="18"/>
                      <w:szCs w:val="18"/>
                      <w:lang w:val="en-US"/>
                    </w:rPr>
                    <w:fldChar w:fldCharType="begin"/>
                  </w:r>
                  <w:r>
                    <w:rPr>
                      <w:rFonts w:hint="default" w:ascii="Times New Roman" w:hAnsi="Times New Roman" w:eastAsia="宋体" w:cs="Times New Roman"/>
                      <w:color w:val="auto"/>
                      <w:sz w:val="18"/>
                      <w:szCs w:val="18"/>
                      <w:lang w:val="en-US"/>
                    </w:rPr>
                    <w:instrText xml:space="preserve"> HYPERLINK "http://guihuayun.com/baike/%E5%9F%8E%E4%B9%A1%E8%9E%8D%E5%90%88%E5%8F%91%E5%B1%95" \t "http://www.gui-hua.com/post/_blank" </w:instrText>
                  </w:r>
                  <w:r>
                    <w:rPr>
                      <w:rFonts w:hint="default" w:ascii="Times New Roman" w:hAnsi="Times New Roman" w:eastAsia="宋体" w:cs="Times New Roman"/>
                      <w:color w:val="auto"/>
                      <w:sz w:val="18"/>
                      <w:szCs w:val="18"/>
                      <w:lang w:val="en-US"/>
                    </w:rPr>
                    <w:fldChar w:fldCharType="separate"/>
                  </w:r>
                  <w:r>
                    <w:rPr>
                      <w:rFonts w:hint="default" w:ascii="Times New Roman" w:hAnsi="Times New Roman" w:eastAsia="宋体" w:cs="Times New Roman"/>
                      <w:color w:val="auto"/>
                      <w:sz w:val="18"/>
                      <w:szCs w:val="18"/>
                      <w:lang w:val="en-US"/>
                    </w:rPr>
                    <w:t>城乡融合发展</w:t>
                  </w:r>
                  <w:r>
                    <w:rPr>
                      <w:rFonts w:hint="default" w:ascii="Times New Roman" w:hAnsi="Times New Roman" w:eastAsia="宋体" w:cs="Times New Roman"/>
                      <w:color w:val="auto"/>
                      <w:sz w:val="18"/>
                      <w:szCs w:val="18"/>
                      <w:lang w:val="en-US"/>
                    </w:rPr>
                    <w:fldChar w:fldCharType="end"/>
                  </w:r>
                  <w:r>
                    <w:rPr>
                      <w:rFonts w:hint="default" w:ascii="Times New Roman" w:hAnsi="Times New Roman" w:eastAsia="宋体" w:cs="Times New Roman"/>
                      <w:color w:val="auto"/>
                      <w:sz w:val="18"/>
                      <w:szCs w:val="18"/>
                      <w:lang w:val="en-US"/>
                    </w:rPr>
                    <w:t>，优化重点区域、流域、产业的空间布局。</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11361F1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项目位于</w:t>
                  </w:r>
                  <w:r>
                    <w:rPr>
                      <w:rFonts w:hint="eastAsia" w:ascii="Times New Roman" w:hAnsi="Times New Roman" w:cs="Times New Roman"/>
                      <w:color w:val="auto"/>
                      <w:sz w:val="18"/>
                      <w:szCs w:val="18"/>
                      <w:lang w:val="en-US" w:eastAsia="zh-CN"/>
                    </w:rPr>
                    <w:t>合川工业园区南溪组团A区且与</w:t>
                  </w:r>
                  <w:r>
                    <w:rPr>
                      <w:rFonts w:hint="default" w:ascii="Times New Roman" w:hAnsi="Times New Roman" w:eastAsia="宋体" w:cs="Times New Roman"/>
                      <w:color w:val="auto"/>
                      <w:sz w:val="18"/>
                      <w:szCs w:val="18"/>
                      <w:lang w:val="en-US" w:eastAsia="zh-CN"/>
                    </w:rPr>
                    <w:t>园区规划</w:t>
                  </w:r>
                  <w:r>
                    <w:rPr>
                      <w:rFonts w:hint="eastAsia" w:ascii="Times New Roman" w:hAnsi="Times New Roman" w:cs="Times New Roman"/>
                      <w:color w:val="auto"/>
                      <w:sz w:val="18"/>
                      <w:szCs w:val="18"/>
                      <w:lang w:val="en-US" w:eastAsia="zh-CN"/>
                    </w:rPr>
                    <w:t>不相冲突。</w:t>
                  </w:r>
                </w:p>
              </w:tc>
              <w:tc>
                <w:tcPr>
                  <w:tcW w:w="398" w:type="pct"/>
                  <w:tcBorders>
                    <w:top w:val="single" w:color="auto" w:sz="4" w:space="0"/>
                    <w:left w:val="single" w:color="auto" w:sz="4" w:space="0"/>
                    <w:right w:val="single" w:color="auto" w:sz="4" w:space="0"/>
                  </w:tcBorders>
                  <w:noWrap w:val="0"/>
                  <w:vAlign w:val="center"/>
                </w:tcPr>
                <w:p w14:paraId="2494603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4618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continue"/>
                  <w:tcBorders>
                    <w:left w:val="single" w:color="auto" w:sz="4" w:space="0"/>
                    <w:right w:val="single" w:color="auto" w:sz="4" w:space="0"/>
                  </w:tcBorders>
                  <w:noWrap w:val="0"/>
                  <w:vAlign w:val="center"/>
                </w:tcPr>
                <w:p w14:paraId="0C70F7A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406" w:type="pct"/>
                  <w:vMerge w:val="continue"/>
                  <w:tcBorders>
                    <w:left w:val="single" w:color="auto" w:sz="4" w:space="0"/>
                    <w:right w:val="single" w:color="auto" w:sz="4" w:space="0"/>
                  </w:tcBorders>
                  <w:noWrap w:val="0"/>
                  <w:vAlign w:val="center"/>
                </w:tcPr>
                <w:p w14:paraId="58810CE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2765" w:type="pct"/>
                  <w:gridSpan w:val="2"/>
                  <w:tcBorders>
                    <w:left w:val="single" w:color="auto" w:sz="4" w:space="0"/>
                    <w:right w:val="single" w:color="auto" w:sz="4" w:space="0"/>
                  </w:tcBorders>
                  <w:noWrap w:val="0"/>
                  <w:vAlign w:val="center"/>
                </w:tcPr>
                <w:p w14:paraId="06BD77E9">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color w:val="auto"/>
                      <w:kern w:val="2"/>
                      <w:sz w:val="18"/>
                      <w:szCs w:val="18"/>
                      <w:lang w:val="en-US" w:eastAsia="zh-CN" w:bidi="ar"/>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4132389B">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
                    </w:rPr>
                  </w:pPr>
                  <w:r>
                    <w:rPr>
                      <w:rFonts w:hint="eastAsia" w:ascii="Times New Roman" w:hAnsi="Times New Roman" w:eastAsia="宋体" w:cs="Times New Roman"/>
                      <w:color w:val="auto"/>
                      <w:kern w:val="2"/>
                      <w:sz w:val="18"/>
                      <w:szCs w:val="18"/>
                      <w:lang w:val="en-US" w:eastAsia="zh-CN" w:bidi="ar"/>
                    </w:rPr>
                    <w:t>项目位于</w:t>
                  </w:r>
                  <w:r>
                    <w:rPr>
                      <w:rFonts w:hint="eastAsia" w:ascii="Times New Roman" w:hAnsi="Times New Roman" w:cs="Times New Roman"/>
                      <w:color w:val="auto"/>
                      <w:kern w:val="2"/>
                      <w:sz w:val="18"/>
                      <w:szCs w:val="18"/>
                      <w:lang w:val="en-US" w:eastAsia="zh-CN" w:bidi="ar"/>
                    </w:rPr>
                    <w:t>合川工业园区南溪组团A区</w:t>
                  </w:r>
                  <w:r>
                    <w:rPr>
                      <w:rFonts w:hint="eastAsia" w:ascii="Times New Roman" w:hAnsi="Times New Roman" w:eastAsia="宋体" w:cs="Times New Roman"/>
                      <w:color w:val="auto"/>
                      <w:kern w:val="2"/>
                      <w:sz w:val="18"/>
                      <w:szCs w:val="18"/>
                      <w:lang w:val="en-US" w:eastAsia="zh-CN" w:bidi="ar"/>
                    </w:rPr>
                    <w:t>，</w:t>
                  </w:r>
                  <w:r>
                    <w:rPr>
                      <w:rFonts w:hint="eastAsia" w:cs="Times New Roman"/>
                      <w:color w:val="auto"/>
                      <w:kern w:val="2"/>
                      <w:sz w:val="18"/>
                      <w:szCs w:val="18"/>
                      <w:lang w:val="en-US" w:eastAsia="zh-CN" w:bidi="ar"/>
                    </w:rPr>
                    <w:t>行业类别为C3670汽车零部件及配件制造、C2929塑料零件及其他塑料制品制造</w:t>
                  </w:r>
                  <w:r>
                    <w:rPr>
                      <w:rFonts w:hint="eastAsia" w:ascii="Times New Roman" w:hAnsi="Times New Roman" w:cs="Times New Roman"/>
                      <w:color w:val="auto"/>
                      <w:kern w:val="2"/>
                      <w:sz w:val="18"/>
                      <w:szCs w:val="18"/>
                      <w:lang w:val="en-US" w:eastAsia="zh-CN" w:bidi="ar"/>
                    </w:rPr>
                    <w:t>，不属于</w:t>
                  </w:r>
                  <w:r>
                    <w:rPr>
                      <w:rFonts w:hint="eastAsia" w:cs="Times New Roman"/>
                      <w:color w:val="auto"/>
                      <w:kern w:val="2"/>
                      <w:sz w:val="18"/>
                      <w:szCs w:val="18"/>
                      <w:lang w:val="en-US" w:eastAsia="zh-CN" w:bidi="ar"/>
                    </w:rPr>
                    <w:t>上述</w:t>
                  </w:r>
                  <w:r>
                    <w:rPr>
                      <w:rFonts w:hint="eastAsia" w:ascii="Times New Roman" w:hAnsi="Times New Roman" w:cs="Times New Roman"/>
                      <w:color w:val="auto"/>
                      <w:kern w:val="2"/>
                      <w:sz w:val="18"/>
                      <w:szCs w:val="18"/>
                      <w:lang w:val="en-US" w:eastAsia="zh-CN" w:bidi="ar"/>
                    </w:rPr>
                    <w:t>项目。</w:t>
                  </w:r>
                </w:p>
              </w:tc>
              <w:tc>
                <w:tcPr>
                  <w:tcW w:w="398" w:type="pct"/>
                  <w:tcBorders>
                    <w:left w:val="single" w:color="auto" w:sz="4" w:space="0"/>
                    <w:right w:val="single" w:color="auto" w:sz="4" w:space="0"/>
                  </w:tcBorders>
                  <w:noWrap w:val="0"/>
                  <w:vAlign w:val="center"/>
                </w:tcPr>
                <w:p w14:paraId="4FEBDEC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114C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38" w:type="pct"/>
                  <w:vMerge w:val="continue"/>
                  <w:tcBorders>
                    <w:left w:val="single" w:color="auto" w:sz="4" w:space="0"/>
                    <w:right w:val="single" w:color="auto" w:sz="4" w:space="0"/>
                  </w:tcBorders>
                  <w:noWrap w:val="0"/>
                  <w:vAlign w:val="center"/>
                </w:tcPr>
                <w:p w14:paraId="41FAE0F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406" w:type="pct"/>
                  <w:vMerge w:val="continue"/>
                  <w:tcBorders>
                    <w:left w:val="single" w:color="auto" w:sz="4" w:space="0"/>
                    <w:right w:val="single" w:color="auto" w:sz="4" w:space="0"/>
                  </w:tcBorders>
                  <w:noWrap w:val="0"/>
                  <w:vAlign w:val="center"/>
                </w:tcPr>
                <w:p w14:paraId="34321B7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2765" w:type="pct"/>
                  <w:gridSpan w:val="2"/>
                  <w:tcBorders>
                    <w:left w:val="single" w:color="auto" w:sz="4" w:space="0"/>
                    <w:right w:val="single" w:color="auto" w:sz="4" w:space="0"/>
                  </w:tcBorders>
                  <w:noWrap w:val="0"/>
                  <w:vAlign w:val="center"/>
                </w:tcPr>
                <w:p w14:paraId="1B4CB55B">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2AF7FC3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bidi="ar"/>
                    </w:rPr>
                    <w:t>项目位于</w:t>
                  </w:r>
                  <w:r>
                    <w:rPr>
                      <w:rFonts w:hint="eastAsia" w:ascii="Times New Roman" w:hAnsi="Times New Roman" w:cs="Times New Roman"/>
                      <w:color w:val="auto"/>
                      <w:kern w:val="2"/>
                      <w:sz w:val="18"/>
                      <w:szCs w:val="18"/>
                      <w:lang w:val="en-US" w:eastAsia="zh-CN" w:bidi="ar"/>
                    </w:rPr>
                    <w:t>合川工业园区南溪组团A区</w:t>
                  </w:r>
                  <w:r>
                    <w:rPr>
                      <w:rFonts w:hint="eastAsia" w:ascii="Times New Roman" w:hAnsi="Times New Roman" w:eastAsia="宋体" w:cs="Times New Roman"/>
                      <w:color w:val="auto"/>
                      <w:kern w:val="2"/>
                      <w:sz w:val="18"/>
                      <w:szCs w:val="18"/>
                      <w:lang w:val="en-US" w:eastAsia="zh-CN" w:bidi="ar"/>
                    </w:rPr>
                    <w:t>，</w:t>
                  </w:r>
                  <w:r>
                    <w:rPr>
                      <w:rFonts w:hint="eastAsia" w:cs="Times New Roman"/>
                      <w:color w:val="auto"/>
                      <w:kern w:val="2"/>
                      <w:sz w:val="18"/>
                      <w:szCs w:val="18"/>
                      <w:lang w:val="en-US" w:eastAsia="zh-CN" w:bidi="ar"/>
                    </w:rPr>
                    <w:t>行业类别为C3670汽车零部件及配件制造、C2929塑料零件及其他塑料制品制造</w:t>
                  </w:r>
                  <w:r>
                    <w:rPr>
                      <w:rFonts w:hint="eastAsia" w:ascii="Times New Roman" w:hAnsi="Times New Roman" w:cs="Times New Roman"/>
                      <w:color w:val="auto"/>
                      <w:kern w:val="2"/>
                      <w:sz w:val="18"/>
                      <w:szCs w:val="18"/>
                      <w:lang w:val="en-US" w:eastAsia="zh-CN" w:bidi="ar"/>
                    </w:rPr>
                    <w:t>，不属于两高项目</w:t>
                  </w:r>
                  <w:r>
                    <w:rPr>
                      <w:rFonts w:hint="eastAsia" w:cs="Times New Roman"/>
                      <w:color w:val="auto"/>
                      <w:kern w:val="2"/>
                      <w:sz w:val="18"/>
                      <w:szCs w:val="18"/>
                      <w:lang w:val="en-US" w:eastAsia="zh-CN" w:bidi="ar"/>
                    </w:rPr>
                    <w:t>；项目满足污染物总量控制要求，符合园区规划环评相关要求。</w:t>
                  </w:r>
                </w:p>
              </w:tc>
              <w:tc>
                <w:tcPr>
                  <w:tcW w:w="398" w:type="pct"/>
                  <w:tcBorders>
                    <w:left w:val="single" w:color="auto" w:sz="4" w:space="0"/>
                    <w:right w:val="single" w:color="auto" w:sz="4" w:space="0"/>
                  </w:tcBorders>
                  <w:noWrap w:val="0"/>
                  <w:vAlign w:val="center"/>
                </w:tcPr>
                <w:p w14:paraId="6CD1A37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46FA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continue"/>
                  <w:tcBorders>
                    <w:left w:val="single" w:color="auto" w:sz="4" w:space="0"/>
                    <w:right w:val="single" w:color="auto" w:sz="4" w:space="0"/>
                  </w:tcBorders>
                  <w:noWrap w:val="0"/>
                  <w:vAlign w:val="center"/>
                </w:tcPr>
                <w:p w14:paraId="4E3E7DB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406" w:type="pct"/>
                  <w:vMerge w:val="continue"/>
                  <w:tcBorders>
                    <w:left w:val="single" w:color="auto" w:sz="4" w:space="0"/>
                    <w:right w:val="single" w:color="auto" w:sz="4" w:space="0"/>
                  </w:tcBorders>
                  <w:noWrap w:val="0"/>
                  <w:vAlign w:val="center"/>
                </w:tcPr>
                <w:p w14:paraId="7D66D8E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2765" w:type="pct"/>
                  <w:gridSpan w:val="2"/>
                  <w:tcBorders>
                    <w:left w:val="single" w:color="auto" w:sz="4" w:space="0"/>
                    <w:right w:val="single" w:color="auto" w:sz="4" w:space="0"/>
                  </w:tcBorders>
                  <w:noWrap w:val="0"/>
                  <w:vAlign w:val="center"/>
                </w:tcPr>
                <w:p w14:paraId="5C4DE836">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648000A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项目位于</w:t>
                  </w:r>
                  <w:r>
                    <w:rPr>
                      <w:rFonts w:hint="eastAsia" w:ascii="Times New Roman" w:hAnsi="Times New Roman" w:cs="Times New Roman"/>
                      <w:color w:val="auto"/>
                      <w:sz w:val="18"/>
                      <w:szCs w:val="18"/>
                      <w:lang w:val="en-US" w:eastAsia="zh-CN"/>
                    </w:rPr>
                    <w:t>合川工业园区南溪组团A区</w:t>
                  </w: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行业类别为C3670汽车零部件及配件制造、C2929塑料零件及其他塑料制品制造</w:t>
                  </w:r>
                  <w:r>
                    <w:rPr>
                      <w:rFonts w:hint="eastAsia" w:ascii="Times New Roman" w:hAnsi="Times New Roman" w:eastAsia="宋体" w:cs="Times New Roman"/>
                      <w:color w:val="auto"/>
                      <w:sz w:val="18"/>
                      <w:szCs w:val="18"/>
                      <w:lang w:val="en-US" w:eastAsia="zh-CN"/>
                    </w:rPr>
                    <w:t>，不属于高耗能、高排放、低水平项目。</w:t>
                  </w:r>
                </w:p>
              </w:tc>
              <w:tc>
                <w:tcPr>
                  <w:tcW w:w="398" w:type="pct"/>
                  <w:tcBorders>
                    <w:left w:val="single" w:color="auto" w:sz="4" w:space="0"/>
                    <w:right w:val="single" w:color="auto" w:sz="4" w:space="0"/>
                  </w:tcBorders>
                  <w:noWrap w:val="0"/>
                  <w:vAlign w:val="center"/>
                </w:tcPr>
                <w:p w14:paraId="7A3DCF8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666F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continue"/>
                  <w:tcBorders>
                    <w:left w:val="single" w:color="auto" w:sz="4" w:space="0"/>
                    <w:right w:val="single" w:color="auto" w:sz="4" w:space="0"/>
                  </w:tcBorders>
                  <w:noWrap w:val="0"/>
                  <w:vAlign w:val="center"/>
                </w:tcPr>
                <w:p w14:paraId="7E8537A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406" w:type="pct"/>
                  <w:vMerge w:val="continue"/>
                  <w:tcBorders>
                    <w:left w:val="single" w:color="auto" w:sz="4" w:space="0"/>
                    <w:right w:val="single" w:color="auto" w:sz="4" w:space="0"/>
                  </w:tcBorders>
                  <w:noWrap w:val="0"/>
                  <w:vAlign w:val="center"/>
                </w:tcPr>
                <w:p w14:paraId="270629E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2765" w:type="pct"/>
                  <w:gridSpan w:val="2"/>
                  <w:tcBorders>
                    <w:left w:val="single" w:color="auto" w:sz="4" w:space="0"/>
                    <w:right w:val="single" w:color="auto" w:sz="4" w:space="0"/>
                  </w:tcBorders>
                  <w:noWrap w:val="0"/>
                  <w:vAlign w:val="center"/>
                </w:tcPr>
                <w:p w14:paraId="12BE2D27">
                  <w:pPr>
                    <w:keepNext w:val="0"/>
                    <w:keepLines w:val="0"/>
                    <w:pageBreakBefore w:val="0"/>
                    <w:widowControl w:val="0"/>
                    <w:numPr>
                      <w:ilvl w:val="0"/>
                      <w:numId w:val="0"/>
                    </w:numPr>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第五条  新建、扩建有色金属冶炼、电镀、铅蓄电池等企业应布设在依法合规设立并经过规划环评的产业园区。</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13CDB5C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w:t>
                  </w:r>
                  <w:r>
                    <w:rPr>
                      <w:rFonts w:hint="eastAsia" w:cs="Times New Roman"/>
                      <w:color w:val="auto"/>
                      <w:sz w:val="18"/>
                      <w:szCs w:val="18"/>
                      <w:lang w:val="en-US" w:eastAsia="zh-CN"/>
                    </w:rPr>
                    <w:t>行业类别为C3670汽车零部件及配件制造、C2929塑料零件及其他塑料制品制造</w:t>
                  </w:r>
                  <w:r>
                    <w:rPr>
                      <w:rFonts w:hint="eastAsia" w:ascii="Times New Roman" w:hAnsi="Times New Roman" w:eastAsia="宋体" w:cs="Times New Roman"/>
                      <w:color w:val="auto"/>
                      <w:sz w:val="18"/>
                      <w:szCs w:val="18"/>
                      <w:lang w:val="en-US" w:eastAsia="zh-CN"/>
                    </w:rPr>
                    <w:t>，不属于有色金属冶炼、电镀、铅蓄电池项目。</w:t>
                  </w:r>
                </w:p>
              </w:tc>
              <w:tc>
                <w:tcPr>
                  <w:tcW w:w="398" w:type="pct"/>
                  <w:tcBorders>
                    <w:left w:val="single" w:color="auto" w:sz="4" w:space="0"/>
                    <w:right w:val="single" w:color="auto" w:sz="4" w:space="0"/>
                  </w:tcBorders>
                  <w:noWrap w:val="0"/>
                  <w:vAlign w:val="center"/>
                </w:tcPr>
                <w:p w14:paraId="54484D4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0974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continue"/>
                  <w:tcBorders>
                    <w:left w:val="single" w:color="auto" w:sz="4" w:space="0"/>
                    <w:right w:val="single" w:color="auto" w:sz="4" w:space="0"/>
                  </w:tcBorders>
                  <w:noWrap w:val="0"/>
                  <w:vAlign w:val="center"/>
                </w:tcPr>
                <w:p w14:paraId="0686D72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406" w:type="pct"/>
                  <w:vMerge w:val="continue"/>
                  <w:tcBorders>
                    <w:left w:val="single" w:color="auto" w:sz="4" w:space="0"/>
                    <w:right w:val="single" w:color="auto" w:sz="4" w:space="0"/>
                  </w:tcBorders>
                  <w:noWrap w:val="0"/>
                  <w:vAlign w:val="center"/>
                </w:tcPr>
                <w:p w14:paraId="3F82F12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2765" w:type="pct"/>
                  <w:gridSpan w:val="2"/>
                  <w:tcBorders>
                    <w:left w:val="single" w:color="auto" w:sz="4" w:space="0"/>
                    <w:right w:val="single" w:color="auto" w:sz="4" w:space="0"/>
                  </w:tcBorders>
                  <w:noWrap w:val="0"/>
                  <w:vAlign w:val="center"/>
                </w:tcPr>
                <w:p w14:paraId="2688CEF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第六条  涉及环境防护距离的工业企业或项目应通过选址或调整布局原则上将环境防护距离控制在园区边界或用地红线内，提前合理规划项目地块布置、预防环境风险。</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3158AB5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项目不需设置环境防护距离</w:t>
                  </w:r>
                  <w:r>
                    <w:rPr>
                      <w:rFonts w:hint="eastAsia" w:ascii="Times New Roman" w:hAnsi="Times New Roman" w:cs="Times New Roman"/>
                      <w:color w:val="auto"/>
                      <w:sz w:val="18"/>
                      <w:szCs w:val="18"/>
                      <w:lang w:val="en-US" w:eastAsia="zh-CN"/>
                    </w:rPr>
                    <w:t>。</w:t>
                  </w:r>
                </w:p>
              </w:tc>
              <w:tc>
                <w:tcPr>
                  <w:tcW w:w="398" w:type="pct"/>
                  <w:tcBorders>
                    <w:left w:val="single" w:color="auto" w:sz="4" w:space="0"/>
                    <w:right w:val="single" w:color="auto" w:sz="4" w:space="0"/>
                  </w:tcBorders>
                  <w:noWrap w:val="0"/>
                  <w:vAlign w:val="center"/>
                </w:tcPr>
                <w:p w14:paraId="4BA455F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503B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38" w:type="pct"/>
                  <w:vMerge w:val="continue"/>
                  <w:tcBorders>
                    <w:left w:val="single" w:color="auto" w:sz="4" w:space="0"/>
                    <w:bottom w:val="single" w:color="auto" w:sz="4" w:space="0"/>
                    <w:right w:val="single" w:color="auto" w:sz="4" w:space="0"/>
                  </w:tcBorders>
                  <w:noWrap w:val="0"/>
                  <w:vAlign w:val="center"/>
                </w:tcPr>
                <w:p w14:paraId="3A75A09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406" w:type="pct"/>
                  <w:vMerge w:val="continue"/>
                  <w:tcBorders>
                    <w:left w:val="single" w:color="auto" w:sz="4" w:space="0"/>
                    <w:bottom w:val="single" w:color="auto" w:sz="4" w:space="0"/>
                    <w:right w:val="single" w:color="auto" w:sz="4" w:space="0"/>
                  </w:tcBorders>
                  <w:noWrap w:val="0"/>
                  <w:vAlign w:val="center"/>
                </w:tcPr>
                <w:p w14:paraId="3CB15EB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p>
              </w:tc>
              <w:tc>
                <w:tcPr>
                  <w:tcW w:w="2765" w:type="pct"/>
                  <w:gridSpan w:val="2"/>
                  <w:tcBorders>
                    <w:left w:val="single" w:color="auto" w:sz="4" w:space="0"/>
                    <w:bottom w:val="single" w:color="auto" w:sz="4" w:space="0"/>
                    <w:right w:val="single" w:color="auto" w:sz="4" w:space="0"/>
                  </w:tcBorders>
                  <w:noWrap w:val="0"/>
                  <w:vAlign w:val="center"/>
                </w:tcPr>
                <w:p w14:paraId="112B7F4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第七条  有效规范空间开发秩序，合理控制空间开发强度，切实将各类开发活动限制在资源环境承载能力之内，为构建高效协调可持续的国土空间开发格局奠定坚实基础。</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2664CB0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项目不新建厂房，不会对区域国土空间开发格局产生影响。</w:t>
                  </w:r>
                </w:p>
              </w:tc>
              <w:tc>
                <w:tcPr>
                  <w:tcW w:w="398" w:type="pct"/>
                  <w:tcBorders>
                    <w:left w:val="single" w:color="auto" w:sz="4" w:space="0"/>
                    <w:bottom w:val="single" w:color="auto" w:sz="4" w:space="0"/>
                    <w:right w:val="single" w:color="auto" w:sz="4" w:space="0"/>
                  </w:tcBorders>
                  <w:noWrap w:val="0"/>
                  <w:vAlign w:val="center"/>
                </w:tcPr>
                <w:p w14:paraId="0D48392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7BC1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1FC6EE15">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top w:val="single" w:color="auto" w:sz="4" w:space="0"/>
                    <w:left w:val="single" w:color="auto" w:sz="4" w:space="0"/>
                    <w:right w:val="single" w:color="auto" w:sz="4" w:space="0"/>
                  </w:tcBorders>
                  <w:noWrap w:val="0"/>
                  <w:vAlign w:val="center"/>
                </w:tcPr>
                <w:p w14:paraId="60D54A2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污染物排放管控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62963AF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w:t>
                  </w:r>
                  <w:r>
                    <w:rPr>
                      <w:rFonts w:hint="eastAsia" w:ascii="宋体" w:hAnsi="宋体" w:eastAsia="宋体" w:cs="宋体"/>
                      <w:color w:val="auto"/>
                      <w:sz w:val="18"/>
                      <w:szCs w:val="18"/>
                      <w:lang w:val="en-US"/>
                    </w:rPr>
                    <w:t>的</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两高</w:t>
                  </w:r>
                  <w:r>
                    <w:rPr>
                      <w:rFonts w:hint="eastAsia" w:ascii="宋体" w:hAnsi="宋体" w:eastAsia="宋体" w:cs="宋体"/>
                      <w:color w:val="auto"/>
                      <w:sz w:val="18"/>
                      <w:szCs w:val="18"/>
                      <w:lang w:val="en-US" w:eastAsia="zh-CN"/>
                    </w:rPr>
                    <w:t>”</w:t>
                  </w:r>
                  <w:r>
                    <w:rPr>
                      <w:rFonts w:hint="default" w:ascii="Times New Roman" w:hAnsi="Times New Roman" w:eastAsia="宋体" w:cs="Times New Roman"/>
                      <w:color w:val="auto"/>
                      <w:sz w:val="18"/>
                      <w:szCs w:val="18"/>
                      <w:lang w:val="en-US"/>
                    </w:rPr>
                    <w:t>行业建设项目应满足超低排放要求。加强水泥和平板玻璃行业差别化管理，新改扩建项目严格落实相关产业政策要求，满足能效标杆水平、环保绩效A级指标要求。</w:t>
                  </w:r>
                </w:p>
              </w:tc>
              <w:tc>
                <w:tcPr>
                  <w:tcW w:w="991" w:type="pct"/>
                  <w:tcBorders>
                    <w:top w:val="single" w:color="auto" w:sz="4" w:space="0"/>
                    <w:left w:val="single" w:color="auto" w:sz="4" w:space="0"/>
                    <w:right w:val="single" w:color="auto" w:sz="4" w:space="0"/>
                  </w:tcBorders>
                  <w:noWrap w:val="0"/>
                  <w:vAlign w:val="center"/>
                </w:tcPr>
                <w:p w14:paraId="55922F0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w:t>
                  </w:r>
                  <w:r>
                    <w:rPr>
                      <w:rFonts w:hint="eastAsia" w:cs="Times New Roman"/>
                      <w:color w:val="auto"/>
                      <w:sz w:val="18"/>
                      <w:szCs w:val="18"/>
                      <w:lang w:val="en-US" w:eastAsia="zh-CN"/>
                    </w:rPr>
                    <w:t>行业类别为C3670汽车零部件及配件制造、C2929塑料零件及其他塑料制品制造</w:t>
                  </w:r>
                  <w:r>
                    <w:rPr>
                      <w:rFonts w:hint="default" w:ascii="Times New Roman" w:hAnsi="Times New Roman" w:eastAsia="宋体" w:cs="Times New Roman"/>
                      <w:color w:val="auto"/>
                      <w:sz w:val="18"/>
                      <w:szCs w:val="18"/>
                      <w:lang w:val="en-US" w:eastAsia="zh-CN"/>
                    </w:rPr>
                    <w:t>，</w:t>
                  </w:r>
                  <w:r>
                    <w:rPr>
                      <w:rFonts w:hint="eastAsia" w:ascii="Times New Roman" w:hAnsi="Times New Roman" w:cs="Times New Roman"/>
                      <w:color w:val="auto"/>
                      <w:sz w:val="18"/>
                      <w:szCs w:val="18"/>
                      <w:lang w:val="en-US" w:eastAsia="zh-CN"/>
                    </w:rPr>
                    <w:t>不属于石化、煤化工、燃煤发电（含热电）、钢铁、有色金属冶炼、制浆造纸行业，也不属于钢铁、水泥熟料、平板玻璃、电解铝等行业和“两高”行业。</w:t>
                  </w:r>
                </w:p>
              </w:tc>
              <w:tc>
                <w:tcPr>
                  <w:tcW w:w="398" w:type="pct"/>
                  <w:tcBorders>
                    <w:top w:val="single" w:color="auto" w:sz="4" w:space="0"/>
                    <w:left w:val="single" w:color="auto" w:sz="4" w:space="0"/>
                    <w:right w:val="single" w:color="auto" w:sz="4" w:space="0"/>
                  </w:tcBorders>
                  <w:noWrap w:val="0"/>
                  <w:vAlign w:val="center"/>
                </w:tcPr>
                <w:p w14:paraId="395C17C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55EC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25A6A6C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406" w:type="pct"/>
                  <w:vMerge w:val="continue"/>
                  <w:tcBorders>
                    <w:left w:val="single" w:color="auto" w:sz="4" w:space="0"/>
                    <w:right w:val="single" w:color="auto" w:sz="4" w:space="0"/>
                  </w:tcBorders>
                  <w:noWrap w:val="0"/>
                  <w:vAlign w:val="center"/>
                </w:tcPr>
                <w:p w14:paraId="183CB74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75FED50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991" w:type="pct"/>
                  <w:tcBorders>
                    <w:left w:val="single" w:color="auto" w:sz="4" w:space="0"/>
                    <w:right w:val="single" w:color="auto" w:sz="4" w:space="0"/>
                  </w:tcBorders>
                  <w:noWrap w:val="0"/>
                  <w:vAlign w:val="center"/>
                </w:tcPr>
                <w:p w14:paraId="538D68C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项目位于重庆市合川区，属于环境空气质量不达标区，但已制定区域达标规划，主要污染物排放按要求实施区域总量控制。</w:t>
                  </w:r>
                </w:p>
              </w:tc>
              <w:tc>
                <w:tcPr>
                  <w:tcW w:w="398" w:type="pct"/>
                  <w:tcBorders>
                    <w:left w:val="single" w:color="auto" w:sz="4" w:space="0"/>
                    <w:right w:val="single" w:color="auto" w:sz="4" w:space="0"/>
                  </w:tcBorders>
                  <w:noWrap w:val="0"/>
                  <w:vAlign w:val="center"/>
                </w:tcPr>
                <w:p w14:paraId="0DCDD5D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7828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35B184D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406" w:type="pct"/>
                  <w:vMerge w:val="continue"/>
                  <w:tcBorders>
                    <w:left w:val="single" w:color="auto" w:sz="4" w:space="0"/>
                    <w:right w:val="single" w:color="auto" w:sz="4" w:space="0"/>
                  </w:tcBorders>
                  <w:noWrap w:val="0"/>
                  <w:vAlign w:val="center"/>
                </w:tcPr>
                <w:p w14:paraId="04C7AC7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7B8758C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991" w:type="pct"/>
                  <w:tcBorders>
                    <w:left w:val="single" w:color="auto" w:sz="4" w:space="0"/>
                    <w:right w:val="single" w:color="auto" w:sz="4" w:space="0"/>
                  </w:tcBorders>
                  <w:noWrap w:val="0"/>
                  <w:vAlign w:val="center"/>
                </w:tcPr>
                <w:p w14:paraId="386CEFC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w:t>
                  </w:r>
                  <w:r>
                    <w:rPr>
                      <w:rFonts w:hint="eastAsia" w:ascii="Times New Roman" w:hAnsi="Times New Roman" w:cs="Times New Roman"/>
                      <w:color w:val="auto"/>
                      <w:sz w:val="18"/>
                      <w:szCs w:val="18"/>
                      <w:lang w:val="en-US" w:eastAsia="zh-CN"/>
                    </w:rPr>
                    <w:t>不属于石化、化工、工业涂装、包装印刷、油品储运销等行业，生产过程中不涉及喷漆、喷粉、印刷等工序。</w:t>
                  </w:r>
                </w:p>
              </w:tc>
              <w:tc>
                <w:tcPr>
                  <w:tcW w:w="398" w:type="pct"/>
                  <w:tcBorders>
                    <w:left w:val="single" w:color="auto" w:sz="4" w:space="0"/>
                    <w:right w:val="single" w:color="auto" w:sz="4" w:space="0"/>
                  </w:tcBorders>
                  <w:noWrap w:val="0"/>
                  <w:vAlign w:val="center"/>
                </w:tcPr>
                <w:p w14:paraId="4388ECB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13B7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72A3A25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406" w:type="pct"/>
                  <w:vMerge w:val="continue"/>
                  <w:tcBorders>
                    <w:left w:val="single" w:color="auto" w:sz="4" w:space="0"/>
                    <w:right w:val="single" w:color="auto" w:sz="4" w:space="0"/>
                  </w:tcBorders>
                  <w:noWrap w:val="0"/>
                  <w:vAlign w:val="center"/>
                </w:tcPr>
                <w:p w14:paraId="7631B27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34E56E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991" w:type="pct"/>
                  <w:tcBorders>
                    <w:left w:val="single" w:color="auto" w:sz="4" w:space="0"/>
                    <w:right w:val="single" w:color="auto" w:sz="4" w:space="0"/>
                  </w:tcBorders>
                  <w:noWrap w:val="0"/>
                  <w:vAlign w:val="center"/>
                </w:tcPr>
                <w:p w14:paraId="618F0BC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项目排放的废水经</w:t>
                  </w:r>
                  <w:r>
                    <w:rPr>
                      <w:rFonts w:hint="eastAsia" w:cs="Times New Roman"/>
                      <w:color w:val="auto"/>
                      <w:sz w:val="18"/>
                      <w:szCs w:val="18"/>
                      <w:lang w:val="en-US" w:eastAsia="zh-CN"/>
                    </w:rPr>
                    <w:t>重庆三花门业现有生化池</w:t>
                  </w:r>
                  <w:r>
                    <w:rPr>
                      <w:rFonts w:hint="eastAsia" w:ascii="Times New Roman" w:hAnsi="Times New Roman" w:cs="Times New Roman"/>
                      <w:color w:val="auto"/>
                      <w:sz w:val="18"/>
                      <w:szCs w:val="18"/>
                      <w:lang w:val="en-US" w:eastAsia="zh-CN"/>
                    </w:rPr>
                    <w:t>处理达标后排入南溪组团A区污水处理厂处理后达标排放。</w:t>
                  </w:r>
                </w:p>
              </w:tc>
              <w:tc>
                <w:tcPr>
                  <w:tcW w:w="398" w:type="pct"/>
                  <w:tcBorders>
                    <w:left w:val="single" w:color="auto" w:sz="4" w:space="0"/>
                    <w:right w:val="single" w:color="auto" w:sz="4" w:space="0"/>
                  </w:tcBorders>
                  <w:noWrap w:val="0"/>
                  <w:vAlign w:val="center"/>
                </w:tcPr>
                <w:p w14:paraId="69D588C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276D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65E72A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406" w:type="pct"/>
                  <w:vMerge w:val="continue"/>
                  <w:tcBorders>
                    <w:left w:val="single" w:color="auto" w:sz="4" w:space="0"/>
                    <w:right w:val="single" w:color="auto" w:sz="4" w:space="0"/>
                  </w:tcBorders>
                  <w:noWrap w:val="0"/>
                  <w:vAlign w:val="center"/>
                </w:tcPr>
                <w:p w14:paraId="1099CBE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0B329E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第十三条  新、改、扩建重点行业</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rPr>
                    <w:t>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rPr>
                    <w:t>重点重金属污染物排放执行</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等量替代</w:t>
                  </w:r>
                  <w:r>
                    <w:rPr>
                      <w:rFonts w:hint="eastAsia" w:ascii="宋体" w:hAnsi="宋体" w:eastAsia="宋体" w:cs="宋体"/>
                      <w:color w:val="auto"/>
                      <w:sz w:val="18"/>
                      <w:szCs w:val="18"/>
                      <w:lang w:val="en-US" w:eastAsia="zh-CN"/>
                    </w:rPr>
                    <w:t>”</w:t>
                  </w:r>
                  <w:r>
                    <w:rPr>
                      <w:rFonts w:hint="default" w:ascii="Times New Roman" w:hAnsi="Times New Roman" w:eastAsia="宋体" w:cs="Times New Roman"/>
                      <w:color w:val="auto"/>
                      <w:sz w:val="18"/>
                      <w:szCs w:val="18"/>
                      <w:lang w:val="en-US"/>
                    </w:rPr>
                    <w:t>原则。</w:t>
                  </w:r>
                </w:p>
              </w:tc>
              <w:tc>
                <w:tcPr>
                  <w:tcW w:w="991" w:type="pct"/>
                  <w:tcBorders>
                    <w:left w:val="single" w:color="auto" w:sz="4" w:space="0"/>
                    <w:right w:val="single" w:color="auto" w:sz="4" w:space="0"/>
                  </w:tcBorders>
                  <w:noWrap w:val="0"/>
                  <w:vAlign w:val="center"/>
                </w:tcPr>
                <w:p w14:paraId="01FEA4B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项目</w:t>
                  </w:r>
                  <w:r>
                    <w:rPr>
                      <w:rFonts w:hint="eastAsia" w:cs="Times New Roman"/>
                      <w:color w:val="auto"/>
                      <w:sz w:val="18"/>
                      <w:szCs w:val="18"/>
                      <w:lang w:val="en-US" w:eastAsia="zh-CN"/>
                    </w:rPr>
                    <w:t>行业类别为C3670汽车零部件及配件制造、C2929塑料零件及其他塑料制品制造</w:t>
                  </w:r>
                  <w:r>
                    <w:rPr>
                      <w:rFonts w:hint="eastAsia" w:ascii="Times New Roman" w:hAnsi="Times New Roman" w:cs="Times New Roman"/>
                      <w:color w:val="auto"/>
                      <w:sz w:val="18"/>
                      <w:szCs w:val="18"/>
                      <w:lang w:val="en-US" w:eastAsia="zh-CN"/>
                    </w:rPr>
                    <w:t>，不属于</w:t>
                  </w:r>
                  <w:r>
                    <w:rPr>
                      <w:rFonts w:hint="eastAsia" w:cs="Times New Roman"/>
                      <w:color w:val="auto"/>
                      <w:sz w:val="18"/>
                      <w:szCs w:val="18"/>
                      <w:lang w:val="en-US" w:eastAsia="zh-CN"/>
                    </w:rPr>
                    <w:t>上述</w:t>
                  </w:r>
                  <w:r>
                    <w:rPr>
                      <w:rFonts w:hint="eastAsia" w:ascii="Times New Roman" w:hAnsi="Times New Roman" w:cs="Times New Roman"/>
                      <w:color w:val="auto"/>
                      <w:sz w:val="18"/>
                      <w:szCs w:val="18"/>
                      <w:lang w:val="en-US" w:eastAsia="zh-CN"/>
                    </w:rPr>
                    <w:t>项目。</w:t>
                  </w:r>
                </w:p>
              </w:tc>
              <w:tc>
                <w:tcPr>
                  <w:tcW w:w="398" w:type="pct"/>
                  <w:tcBorders>
                    <w:left w:val="single" w:color="auto" w:sz="4" w:space="0"/>
                    <w:right w:val="single" w:color="auto" w:sz="4" w:space="0"/>
                  </w:tcBorders>
                  <w:noWrap w:val="0"/>
                  <w:vAlign w:val="center"/>
                </w:tcPr>
                <w:p w14:paraId="2D4A211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40FA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78587E0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406" w:type="pct"/>
                  <w:vMerge w:val="continue"/>
                  <w:tcBorders>
                    <w:left w:val="single" w:color="auto" w:sz="4" w:space="0"/>
                    <w:right w:val="single" w:color="auto" w:sz="4" w:space="0"/>
                  </w:tcBorders>
                  <w:noWrap w:val="0"/>
                  <w:vAlign w:val="center"/>
                </w:tcPr>
                <w:p w14:paraId="2A0570D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397BAAC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991" w:type="pct"/>
                  <w:tcBorders>
                    <w:left w:val="single" w:color="auto" w:sz="4" w:space="0"/>
                    <w:right w:val="single" w:color="auto" w:sz="4" w:space="0"/>
                  </w:tcBorders>
                  <w:noWrap w:val="0"/>
                  <w:vAlign w:val="center"/>
                </w:tcPr>
                <w:p w14:paraId="46CB1B2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项目运营期针对固体废物产生、收集、贮存、运输、利用、处置全过程建立污染环境防治责任制度，建立工业固体废物管理台账</w:t>
                  </w:r>
                  <w:r>
                    <w:rPr>
                      <w:rFonts w:hint="eastAsia" w:ascii="Times New Roman" w:hAnsi="Times New Roman" w:cs="Times New Roman"/>
                      <w:color w:val="auto"/>
                      <w:sz w:val="18"/>
                      <w:szCs w:val="18"/>
                      <w:lang w:val="en-US" w:eastAsia="zh-CN"/>
                    </w:rPr>
                    <w:t>。</w:t>
                  </w:r>
                </w:p>
              </w:tc>
              <w:tc>
                <w:tcPr>
                  <w:tcW w:w="398" w:type="pct"/>
                  <w:tcBorders>
                    <w:left w:val="single" w:color="auto" w:sz="4" w:space="0"/>
                    <w:right w:val="single" w:color="auto" w:sz="4" w:space="0"/>
                  </w:tcBorders>
                  <w:noWrap w:val="0"/>
                  <w:vAlign w:val="center"/>
                </w:tcPr>
                <w:p w14:paraId="4398DB4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53A4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38" w:type="pct"/>
                  <w:vMerge w:val="continue"/>
                  <w:tcBorders>
                    <w:left w:val="single" w:color="auto" w:sz="4" w:space="0"/>
                    <w:bottom w:val="single" w:color="auto" w:sz="4" w:space="0"/>
                    <w:right w:val="single" w:color="auto" w:sz="4" w:space="0"/>
                  </w:tcBorders>
                  <w:noWrap w:val="0"/>
                  <w:vAlign w:val="center"/>
                </w:tcPr>
                <w:p w14:paraId="519F4DF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406" w:type="pct"/>
                  <w:vMerge w:val="continue"/>
                  <w:tcBorders>
                    <w:left w:val="single" w:color="auto" w:sz="4" w:space="0"/>
                    <w:bottom w:val="single" w:color="auto" w:sz="4" w:space="0"/>
                    <w:right w:val="single" w:color="auto" w:sz="4" w:space="0"/>
                  </w:tcBorders>
                  <w:noWrap w:val="0"/>
                  <w:vAlign w:val="center"/>
                </w:tcPr>
                <w:p w14:paraId="7B67EAF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5A8B6BB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第十五条  建设分类投放、分类收集、分类运输、分类处理的生活垃圾处理系统。合理布局生活垃圾分类收集站点，完善分类运输系统，加快补齐分类收集转运设施能力短板。强化</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无废城市</w:t>
                  </w:r>
                  <w:r>
                    <w:rPr>
                      <w:rFonts w:hint="eastAsia" w:ascii="宋体" w:hAnsi="宋体" w:eastAsia="宋体" w:cs="宋体"/>
                      <w:color w:val="auto"/>
                      <w:sz w:val="18"/>
                      <w:szCs w:val="18"/>
                      <w:lang w:val="en-US" w:eastAsia="zh-CN"/>
                    </w:rPr>
                    <w:t>”</w:t>
                  </w:r>
                  <w:r>
                    <w:rPr>
                      <w:rFonts w:hint="default" w:ascii="Times New Roman" w:hAnsi="Times New Roman" w:eastAsia="宋体" w:cs="Times New Roman"/>
                      <w:color w:val="auto"/>
                      <w:sz w:val="18"/>
                      <w:szCs w:val="18"/>
                      <w:lang w:val="en-US"/>
                    </w:rPr>
                    <w:t>制度、技术、市场、监管、全民行</w:t>
                  </w:r>
                  <w:r>
                    <w:rPr>
                      <w:rFonts w:hint="eastAsia" w:ascii="宋体" w:hAnsi="宋体" w:eastAsia="宋体" w:cs="宋体"/>
                      <w:color w:val="auto"/>
                      <w:sz w:val="18"/>
                      <w:szCs w:val="18"/>
                      <w:lang w:val="en-US"/>
                    </w:rPr>
                    <w:t>动</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五大体系</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建</w:t>
                  </w:r>
                  <w:r>
                    <w:rPr>
                      <w:rFonts w:hint="default" w:ascii="Times New Roman" w:hAnsi="Times New Roman" w:eastAsia="宋体" w:cs="Times New Roman"/>
                      <w:color w:val="auto"/>
                      <w:sz w:val="18"/>
                      <w:szCs w:val="18"/>
                      <w:lang w:val="en-US"/>
                    </w:rPr>
                    <w:t>设，推进城市固体废物精细化管理。</w:t>
                  </w:r>
                </w:p>
              </w:tc>
              <w:tc>
                <w:tcPr>
                  <w:tcW w:w="991" w:type="pct"/>
                  <w:tcBorders>
                    <w:left w:val="single" w:color="auto" w:sz="4" w:space="0"/>
                    <w:bottom w:val="single" w:color="auto" w:sz="4" w:space="0"/>
                    <w:right w:val="single" w:color="auto" w:sz="4" w:space="0"/>
                  </w:tcBorders>
                  <w:noWrap w:val="0"/>
                  <w:vAlign w:val="center"/>
                </w:tcPr>
                <w:p w14:paraId="4BB48B3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项目生活垃圾经收集后交由园区环卫部门处理。</w:t>
                  </w:r>
                </w:p>
              </w:tc>
              <w:tc>
                <w:tcPr>
                  <w:tcW w:w="398" w:type="pct"/>
                  <w:tcBorders>
                    <w:left w:val="single" w:color="auto" w:sz="4" w:space="0"/>
                    <w:bottom w:val="single" w:color="auto" w:sz="4" w:space="0"/>
                    <w:right w:val="single" w:color="auto" w:sz="4" w:space="0"/>
                  </w:tcBorders>
                  <w:noWrap w:val="0"/>
                  <w:vAlign w:val="center"/>
                </w:tcPr>
                <w:p w14:paraId="7E8D6D7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符合</w:t>
                  </w:r>
                </w:p>
              </w:tc>
            </w:tr>
            <w:tr w14:paraId="2828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6D96DDB8">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top w:val="single" w:color="auto" w:sz="4" w:space="0"/>
                    <w:left w:val="single" w:color="auto" w:sz="4" w:space="0"/>
                    <w:right w:val="single" w:color="auto" w:sz="4" w:space="0"/>
                  </w:tcBorders>
                  <w:noWrap w:val="0"/>
                  <w:vAlign w:val="center"/>
                </w:tcPr>
                <w:p w14:paraId="05ACAF3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环境风险防控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7B7D39D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2FBDC62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园区已完成</w:t>
                  </w:r>
                  <w:r>
                    <w:rPr>
                      <w:rFonts w:hint="default" w:ascii="Times New Roman" w:hAnsi="Times New Roman" w:eastAsia="宋体" w:cs="Times New Roman"/>
                      <w:color w:val="auto"/>
                      <w:sz w:val="18"/>
                      <w:szCs w:val="18"/>
                      <w:lang w:val="en-US"/>
                    </w:rPr>
                    <w:t>突发环境事件风险评估</w:t>
                  </w:r>
                  <w:r>
                    <w:rPr>
                      <w:rFonts w:hint="eastAsia" w:cs="Times New Roman"/>
                      <w:color w:val="auto"/>
                      <w:sz w:val="18"/>
                      <w:szCs w:val="18"/>
                      <w:lang w:val="en-US" w:eastAsia="zh-CN"/>
                    </w:rPr>
                    <w:t>，建立了</w:t>
                  </w:r>
                  <w:r>
                    <w:rPr>
                      <w:rFonts w:hint="default" w:ascii="Times New Roman" w:hAnsi="Times New Roman" w:eastAsia="宋体" w:cs="Times New Roman"/>
                      <w:color w:val="auto"/>
                      <w:sz w:val="18"/>
                      <w:szCs w:val="18"/>
                      <w:lang w:val="en-US"/>
                    </w:rPr>
                    <w:t>区域突发环境事件风险评估数据信息获取与动态更新机制</w:t>
                  </w:r>
                  <w:r>
                    <w:rPr>
                      <w:rFonts w:hint="eastAsia" w:cs="Times New Roman"/>
                      <w:color w:val="auto"/>
                      <w:sz w:val="18"/>
                      <w:szCs w:val="18"/>
                      <w:lang w:val="en-US" w:eastAsia="zh-CN"/>
                    </w:rPr>
                    <w:t>，企业将按要求</w:t>
                  </w:r>
                  <w:r>
                    <w:rPr>
                      <w:rFonts w:hint="default" w:ascii="Times New Roman" w:hAnsi="Times New Roman" w:eastAsia="宋体" w:cs="Times New Roman"/>
                      <w:color w:val="auto"/>
                      <w:sz w:val="18"/>
                      <w:szCs w:val="18"/>
                      <w:lang w:val="en-US"/>
                    </w:rPr>
                    <w:t>落实企业突发环境事件风险评估制度，</w:t>
                  </w:r>
                  <w:r>
                    <w:rPr>
                      <w:rFonts w:hint="eastAsia" w:cs="Times New Roman"/>
                      <w:color w:val="auto"/>
                      <w:sz w:val="18"/>
                      <w:szCs w:val="18"/>
                      <w:lang w:val="en-US" w:eastAsia="zh-CN"/>
                    </w:rPr>
                    <w:t>并</w:t>
                  </w:r>
                  <w:r>
                    <w:rPr>
                      <w:rFonts w:hint="default" w:ascii="Times New Roman" w:hAnsi="Times New Roman" w:eastAsia="宋体" w:cs="Times New Roman"/>
                      <w:color w:val="auto"/>
                      <w:sz w:val="18"/>
                      <w:szCs w:val="18"/>
                      <w:lang w:val="en-US"/>
                    </w:rPr>
                    <w:t>推进突发环境事件风险分类分级管理</w:t>
                  </w:r>
                  <w:r>
                    <w:rPr>
                      <w:rFonts w:hint="eastAsia" w:cs="Times New Roman"/>
                      <w:color w:val="auto"/>
                      <w:sz w:val="18"/>
                      <w:szCs w:val="18"/>
                      <w:lang w:val="en-US" w:eastAsia="zh-CN"/>
                    </w:rPr>
                    <w:t>。</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76ACD8D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5078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38" w:type="pct"/>
                  <w:vMerge w:val="continue"/>
                  <w:tcBorders>
                    <w:left w:val="single" w:color="auto" w:sz="4" w:space="0"/>
                    <w:bottom w:val="single" w:color="auto" w:sz="4" w:space="0"/>
                    <w:right w:val="single" w:color="auto" w:sz="4" w:space="0"/>
                  </w:tcBorders>
                  <w:noWrap w:val="0"/>
                  <w:vAlign w:val="center"/>
                </w:tcPr>
                <w:p w14:paraId="247A83E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406" w:type="pct"/>
                  <w:vMerge w:val="continue"/>
                  <w:tcBorders>
                    <w:left w:val="single" w:color="auto" w:sz="4" w:space="0"/>
                    <w:bottom w:val="single" w:color="auto" w:sz="4" w:space="0"/>
                    <w:right w:val="single" w:color="auto" w:sz="4" w:space="0"/>
                  </w:tcBorders>
                  <w:noWrap w:val="0"/>
                  <w:vAlign w:val="center"/>
                </w:tcPr>
                <w:p w14:paraId="179DF3D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3B6A43D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第十七条  强化化工园区涉水突发环境事件四级环境风险防范体系建设。持续推进重点化工园区（化工集中区）建设有毒有害气体监测预警体系和水质生物毒性预警体系。</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169C50B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项目将严格落实好各类风险防范制度及措施。</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774C1E8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r w14:paraId="09E4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4FE9652E">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top w:val="single" w:color="auto" w:sz="4" w:space="0"/>
                    <w:left w:val="single" w:color="auto" w:sz="4" w:space="0"/>
                    <w:right w:val="single" w:color="auto" w:sz="4" w:space="0"/>
                  </w:tcBorders>
                  <w:noWrap w:val="0"/>
                  <w:vAlign w:val="center"/>
                </w:tcPr>
                <w:p w14:paraId="307CADB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资源开发利用效率</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4533FD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第十八条  实施能源领域碳达峰碳中和行动，科学有序推动能源生产消费方式绿色低碳变革。实施可再生能源替代，减少化石能源消费。加强产业布局和能</w:t>
                  </w:r>
                  <w:r>
                    <w:rPr>
                      <w:rFonts w:hint="eastAsia" w:ascii="宋体" w:hAnsi="宋体" w:eastAsia="宋体" w:cs="宋体"/>
                      <w:color w:val="auto"/>
                      <w:sz w:val="18"/>
                      <w:szCs w:val="18"/>
                      <w:lang w:val="en-US"/>
                    </w:rPr>
                    <w:t>耗</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双控</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en-US"/>
                    </w:rPr>
                    <w:t>政</w:t>
                  </w:r>
                  <w:r>
                    <w:rPr>
                      <w:rFonts w:hint="default" w:ascii="Times New Roman" w:hAnsi="Times New Roman" w:eastAsia="宋体" w:cs="Times New Roman"/>
                      <w:color w:val="auto"/>
                      <w:sz w:val="18"/>
                      <w:szCs w:val="18"/>
                      <w:lang w:val="en-US"/>
                    </w:rPr>
                    <w:t>策衔接，促进重点用能领域用能结构优化和能效提升。</w:t>
                  </w:r>
                </w:p>
              </w:tc>
              <w:tc>
                <w:tcPr>
                  <w:tcW w:w="991" w:type="pct"/>
                  <w:vMerge w:val="restart"/>
                  <w:tcBorders>
                    <w:top w:val="single" w:color="auto" w:sz="4" w:space="0"/>
                    <w:left w:val="single" w:color="auto" w:sz="4" w:space="0"/>
                    <w:right w:val="single" w:color="auto" w:sz="4" w:space="0"/>
                  </w:tcBorders>
                  <w:noWrap w:val="0"/>
                  <w:vAlign w:val="center"/>
                </w:tcPr>
                <w:p w14:paraId="33D6159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项目使用电</w:t>
                  </w:r>
                  <w:r>
                    <w:rPr>
                      <w:rFonts w:hint="eastAsia" w:ascii="Times New Roman" w:hAnsi="Times New Roman" w:cs="Times New Roman"/>
                      <w:color w:val="auto"/>
                      <w:sz w:val="18"/>
                      <w:szCs w:val="18"/>
                      <w:lang w:val="en-US" w:eastAsia="zh-CN"/>
                    </w:rPr>
                    <w:t>能</w:t>
                  </w:r>
                  <w:r>
                    <w:rPr>
                      <w:rFonts w:hint="default" w:ascii="Times New Roman" w:hAnsi="Times New Roman" w:eastAsia="宋体" w:cs="Times New Roman"/>
                      <w:color w:val="auto"/>
                      <w:sz w:val="18"/>
                      <w:szCs w:val="18"/>
                      <w:lang w:val="en-US" w:eastAsia="zh-CN"/>
                    </w:rPr>
                    <w:t>等清洁能源</w:t>
                  </w:r>
                  <w:r>
                    <w:rPr>
                      <w:rFonts w:hint="eastAsia" w:ascii="Times New Roman" w:hAnsi="Times New Roman" w:cs="Times New Roman"/>
                      <w:color w:val="auto"/>
                      <w:sz w:val="18"/>
                      <w:szCs w:val="18"/>
                      <w:lang w:val="en-US" w:eastAsia="zh-CN"/>
                    </w:rPr>
                    <w:t>。</w:t>
                  </w:r>
                </w:p>
              </w:tc>
              <w:tc>
                <w:tcPr>
                  <w:tcW w:w="398" w:type="pct"/>
                  <w:vMerge w:val="restart"/>
                  <w:tcBorders>
                    <w:top w:val="single" w:color="auto" w:sz="4" w:space="0"/>
                    <w:left w:val="single" w:color="auto" w:sz="4" w:space="0"/>
                    <w:right w:val="single" w:color="auto" w:sz="4" w:space="0"/>
                  </w:tcBorders>
                  <w:noWrap w:val="0"/>
                  <w:vAlign w:val="center"/>
                </w:tcPr>
                <w:p w14:paraId="2F7A231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681E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66F6744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406" w:type="pct"/>
                  <w:vMerge w:val="continue"/>
                  <w:tcBorders>
                    <w:left w:val="single" w:color="auto" w:sz="4" w:space="0"/>
                    <w:right w:val="single" w:color="auto" w:sz="4" w:space="0"/>
                  </w:tcBorders>
                  <w:noWrap w:val="0"/>
                  <w:vAlign w:val="center"/>
                </w:tcPr>
                <w:p w14:paraId="161A7407">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color w:val="auto"/>
                      <w:sz w:val="18"/>
                      <w:szCs w:val="18"/>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5773C3A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991" w:type="pct"/>
                  <w:vMerge w:val="continue"/>
                  <w:tcBorders>
                    <w:left w:val="single" w:color="auto" w:sz="4" w:space="0"/>
                    <w:bottom w:val="single" w:color="auto" w:sz="4" w:space="0"/>
                    <w:right w:val="single" w:color="auto" w:sz="4" w:space="0"/>
                  </w:tcBorders>
                  <w:noWrap w:val="0"/>
                  <w:vAlign w:val="center"/>
                </w:tcPr>
                <w:p w14:paraId="788D707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p>
              </w:tc>
              <w:tc>
                <w:tcPr>
                  <w:tcW w:w="398" w:type="pct"/>
                  <w:vMerge w:val="continue"/>
                  <w:tcBorders>
                    <w:left w:val="single" w:color="auto" w:sz="4" w:space="0"/>
                    <w:bottom w:val="single" w:color="auto" w:sz="4" w:space="0"/>
                    <w:right w:val="single" w:color="auto" w:sz="4" w:space="0"/>
                  </w:tcBorders>
                  <w:noWrap w:val="0"/>
                  <w:vAlign w:val="center"/>
                </w:tcPr>
                <w:p w14:paraId="4F1CC29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r>
            <w:tr w14:paraId="33D8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1A31C88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406" w:type="pct"/>
                  <w:vMerge w:val="continue"/>
                  <w:tcBorders>
                    <w:left w:val="single" w:color="auto" w:sz="4" w:space="0"/>
                    <w:right w:val="single" w:color="auto" w:sz="4" w:space="0"/>
                  </w:tcBorders>
                  <w:noWrap w:val="0"/>
                  <w:vAlign w:val="center"/>
                </w:tcPr>
                <w:p w14:paraId="197DDA9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988C33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第二十条  新建、扩建</w:t>
                  </w:r>
                  <w:r>
                    <w:rPr>
                      <w:rFonts w:hint="eastAsia" w:ascii="宋体" w:hAnsi="宋体" w:eastAsia="宋体" w:cs="宋体"/>
                      <w:color w:val="auto"/>
                      <w:kern w:val="0"/>
                      <w:sz w:val="18"/>
                      <w:szCs w:val="18"/>
                      <w:lang w:val="en-US" w:eastAsia="zh-CN" w:bidi="ar"/>
                    </w:rPr>
                    <w:t>“两高”项</w:t>
                  </w:r>
                  <w:r>
                    <w:rPr>
                      <w:rFonts w:hint="default" w:ascii="Times New Roman" w:hAnsi="Times New Roman" w:eastAsia="宋体" w:cs="Times New Roman"/>
                      <w:color w:val="auto"/>
                      <w:kern w:val="0"/>
                      <w:sz w:val="18"/>
                      <w:szCs w:val="18"/>
                      <w:lang w:val="en-US" w:eastAsia="zh-CN" w:bidi="ar"/>
                    </w:rPr>
                    <w:t>目应采用先进适用的工艺技术和装备，单位产品物耗、能耗、水耗等达到清洁生产先进水平。</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701DA45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项目不属于“两高”项目</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5D381DD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符合</w:t>
                  </w:r>
                </w:p>
              </w:tc>
            </w:tr>
            <w:tr w14:paraId="1448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5F7F79F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406" w:type="pct"/>
                  <w:vMerge w:val="continue"/>
                  <w:tcBorders>
                    <w:left w:val="single" w:color="auto" w:sz="4" w:space="0"/>
                    <w:right w:val="single" w:color="auto" w:sz="4" w:space="0"/>
                  </w:tcBorders>
                  <w:noWrap w:val="0"/>
                  <w:vAlign w:val="center"/>
                </w:tcPr>
                <w:p w14:paraId="541A049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3F21FCC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991" w:type="pct"/>
                  <w:vMerge w:val="restart"/>
                  <w:tcBorders>
                    <w:top w:val="single" w:color="auto" w:sz="4" w:space="0"/>
                    <w:left w:val="single" w:color="auto" w:sz="4" w:space="0"/>
                    <w:right w:val="single" w:color="auto" w:sz="4" w:space="0"/>
                  </w:tcBorders>
                  <w:noWrap w:val="0"/>
                  <w:vAlign w:val="center"/>
                </w:tcPr>
                <w:p w14:paraId="203B454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项目不属于高耗水项目，排放的污废水经</w:t>
                  </w:r>
                  <w:r>
                    <w:rPr>
                      <w:rFonts w:hint="eastAsia" w:cs="Times New Roman"/>
                      <w:color w:val="auto"/>
                      <w:kern w:val="0"/>
                      <w:sz w:val="18"/>
                      <w:szCs w:val="18"/>
                      <w:lang w:val="en-US" w:eastAsia="zh-CN" w:bidi="ar"/>
                    </w:rPr>
                    <w:t>重庆三花门业现有生化池</w:t>
                  </w:r>
                  <w:r>
                    <w:rPr>
                      <w:rFonts w:hint="eastAsia" w:ascii="Times New Roman" w:hAnsi="Times New Roman" w:cs="Times New Roman"/>
                      <w:color w:val="auto"/>
                      <w:kern w:val="0"/>
                      <w:sz w:val="18"/>
                      <w:szCs w:val="18"/>
                      <w:lang w:val="en-US" w:eastAsia="zh-CN" w:bidi="ar"/>
                    </w:rPr>
                    <w:t>处理达标后排入南溪组团A区污水处理厂处理后达标排放。</w:t>
                  </w:r>
                </w:p>
              </w:tc>
              <w:tc>
                <w:tcPr>
                  <w:tcW w:w="398" w:type="pct"/>
                  <w:vMerge w:val="restart"/>
                  <w:tcBorders>
                    <w:top w:val="single" w:color="auto" w:sz="4" w:space="0"/>
                    <w:left w:val="single" w:color="auto" w:sz="4" w:space="0"/>
                    <w:right w:val="single" w:color="auto" w:sz="4" w:space="0"/>
                  </w:tcBorders>
                  <w:noWrap w:val="0"/>
                  <w:vAlign w:val="center"/>
                </w:tcPr>
                <w:p w14:paraId="3DCA83A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符合</w:t>
                  </w:r>
                </w:p>
              </w:tc>
            </w:tr>
            <w:tr w14:paraId="367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6603F37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406" w:type="pct"/>
                  <w:vMerge w:val="continue"/>
                  <w:tcBorders>
                    <w:left w:val="single" w:color="auto" w:sz="4" w:space="0"/>
                    <w:right w:val="single" w:color="auto" w:sz="4" w:space="0"/>
                  </w:tcBorders>
                  <w:noWrap w:val="0"/>
                  <w:vAlign w:val="center"/>
                </w:tcPr>
                <w:p w14:paraId="5976CA1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480555E2">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991" w:type="pct"/>
                  <w:vMerge w:val="continue"/>
                  <w:tcBorders>
                    <w:left w:val="single" w:color="auto" w:sz="4" w:space="0"/>
                    <w:bottom w:val="single" w:color="auto" w:sz="4" w:space="0"/>
                    <w:right w:val="single" w:color="auto" w:sz="4" w:space="0"/>
                  </w:tcBorders>
                  <w:noWrap w:val="0"/>
                  <w:vAlign w:val="center"/>
                </w:tcPr>
                <w:p w14:paraId="6D405A7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
                    </w:rPr>
                  </w:pPr>
                </w:p>
              </w:tc>
              <w:tc>
                <w:tcPr>
                  <w:tcW w:w="398" w:type="pct"/>
                  <w:vMerge w:val="continue"/>
                  <w:tcBorders>
                    <w:left w:val="single" w:color="auto" w:sz="4" w:space="0"/>
                    <w:bottom w:val="single" w:color="auto" w:sz="4" w:space="0"/>
                    <w:right w:val="single" w:color="auto" w:sz="4" w:space="0"/>
                  </w:tcBorders>
                  <w:noWrap w:val="0"/>
                  <w:vAlign w:val="center"/>
                </w:tcPr>
                <w:p w14:paraId="64E6280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p>
              </w:tc>
            </w:tr>
            <w:tr w14:paraId="7AEA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op w:val="single" w:color="auto" w:sz="4" w:space="0"/>
                    <w:left w:val="single" w:color="auto" w:sz="4" w:space="0"/>
                    <w:right w:val="single" w:color="auto" w:sz="4" w:space="0"/>
                  </w:tcBorders>
                  <w:noWrap w:val="0"/>
                  <w:vAlign w:val="center"/>
                </w:tcPr>
                <w:p w14:paraId="2397B8C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合川区总体管控要求</w:t>
                  </w:r>
                </w:p>
              </w:tc>
              <w:tc>
                <w:tcPr>
                  <w:tcW w:w="406" w:type="pct"/>
                  <w:vMerge w:val="restart"/>
                  <w:tcBorders>
                    <w:top w:val="single" w:color="auto" w:sz="4" w:space="0"/>
                    <w:left w:val="single" w:color="auto" w:sz="4" w:space="0"/>
                    <w:bottom w:val="single" w:color="auto" w:sz="4" w:space="0"/>
                    <w:right w:val="single" w:color="auto" w:sz="4" w:space="0"/>
                  </w:tcBorders>
                  <w:noWrap w:val="0"/>
                  <w:vAlign w:val="center"/>
                </w:tcPr>
                <w:p w14:paraId="1D6B9EB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空间布局约束</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5F5536F">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 xml:space="preserve">第一条 </w:t>
                  </w:r>
                  <w:r>
                    <w:rPr>
                      <w:rFonts w:hint="default" w:ascii="Times New Roman" w:hAnsi="Times New Roman" w:eastAsia="宋体" w:cs="Times New Roman"/>
                      <w:b w:val="0"/>
                      <w:bCs w:val="0"/>
                      <w:color w:val="auto"/>
                      <w:sz w:val="18"/>
                      <w:szCs w:val="18"/>
                    </w:rPr>
                    <w:t>执行重点管控单元市级总体要求第一条、第二条、第三条、第四条、第五条、第六条和第七条。</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0FF8691C">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项目满足</w:t>
                  </w:r>
                  <w:r>
                    <w:rPr>
                      <w:rFonts w:hint="eastAsia" w:cs="Times New Roman"/>
                      <w:color w:val="auto"/>
                      <w:sz w:val="18"/>
                      <w:szCs w:val="18"/>
                      <w:lang w:val="en-US" w:eastAsia="zh-CN"/>
                    </w:rPr>
                    <w:t>上述</w:t>
                  </w:r>
                  <w:r>
                    <w:rPr>
                      <w:rFonts w:hint="eastAsia" w:ascii="Times New Roman" w:hAnsi="Times New Roman" w:eastAsia="宋体" w:cs="Times New Roman"/>
                      <w:color w:val="auto"/>
                      <w:sz w:val="18"/>
                      <w:szCs w:val="18"/>
                      <w:lang w:val="en-US" w:eastAsia="zh-CN"/>
                    </w:rPr>
                    <w:t>要求。</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67B8414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6CBC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1D09F1B5">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top w:val="single" w:color="auto" w:sz="4" w:space="0"/>
                    <w:left w:val="single" w:color="auto" w:sz="4" w:space="0"/>
                    <w:bottom w:val="single" w:color="auto" w:sz="4" w:space="0"/>
                    <w:right w:val="single" w:color="auto" w:sz="4" w:space="0"/>
                  </w:tcBorders>
                  <w:noWrap w:val="0"/>
                  <w:vAlign w:val="center"/>
                </w:tcPr>
                <w:p w14:paraId="69108D3F">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7222B15A">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 xml:space="preserve">第二条 </w:t>
                  </w:r>
                  <w:r>
                    <w:rPr>
                      <w:rFonts w:hint="default" w:ascii="Times New Roman" w:hAnsi="Times New Roman" w:eastAsia="宋体" w:cs="Times New Roman"/>
                      <w:b w:val="0"/>
                      <w:bCs w:val="0"/>
                      <w:color w:val="auto"/>
                      <w:sz w:val="18"/>
                      <w:szCs w:val="18"/>
                    </w:rPr>
                    <w:t>嘉陵江岸线1公里范围内限制布局新建纸浆制造、印染等存在环境风险的项目。</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32DE9625">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eastAsia" w:ascii="Times New Roman" w:hAnsi="Times New Roman" w:cs="Times New Roman"/>
                      <w:color w:val="auto"/>
                      <w:sz w:val="18"/>
                      <w:szCs w:val="18"/>
                      <w:lang w:val="en-US" w:eastAsia="zh-CN"/>
                    </w:rPr>
                    <w:t>项目</w:t>
                  </w:r>
                  <w:r>
                    <w:rPr>
                      <w:rFonts w:hint="eastAsia" w:cs="Times New Roman"/>
                      <w:color w:val="auto"/>
                      <w:sz w:val="18"/>
                      <w:szCs w:val="18"/>
                      <w:lang w:val="en-US" w:eastAsia="zh-CN"/>
                    </w:rPr>
                    <w:t>行业类别为C3670汽车零部件及配件制造、C2929塑料零件及其他塑料制品制造</w:t>
                  </w:r>
                  <w:r>
                    <w:rPr>
                      <w:rFonts w:hint="eastAsia" w:ascii="Times New Roman" w:hAnsi="Times New Roman" w:cs="Times New Roman"/>
                      <w:color w:val="auto"/>
                      <w:sz w:val="18"/>
                      <w:szCs w:val="18"/>
                      <w:lang w:val="en-US" w:eastAsia="zh-CN"/>
                    </w:rPr>
                    <w:t>，不属于纸浆制造、印染等项目</w:t>
                  </w:r>
                  <w:r>
                    <w:rPr>
                      <w:rFonts w:hint="eastAsia" w:ascii="Times New Roman" w:hAnsi="Times New Roman" w:eastAsia="宋体" w:cs="Times New Roman"/>
                      <w:color w:val="auto"/>
                      <w:sz w:val="18"/>
                      <w:szCs w:val="18"/>
                      <w:lang w:val="en-US" w:eastAsia="zh-CN"/>
                    </w:rPr>
                    <w:t>。</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4E88B4E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7802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2033AB62">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top w:val="single" w:color="auto" w:sz="4" w:space="0"/>
                    <w:left w:val="single" w:color="auto" w:sz="4" w:space="0"/>
                    <w:bottom w:val="single" w:color="auto" w:sz="4" w:space="0"/>
                    <w:right w:val="single" w:color="auto" w:sz="4" w:space="0"/>
                  </w:tcBorders>
                  <w:noWrap w:val="0"/>
                  <w:vAlign w:val="center"/>
                </w:tcPr>
                <w:p w14:paraId="131CFE0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污染物排放管控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788F569">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三</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执行重点管控单元市级总体要求第八条、第九条、第十条、第十一条、第十二条、第十三条、第十四条和第十五条。</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49F86AA6">
                  <w:pPr>
                    <w:spacing w:line="240" w:lineRule="auto"/>
                    <w:ind w:left="0" w:leftChars="0" w:right="0" w:rightChars="0"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项目满足</w:t>
                  </w:r>
                  <w:r>
                    <w:rPr>
                      <w:rFonts w:hint="eastAsia" w:cs="Times New Roman"/>
                      <w:color w:val="auto"/>
                      <w:sz w:val="18"/>
                      <w:szCs w:val="18"/>
                      <w:lang w:val="en-US" w:eastAsia="zh-CN"/>
                    </w:rPr>
                    <w:t>上述</w:t>
                  </w:r>
                  <w:r>
                    <w:rPr>
                      <w:rFonts w:hint="eastAsia" w:ascii="Times New Roman" w:hAnsi="Times New Roman" w:eastAsia="宋体" w:cs="Times New Roman"/>
                      <w:color w:val="auto"/>
                      <w:sz w:val="18"/>
                      <w:szCs w:val="18"/>
                      <w:lang w:val="en-US" w:eastAsia="zh-CN"/>
                    </w:rPr>
                    <w:t>要求。</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4A0A0F0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4D8C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5B50B484">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787BB94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84C91D5">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四</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持续推进农村人居环境整治，巩固拓展农村厕所革命成果，引导农村新建住房配套建设卫生厕所，推进</w:t>
                  </w:r>
                  <w:r>
                    <w:rPr>
                      <w:rFonts w:hint="default" w:ascii="Times New Roman" w:hAnsi="Times New Roman" w:eastAsia="宋体" w:cs="Times New Roman"/>
                      <w:color w:val="auto"/>
                      <w:sz w:val="18"/>
                      <w:szCs w:val="18"/>
                      <w:lang w:eastAsia="zh-CN"/>
                    </w:rPr>
                    <w:t>人口规模巨大</w:t>
                  </w:r>
                  <w:r>
                    <w:rPr>
                      <w:rFonts w:hint="default" w:ascii="Times New Roman" w:hAnsi="Times New Roman" w:eastAsia="宋体" w:cs="Times New Roman"/>
                      <w:color w:val="auto"/>
                      <w:sz w:val="18"/>
                      <w:szCs w:val="18"/>
                    </w:rPr>
                    <w:t>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6DF5A731">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项目不</w:t>
                  </w:r>
                  <w:r>
                    <w:rPr>
                      <w:rFonts w:hint="eastAsia" w:ascii="Times New Roman" w:hAnsi="Times New Roman" w:cs="Times New Roman"/>
                      <w:color w:val="auto"/>
                      <w:kern w:val="2"/>
                      <w:sz w:val="18"/>
                      <w:szCs w:val="18"/>
                      <w:lang w:val="en-US" w:eastAsia="zh-CN" w:bidi="ar-SA"/>
                    </w:rPr>
                    <w:t>涉及</w:t>
                  </w:r>
                  <w:r>
                    <w:rPr>
                      <w:rFonts w:hint="eastAsia" w:ascii="Times New Roman" w:hAnsi="Times New Roman" w:eastAsia="宋体" w:cs="Times New Roman"/>
                      <w:color w:val="auto"/>
                      <w:kern w:val="2"/>
                      <w:sz w:val="18"/>
                      <w:szCs w:val="18"/>
                      <w:lang w:val="en-US" w:eastAsia="zh-CN" w:bidi="ar-SA"/>
                    </w:rPr>
                    <w:t>。</w:t>
                  </w:r>
                </w:p>
              </w:tc>
              <w:tc>
                <w:tcPr>
                  <w:tcW w:w="398" w:type="pct"/>
                  <w:tcBorders>
                    <w:left w:val="single" w:color="auto" w:sz="4" w:space="0"/>
                    <w:right w:val="single" w:color="auto" w:sz="4" w:space="0"/>
                  </w:tcBorders>
                  <w:noWrap w:val="0"/>
                  <w:vAlign w:val="center"/>
                </w:tcPr>
                <w:p w14:paraId="0BF3878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1A0D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2A145C83">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0411F4E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6368B413">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五</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color w:val="auto"/>
                      <w:sz w:val="18"/>
                      <w:szCs w:val="18"/>
                    </w:rPr>
                    <w:t>持续推进水泥等高排放重点管控企业超低排放改造；加大新型干法水泥窑、玻璃行业废气深度治理力度，深化烧结砖瓦窑生产企业深度治理，推进烧结砖瓦窑脱硫脱硝除尘改造；新建燃煤机组实施超低排放；燃气锅炉实施低氮改造。</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430C2160">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项目</w:t>
                  </w:r>
                  <w:r>
                    <w:rPr>
                      <w:rFonts w:hint="eastAsia" w:cs="Times New Roman"/>
                      <w:color w:val="auto"/>
                      <w:kern w:val="2"/>
                      <w:sz w:val="18"/>
                      <w:szCs w:val="18"/>
                      <w:lang w:val="en-US" w:eastAsia="zh-CN" w:bidi="ar-SA"/>
                    </w:rPr>
                    <w:t>行业类别为C3670汽车零部件及配件制造、C2929塑料零件及其他塑料制品制造</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不</w:t>
                  </w:r>
                  <w:r>
                    <w:rPr>
                      <w:rFonts w:hint="eastAsia" w:ascii="Times New Roman" w:hAnsi="Times New Roman" w:cs="Times New Roman"/>
                      <w:color w:val="auto"/>
                      <w:kern w:val="2"/>
                      <w:sz w:val="18"/>
                      <w:szCs w:val="18"/>
                      <w:lang w:val="en-US" w:eastAsia="zh-CN" w:bidi="ar-SA"/>
                    </w:rPr>
                    <w:t>涉及</w:t>
                  </w:r>
                  <w:r>
                    <w:rPr>
                      <w:rFonts w:hint="eastAsia" w:cs="Times New Roman"/>
                      <w:color w:val="auto"/>
                      <w:kern w:val="2"/>
                      <w:sz w:val="18"/>
                      <w:szCs w:val="18"/>
                      <w:lang w:val="en-US" w:eastAsia="zh-CN" w:bidi="ar-SA"/>
                    </w:rPr>
                    <w:t>上述</w:t>
                  </w:r>
                  <w:r>
                    <w:rPr>
                      <w:rFonts w:hint="default" w:ascii="Times New Roman" w:hAnsi="Times New Roman" w:eastAsia="宋体" w:cs="Times New Roman"/>
                      <w:color w:val="auto"/>
                      <w:kern w:val="2"/>
                      <w:sz w:val="18"/>
                      <w:szCs w:val="18"/>
                      <w:lang w:val="en-US" w:eastAsia="zh-CN" w:bidi="ar-SA"/>
                    </w:rPr>
                    <w:t>行业</w:t>
                  </w:r>
                  <w:r>
                    <w:rPr>
                      <w:rFonts w:hint="eastAsia" w:ascii="Times New Roman" w:hAnsi="Times New Roman" w:cs="Times New Roman"/>
                      <w:color w:val="auto"/>
                      <w:kern w:val="2"/>
                      <w:sz w:val="18"/>
                      <w:szCs w:val="18"/>
                      <w:lang w:val="en-US" w:eastAsia="zh-CN" w:bidi="ar-SA"/>
                    </w:rPr>
                    <w:t>，不使用燃煤机组和燃气锅炉</w:t>
                  </w:r>
                  <w:r>
                    <w:rPr>
                      <w:rFonts w:hint="eastAsia" w:ascii="Times New Roman" w:hAnsi="Times New Roman" w:eastAsia="宋体" w:cs="Times New Roman"/>
                      <w:color w:val="auto"/>
                      <w:kern w:val="2"/>
                      <w:sz w:val="18"/>
                      <w:szCs w:val="18"/>
                      <w:lang w:val="en-US" w:eastAsia="zh-CN" w:bidi="ar-SA"/>
                    </w:rPr>
                    <w:t>。</w:t>
                  </w:r>
                </w:p>
              </w:tc>
              <w:tc>
                <w:tcPr>
                  <w:tcW w:w="398" w:type="pct"/>
                  <w:tcBorders>
                    <w:left w:val="single" w:color="auto" w:sz="4" w:space="0"/>
                    <w:right w:val="single" w:color="auto" w:sz="4" w:space="0"/>
                  </w:tcBorders>
                  <w:noWrap w:val="0"/>
                  <w:vAlign w:val="center"/>
                </w:tcPr>
                <w:p w14:paraId="2A680EF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符合</w:t>
                  </w:r>
                </w:p>
              </w:tc>
            </w:tr>
            <w:tr w14:paraId="67AA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5862CF39">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4A76170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7BC7DD91">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六</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严格施工扬尘管理，建筑面积8万平方米以上工地全部安装扬尘在线监测系统并联网。加强道路扬尘控制，强化运渣车辆冒装撒漏监管。推进混凝土搅拌站和非煤矿山物料储运系统密闭化改造。</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67800885">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项目不涉及土建施工，不属于混凝土搅拌站和非煤矿山物料项目。</w:t>
                  </w:r>
                </w:p>
              </w:tc>
              <w:tc>
                <w:tcPr>
                  <w:tcW w:w="398" w:type="pct"/>
                  <w:tcBorders>
                    <w:left w:val="single" w:color="auto" w:sz="4" w:space="0"/>
                    <w:right w:val="single" w:color="auto" w:sz="4" w:space="0"/>
                  </w:tcBorders>
                  <w:noWrap w:val="0"/>
                  <w:vAlign w:val="center"/>
                </w:tcPr>
                <w:p w14:paraId="7A0E3EB0">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1B26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6DA4628C">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69416DA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3BBE4A9">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七</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加快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3310EE98">
                  <w:pPr>
                    <w:spacing w:line="240" w:lineRule="auto"/>
                    <w:ind w:firstLine="0" w:firstLineChars="0"/>
                    <w:jc w:val="left"/>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w:t>
                  </w:r>
                  <w:r>
                    <w:rPr>
                      <w:rFonts w:hint="eastAsia" w:ascii="Times New Roman" w:hAnsi="Times New Roman" w:cs="Times New Roman"/>
                      <w:color w:val="auto"/>
                      <w:sz w:val="18"/>
                      <w:szCs w:val="18"/>
                      <w:lang w:val="en-US" w:eastAsia="zh-CN"/>
                    </w:rPr>
                    <w:t>不涉及</w:t>
                  </w:r>
                  <w:r>
                    <w:rPr>
                      <w:rFonts w:hint="eastAsia" w:ascii="Times New Roman" w:hAnsi="Times New Roman" w:eastAsia="宋体" w:cs="Times New Roman"/>
                      <w:color w:val="auto"/>
                      <w:sz w:val="18"/>
                      <w:szCs w:val="18"/>
                      <w:lang w:val="en-US" w:eastAsia="zh-CN"/>
                    </w:rPr>
                    <w:t>。</w:t>
                  </w:r>
                </w:p>
              </w:tc>
              <w:tc>
                <w:tcPr>
                  <w:tcW w:w="398" w:type="pct"/>
                  <w:tcBorders>
                    <w:left w:val="single" w:color="auto" w:sz="4" w:space="0"/>
                    <w:right w:val="single" w:color="auto" w:sz="4" w:space="0"/>
                  </w:tcBorders>
                  <w:noWrap w:val="0"/>
                  <w:vAlign w:val="center"/>
                </w:tcPr>
                <w:p w14:paraId="5CC142D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7846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8" w:type="pct"/>
                  <w:vMerge w:val="continue"/>
                  <w:tcBorders>
                    <w:left w:val="single" w:color="auto" w:sz="4" w:space="0"/>
                    <w:right w:val="single" w:color="auto" w:sz="4" w:space="0"/>
                  </w:tcBorders>
                  <w:noWrap w:val="0"/>
                  <w:vAlign w:val="center"/>
                </w:tcPr>
                <w:p w14:paraId="1CF64AF4">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37B6927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080C629A">
                  <w:pPr>
                    <w:spacing w:line="240" w:lineRule="auto"/>
                    <w:ind w:firstLine="0" w:firstLineChars="0"/>
                    <w:jc w:val="left"/>
                    <w:rPr>
                      <w:rFonts w:hint="eastAsia"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八</w:t>
                  </w:r>
                  <w:r>
                    <w:rPr>
                      <w:rFonts w:hint="default" w:ascii="Times New Roman" w:hAnsi="Times New Roman" w:eastAsia="宋体" w:cs="Times New Roman"/>
                      <w:b/>
                      <w:bCs/>
                      <w:color w:val="auto"/>
                      <w:sz w:val="18"/>
                      <w:szCs w:val="18"/>
                    </w:rPr>
                    <w:t xml:space="preserve">条 </w:t>
                  </w:r>
                  <w:r>
                    <w:rPr>
                      <w:rFonts w:hint="eastAsia" w:ascii="Times New Roman" w:hAnsi="Times New Roman" w:cs="Times New Roman"/>
                      <w:b w:val="0"/>
                      <w:bCs w:val="0"/>
                      <w:color w:val="auto"/>
                      <w:sz w:val="18"/>
                      <w:szCs w:val="18"/>
                      <w:lang w:eastAsia="zh-CN"/>
                    </w:rPr>
                    <w:t>推</w:t>
                  </w:r>
                  <w:r>
                    <w:rPr>
                      <w:rFonts w:hint="default" w:ascii="Times New Roman" w:hAnsi="Times New Roman" w:eastAsia="宋体" w:cs="Times New Roman"/>
                      <w:b w:val="0"/>
                      <w:bCs w:val="0"/>
                      <w:color w:val="auto"/>
                      <w:sz w:val="18"/>
                      <w:szCs w:val="18"/>
                      <w:lang w:val="zh-CN"/>
                    </w:rPr>
                    <w:t>动新建小区公共烟道建设油烟集中处置设施，实现居民生活油烟达标排放，减少生活有机溶剂使用，针对建筑装修、汽修喷涂作业、干洗等行业，严格执行有机溶剂VOCS含量限值标准，鼓励使用低毒、低挥发性溶剂</w:t>
                  </w:r>
                  <w:r>
                    <w:rPr>
                      <w:rFonts w:hint="default" w:ascii="Times New Roman" w:hAnsi="Times New Roman" w:eastAsia="宋体" w:cs="Times New Roman"/>
                      <w:b w:val="0"/>
                      <w:bCs w:val="0"/>
                      <w:color w:val="auto"/>
                      <w:sz w:val="18"/>
                      <w:szCs w:val="18"/>
                    </w:rPr>
                    <w:t>。</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088D68D7">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w:t>
                  </w:r>
                  <w:r>
                    <w:rPr>
                      <w:rFonts w:hint="eastAsia" w:ascii="Times New Roman" w:hAnsi="Times New Roman" w:cs="Times New Roman"/>
                      <w:color w:val="auto"/>
                      <w:sz w:val="18"/>
                      <w:szCs w:val="18"/>
                      <w:lang w:val="en-US" w:eastAsia="zh-CN"/>
                    </w:rPr>
                    <w:t>不涉及</w:t>
                  </w:r>
                  <w:r>
                    <w:rPr>
                      <w:rFonts w:hint="eastAsia" w:ascii="Times New Roman" w:hAnsi="Times New Roman" w:eastAsia="宋体" w:cs="Times New Roman"/>
                      <w:color w:val="auto"/>
                      <w:sz w:val="18"/>
                      <w:szCs w:val="18"/>
                      <w:lang w:val="en-US" w:eastAsia="zh-CN"/>
                    </w:rPr>
                    <w:t>。</w:t>
                  </w:r>
                </w:p>
              </w:tc>
              <w:tc>
                <w:tcPr>
                  <w:tcW w:w="398" w:type="pct"/>
                  <w:tcBorders>
                    <w:left w:val="single" w:color="auto" w:sz="4" w:space="0"/>
                    <w:right w:val="single" w:color="auto" w:sz="4" w:space="0"/>
                  </w:tcBorders>
                  <w:noWrap w:val="0"/>
                  <w:vAlign w:val="center"/>
                </w:tcPr>
                <w:p w14:paraId="20ED25E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76B7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25BD1BAE">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top w:val="single" w:color="auto" w:sz="4" w:space="0"/>
                    <w:left w:val="single" w:color="auto" w:sz="4" w:space="0"/>
                    <w:right w:val="single" w:color="auto" w:sz="4" w:space="0"/>
                  </w:tcBorders>
                  <w:noWrap w:val="0"/>
                  <w:vAlign w:val="center"/>
                </w:tcPr>
                <w:p w14:paraId="0AE1BC8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环境风险防控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FE7B0E1">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w:t>
                  </w:r>
                  <w:r>
                    <w:rPr>
                      <w:rFonts w:hint="eastAsia" w:ascii="Times New Roman" w:hAnsi="Times New Roman" w:cs="Times New Roman"/>
                      <w:b/>
                      <w:bCs/>
                      <w:color w:val="auto"/>
                      <w:sz w:val="18"/>
                      <w:szCs w:val="18"/>
                      <w:lang w:eastAsia="zh-CN"/>
                    </w:rPr>
                    <w:t>九</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执行重点管控单元市级总体要求第十六条。</w:t>
                  </w:r>
                </w:p>
              </w:tc>
              <w:tc>
                <w:tcPr>
                  <w:tcW w:w="991" w:type="pct"/>
                  <w:tcBorders>
                    <w:top w:val="single" w:color="auto" w:sz="4" w:space="0"/>
                    <w:left w:val="single" w:color="auto" w:sz="4" w:space="0"/>
                    <w:right w:val="single" w:color="auto" w:sz="4" w:space="0"/>
                  </w:tcBorders>
                  <w:noWrap w:val="0"/>
                  <w:vAlign w:val="center"/>
                </w:tcPr>
                <w:p w14:paraId="308646C8">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项目满足</w:t>
                  </w:r>
                  <w:r>
                    <w:rPr>
                      <w:rFonts w:hint="eastAsia" w:cs="Times New Roman"/>
                      <w:color w:val="auto"/>
                      <w:sz w:val="18"/>
                      <w:szCs w:val="18"/>
                      <w:lang w:val="en-US" w:eastAsia="zh-CN"/>
                    </w:rPr>
                    <w:t>上述</w:t>
                  </w:r>
                  <w:r>
                    <w:rPr>
                      <w:rFonts w:hint="eastAsia" w:ascii="Times New Roman" w:hAnsi="Times New Roman" w:eastAsia="宋体" w:cs="Times New Roman"/>
                      <w:color w:val="auto"/>
                      <w:sz w:val="18"/>
                      <w:szCs w:val="18"/>
                      <w:lang w:val="en-US" w:eastAsia="zh-CN"/>
                    </w:rPr>
                    <w:t>要求。</w:t>
                  </w:r>
                </w:p>
              </w:tc>
              <w:tc>
                <w:tcPr>
                  <w:tcW w:w="398" w:type="pct"/>
                  <w:tcBorders>
                    <w:top w:val="single" w:color="auto" w:sz="4" w:space="0"/>
                    <w:left w:val="single" w:color="auto" w:sz="4" w:space="0"/>
                    <w:right w:val="single" w:color="auto" w:sz="4" w:space="0"/>
                  </w:tcBorders>
                  <w:noWrap w:val="0"/>
                  <w:vAlign w:val="center"/>
                </w:tcPr>
                <w:p w14:paraId="301D152D">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10B0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496565C7">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78C482B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68106F2D">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 xml:space="preserve">第十条 </w:t>
                  </w:r>
                  <w:r>
                    <w:rPr>
                      <w:rFonts w:hint="default" w:ascii="Times New Roman" w:hAnsi="Times New Roman" w:eastAsia="宋体" w:cs="Times New Roman"/>
                      <w:b w:val="0"/>
                      <w:bCs w:val="0"/>
                      <w:color w:val="auto"/>
                      <w:sz w:val="18"/>
                      <w:szCs w:val="18"/>
                    </w:rPr>
                    <w:t>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991" w:type="pct"/>
                  <w:tcBorders>
                    <w:top w:val="single" w:color="auto" w:sz="4" w:space="0"/>
                    <w:left w:val="single" w:color="auto" w:sz="4" w:space="0"/>
                    <w:right w:val="single" w:color="auto" w:sz="4" w:space="0"/>
                  </w:tcBorders>
                  <w:noWrap w:val="0"/>
                  <w:vAlign w:val="center"/>
                </w:tcPr>
                <w:p w14:paraId="518DDFDE">
                  <w:pPr>
                    <w:spacing w:line="240" w:lineRule="auto"/>
                    <w:ind w:firstLine="0" w:firstLineChars="0"/>
                    <w:jc w:val="lef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eastAsia="宋体" w:cs="Times New Roman"/>
                      <w:color w:val="auto"/>
                      <w:sz w:val="18"/>
                      <w:szCs w:val="18"/>
                      <w:lang w:eastAsia="zh-CN"/>
                    </w:rPr>
                    <w:t>位于合川工业园区南溪组团</w:t>
                  </w:r>
                  <w:r>
                    <w:rPr>
                      <w:rFonts w:hint="eastAsia" w:ascii="Times New Roman" w:hAnsi="Times New Roman" w:eastAsia="宋体" w:cs="Times New Roman"/>
                      <w:color w:val="auto"/>
                      <w:sz w:val="18"/>
                      <w:szCs w:val="18"/>
                      <w:lang w:val="en-US" w:eastAsia="zh-CN"/>
                    </w:rPr>
                    <w:t>A区，园区</w:t>
                  </w:r>
                  <w:r>
                    <w:rPr>
                      <w:rFonts w:hint="default" w:ascii="Times New Roman" w:hAnsi="Times New Roman" w:eastAsia="宋体" w:cs="Times New Roman"/>
                      <w:color w:val="auto"/>
                      <w:sz w:val="18"/>
                      <w:szCs w:val="18"/>
                    </w:rPr>
                    <w:t>已</w:t>
                  </w:r>
                  <w:r>
                    <w:rPr>
                      <w:rFonts w:hint="eastAsia" w:ascii="Times New Roman" w:hAnsi="Times New Roman" w:eastAsia="宋体" w:cs="Times New Roman"/>
                      <w:color w:val="auto"/>
                      <w:sz w:val="18"/>
                      <w:szCs w:val="18"/>
                      <w:lang w:eastAsia="zh-CN"/>
                    </w:rPr>
                    <w:t>完善</w:t>
                  </w:r>
                  <w:r>
                    <w:rPr>
                      <w:rFonts w:hint="default" w:ascii="Times New Roman" w:hAnsi="Times New Roman" w:eastAsia="宋体" w:cs="Times New Roman"/>
                      <w:color w:val="auto"/>
                      <w:sz w:val="18"/>
                      <w:szCs w:val="18"/>
                    </w:rPr>
                    <w:t>风险</w:t>
                  </w:r>
                  <w:r>
                    <w:rPr>
                      <w:rFonts w:hint="eastAsia" w:ascii="Times New Roman" w:hAnsi="Times New Roman" w:eastAsia="宋体" w:cs="Times New Roman"/>
                      <w:color w:val="auto"/>
                      <w:sz w:val="18"/>
                      <w:szCs w:val="18"/>
                      <w:lang w:eastAsia="zh-CN"/>
                    </w:rPr>
                    <w:t>防控</w:t>
                  </w:r>
                  <w:r>
                    <w:rPr>
                      <w:rFonts w:hint="default" w:ascii="Times New Roman" w:hAnsi="Times New Roman" w:eastAsia="宋体" w:cs="Times New Roman"/>
                      <w:color w:val="auto"/>
                      <w:sz w:val="18"/>
                      <w:szCs w:val="18"/>
                    </w:rPr>
                    <w:t>体系和应急预案</w:t>
                  </w:r>
                  <w:r>
                    <w:rPr>
                      <w:rFonts w:hint="eastAsia" w:ascii="Times New Roman" w:hAnsi="Times New Roman" w:eastAsia="宋体" w:cs="Times New Roman"/>
                      <w:color w:val="auto"/>
                      <w:sz w:val="18"/>
                      <w:szCs w:val="18"/>
                      <w:lang w:val="en-US" w:eastAsia="zh-CN"/>
                    </w:rPr>
                    <w:t>。</w:t>
                  </w:r>
                </w:p>
              </w:tc>
              <w:tc>
                <w:tcPr>
                  <w:tcW w:w="398" w:type="pct"/>
                  <w:tcBorders>
                    <w:top w:val="single" w:color="auto" w:sz="4" w:space="0"/>
                    <w:left w:val="single" w:color="auto" w:sz="4" w:space="0"/>
                    <w:right w:val="single" w:color="auto" w:sz="4" w:space="0"/>
                  </w:tcBorders>
                  <w:noWrap w:val="0"/>
                  <w:vAlign w:val="center"/>
                </w:tcPr>
                <w:p w14:paraId="5E3FD10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059D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74C83BE5">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142B9A8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0E5B2C3B">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eastAsia="宋体" w:cs="Times New Roman"/>
                      <w:b/>
                      <w:bCs/>
                      <w:color w:val="auto"/>
                      <w:sz w:val="18"/>
                      <w:szCs w:val="18"/>
                      <w:lang w:eastAsia="zh-CN"/>
                    </w:rPr>
                    <w:t>一</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工业集聚区内的项目对水环境存在安全隐患的，应当建立车间、工厂和集聚区三级环境风险防范体系。</w:t>
                  </w:r>
                </w:p>
              </w:tc>
              <w:tc>
                <w:tcPr>
                  <w:tcW w:w="991" w:type="pct"/>
                  <w:tcBorders>
                    <w:top w:val="single" w:color="auto" w:sz="4" w:space="0"/>
                    <w:left w:val="single" w:color="auto" w:sz="4" w:space="0"/>
                    <w:right w:val="single" w:color="auto" w:sz="4" w:space="0"/>
                  </w:tcBorders>
                  <w:noWrap w:val="0"/>
                  <w:vAlign w:val="center"/>
                </w:tcPr>
                <w:p w14:paraId="66BF25AA">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本项目环境风险较低，采取了车间风险防控措施，</w:t>
                  </w:r>
                  <w:r>
                    <w:rPr>
                      <w:rFonts w:hint="eastAsia" w:cs="Times New Roman"/>
                      <w:color w:val="auto"/>
                      <w:kern w:val="2"/>
                      <w:sz w:val="18"/>
                      <w:szCs w:val="18"/>
                      <w:lang w:val="en-US" w:eastAsia="zh-CN" w:bidi="ar-SA"/>
                    </w:rPr>
                    <w:t>厂区建立完善的风险管理制度，</w:t>
                  </w:r>
                  <w:r>
                    <w:rPr>
                      <w:rFonts w:hint="default" w:ascii="Times New Roman" w:hAnsi="Times New Roman" w:eastAsia="宋体" w:cs="Times New Roman"/>
                      <w:color w:val="auto"/>
                      <w:kern w:val="2"/>
                      <w:sz w:val="18"/>
                      <w:szCs w:val="18"/>
                      <w:lang w:val="en-US" w:eastAsia="zh-CN" w:bidi="ar-SA"/>
                    </w:rPr>
                    <w:t>同时依托园区风险防控体系</w:t>
                  </w:r>
                  <w:r>
                    <w:rPr>
                      <w:rFonts w:hint="eastAsia" w:cs="Times New Roman"/>
                      <w:color w:val="auto"/>
                      <w:kern w:val="2"/>
                      <w:sz w:val="18"/>
                      <w:szCs w:val="18"/>
                      <w:lang w:val="en-US" w:eastAsia="zh-CN" w:bidi="ar-SA"/>
                    </w:rPr>
                    <w:t>，且本项目危废间、液体物料暂存区采取了托盘、围堰等设施防止风险物质泄漏扩散。</w:t>
                  </w:r>
                </w:p>
              </w:tc>
              <w:tc>
                <w:tcPr>
                  <w:tcW w:w="398" w:type="pct"/>
                  <w:tcBorders>
                    <w:top w:val="single" w:color="auto" w:sz="4" w:space="0"/>
                    <w:left w:val="single" w:color="auto" w:sz="4" w:space="0"/>
                    <w:right w:val="single" w:color="auto" w:sz="4" w:space="0"/>
                  </w:tcBorders>
                  <w:noWrap w:val="0"/>
                  <w:vAlign w:val="center"/>
                </w:tcPr>
                <w:p w14:paraId="2F1C779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
                    </w:rPr>
                  </w:pPr>
                  <w:r>
                    <w:rPr>
                      <w:rFonts w:hint="eastAsia" w:cs="Times New Roman"/>
                      <w:color w:val="auto"/>
                      <w:kern w:val="2"/>
                      <w:sz w:val="18"/>
                      <w:szCs w:val="18"/>
                      <w:lang w:val="en-US" w:eastAsia="zh-CN" w:bidi="ar"/>
                    </w:rPr>
                    <w:t>符合</w:t>
                  </w:r>
                </w:p>
              </w:tc>
            </w:tr>
            <w:tr w14:paraId="7C16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0537DEED">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67A9701F">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43672969">
                  <w:pPr>
                    <w:spacing w:line="240" w:lineRule="auto"/>
                    <w:ind w:firstLine="0" w:firstLineChars="0"/>
                    <w:jc w:val="left"/>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eastAsia="宋体" w:cs="Times New Roman"/>
                      <w:b/>
                      <w:bCs/>
                      <w:color w:val="auto"/>
                      <w:sz w:val="18"/>
                      <w:szCs w:val="18"/>
                      <w:lang w:eastAsia="zh-CN"/>
                    </w:rPr>
                    <w:t>二</w:t>
                  </w:r>
                  <w:r>
                    <w:rPr>
                      <w:rFonts w:hint="default" w:ascii="Times New Roman" w:hAnsi="Times New Roman" w:eastAsia="宋体" w:cs="Times New Roman"/>
                      <w:b/>
                      <w:bCs/>
                      <w:color w:val="auto"/>
                      <w:sz w:val="18"/>
                      <w:szCs w:val="18"/>
                    </w:rPr>
                    <w:t xml:space="preserve">条 </w:t>
                  </w:r>
                  <w:r>
                    <w:rPr>
                      <w:rFonts w:hint="default" w:ascii="Times New Roman" w:hAnsi="Times New Roman" w:eastAsia="宋体" w:cs="Times New Roman"/>
                      <w:b w:val="0"/>
                      <w:bCs w:val="0"/>
                      <w:color w:val="auto"/>
                      <w:sz w:val="18"/>
                      <w:szCs w:val="18"/>
                    </w:rPr>
                    <w:t>深化区域联防联控机制，进一步健全与遂宁、广安、潼南、铜梁、北碚等地突发环境事件应急响应机制，有效预防和应对跨区域的突发环境风险事件。</w:t>
                  </w:r>
                </w:p>
              </w:tc>
              <w:tc>
                <w:tcPr>
                  <w:tcW w:w="991" w:type="pct"/>
                  <w:tcBorders>
                    <w:left w:val="single" w:color="auto" w:sz="4" w:space="0"/>
                    <w:bottom w:val="single" w:color="auto" w:sz="4" w:space="0"/>
                    <w:right w:val="single" w:color="auto" w:sz="4" w:space="0"/>
                  </w:tcBorders>
                  <w:noWrap w:val="0"/>
                  <w:vAlign w:val="center"/>
                </w:tcPr>
                <w:p w14:paraId="298DF9E0">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eastAsia="宋体" w:cs="Times New Roman"/>
                      <w:color w:val="auto"/>
                      <w:sz w:val="18"/>
                      <w:szCs w:val="18"/>
                      <w:lang w:eastAsia="zh-CN"/>
                    </w:rPr>
                    <w:t>位于合川工业园区南溪组团</w:t>
                  </w:r>
                  <w:r>
                    <w:rPr>
                      <w:rFonts w:hint="eastAsia" w:ascii="Times New Roman" w:hAnsi="Times New Roman" w:eastAsia="宋体" w:cs="Times New Roman"/>
                      <w:color w:val="auto"/>
                      <w:sz w:val="18"/>
                      <w:szCs w:val="18"/>
                      <w:lang w:val="en-US" w:eastAsia="zh-CN"/>
                    </w:rPr>
                    <w:t>A区，园区</w:t>
                  </w:r>
                  <w:r>
                    <w:rPr>
                      <w:rFonts w:hint="default" w:ascii="Times New Roman" w:hAnsi="Times New Roman" w:eastAsia="宋体" w:cs="Times New Roman"/>
                      <w:color w:val="auto"/>
                      <w:sz w:val="18"/>
                      <w:szCs w:val="18"/>
                    </w:rPr>
                    <w:t>已</w:t>
                  </w:r>
                  <w:r>
                    <w:rPr>
                      <w:rFonts w:hint="eastAsia" w:ascii="Times New Roman" w:hAnsi="Times New Roman" w:eastAsia="宋体" w:cs="Times New Roman"/>
                      <w:color w:val="auto"/>
                      <w:sz w:val="18"/>
                      <w:szCs w:val="18"/>
                      <w:lang w:eastAsia="zh-CN"/>
                    </w:rPr>
                    <w:t>完善</w:t>
                  </w:r>
                  <w:r>
                    <w:rPr>
                      <w:rFonts w:hint="default" w:ascii="Times New Roman" w:hAnsi="Times New Roman" w:eastAsia="宋体" w:cs="Times New Roman"/>
                      <w:color w:val="auto"/>
                      <w:sz w:val="18"/>
                      <w:szCs w:val="18"/>
                    </w:rPr>
                    <w:t>风险</w:t>
                  </w:r>
                  <w:r>
                    <w:rPr>
                      <w:rFonts w:hint="eastAsia" w:ascii="Times New Roman" w:hAnsi="Times New Roman" w:eastAsia="宋体" w:cs="Times New Roman"/>
                      <w:color w:val="auto"/>
                      <w:sz w:val="18"/>
                      <w:szCs w:val="18"/>
                      <w:lang w:eastAsia="zh-CN"/>
                    </w:rPr>
                    <w:t>防控</w:t>
                  </w:r>
                  <w:r>
                    <w:rPr>
                      <w:rFonts w:hint="default" w:ascii="Times New Roman" w:hAnsi="Times New Roman" w:eastAsia="宋体" w:cs="Times New Roman"/>
                      <w:color w:val="auto"/>
                      <w:sz w:val="18"/>
                      <w:szCs w:val="18"/>
                    </w:rPr>
                    <w:t>体系</w:t>
                  </w:r>
                  <w:r>
                    <w:rPr>
                      <w:rFonts w:hint="eastAsia" w:ascii="Times New Roman" w:hAnsi="Times New Roman" w:eastAsia="宋体" w:cs="Times New Roman"/>
                      <w:color w:val="auto"/>
                      <w:sz w:val="18"/>
                      <w:szCs w:val="18"/>
                      <w:lang w:val="en-US" w:eastAsia="zh-CN"/>
                    </w:rPr>
                    <w:t>。</w:t>
                  </w:r>
                </w:p>
              </w:tc>
              <w:tc>
                <w:tcPr>
                  <w:tcW w:w="398" w:type="pct"/>
                  <w:tcBorders>
                    <w:left w:val="single" w:color="auto" w:sz="4" w:space="0"/>
                    <w:right w:val="single" w:color="auto" w:sz="4" w:space="0"/>
                  </w:tcBorders>
                  <w:noWrap w:val="0"/>
                  <w:vAlign w:val="center"/>
                </w:tcPr>
                <w:p w14:paraId="1907DFD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5FDB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48E5E06E">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restart"/>
                  <w:tcBorders>
                    <w:left w:val="single" w:color="auto" w:sz="4" w:space="0"/>
                    <w:right w:val="single" w:color="auto" w:sz="4" w:space="0"/>
                  </w:tcBorders>
                  <w:noWrap w:val="0"/>
                  <w:vAlign w:val="center"/>
                </w:tcPr>
                <w:p w14:paraId="6E78D315">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资源开发利用效率</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AB32313">
                  <w:pPr>
                    <w:pStyle w:val="26"/>
                    <w:keepNext w:val="0"/>
                    <w:keepLines w:val="0"/>
                    <w:pageBreakBefore w:val="0"/>
                    <w:widowControl/>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cs="Times New Roman"/>
                      <w:b/>
                      <w:bCs/>
                      <w:color w:val="auto"/>
                      <w:sz w:val="18"/>
                      <w:szCs w:val="18"/>
                      <w:lang w:eastAsia="zh-CN"/>
                    </w:rPr>
                    <w:t>三</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执行重点管控单元市级总体要求第十八条、第十九条、第二十条、第二十一条和第二十二条。</w:t>
                  </w:r>
                </w:p>
              </w:tc>
              <w:tc>
                <w:tcPr>
                  <w:tcW w:w="991" w:type="pct"/>
                  <w:tcBorders>
                    <w:left w:val="single" w:color="auto" w:sz="4" w:space="0"/>
                    <w:bottom w:val="single" w:color="auto" w:sz="4" w:space="0"/>
                    <w:right w:val="single" w:color="auto" w:sz="4" w:space="0"/>
                  </w:tcBorders>
                  <w:noWrap w:val="0"/>
                  <w:vAlign w:val="center"/>
                </w:tcPr>
                <w:p w14:paraId="62FCEBB0">
                  <w:pPr>
                    <w:keepNext w:val="0"/>
                    <w:keepLines w:val="0"/>
                    <w:pageBreakBefore w:val="0"/>
                    <w:widowControl w:val="0"/>
                    <w:suppressLineNumbers w:val="0"/>
                    <w:suppressAutoHyphens/>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项目满足</w:t>
                  </w:r>
                  <w:r>
                    <w:rPr>
                      <w:rFonts w:hint="eastAsia" w:cs="Times New Roman"/>
                      <w:color w:val="auto"/>
                      <w:sz w:val="18"/>
                      <w:szCs w:val="18"/>
                      <w:lang w:val="en-US" w:eastAsia="zh-CN"/>
                    </w:rPr>
                    <w:t>上述</w:t>
                  </w:r>
                  <w:r>
                    <w:rPr>
                      <w:rFonts w:hint="eastAsia" w:ascii="Times New Roman" w:hAnsi="Times New Roman" w:eastAsia="宋体" w:cs="Times New Roman"/>
                      <w:color w:val="auto"/>
                      <w:sz w:val="18"/>
                      <w:szCs w:val="18"/>
                      <w:lang w:val="en-US" w:eastAsia="zh-CN"/>
                    </w:rPr>
                    <w:t>要求</w:t>
                  </w:r>
                  <w:r>
                    <w:rPr>
                      <w:rFonts w:hint="default" w:ascii="Times New Roman" w:hAnsi="Times New Roman" w:eastAsia="宋体" w:cs="Times New Roman"/>
                      <w:color w:val="auto"/>
                      <w:sz w:val="18"/>
                      <w:szCs w:val="18"/>
                      <w:lang w:eastAsia="zh-CN"/>
                    </w:rPr>
                    <w:t>。</w:t>
                  </w:r>
                </w:p>
              </w:tc>
              <w:tc>
                <w:tcPr>
                  <w:tcW w:w="398" w:type="pct"/>
                  <w:tcBorders>
                    <w:left w:val="single" w:color="auto" w:sz="4" w:space="0"/>
                    <w:right w:val="single" w:color="auto" w:sz="4" w:space="0"/>
                  </w:tcBorders>
                  <w:noWrap w:val="0"/>
                  <w:vAlign w:val="center"/>
                </w:tcPr>
                <w:p w14:paraId="15A36151">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3D45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40277AC9">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3E977E0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279A041C">
                  <w:pPr>
                    <w:pStyle w:val="26"/>
                    <w:keepNext w:val="0"/>
                    <w:keepLines w:val="0"/>
                    <w:pageBreakBefore w:val="0"/>
                    <w:widowControl/>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cs="Times New Roman"/>
                      <w:b/>
                      <w:bCs/>
                      <w:color w:val="auto"/>
                      <w:sz w:val="18"/>
                      <w:szCs w:val="18"/>
                      <w:lang w:eastAsia="zh-CN"/>
                    </w:rPr>
                    <w:t>四</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991" w:type="pct"/>
                  <w:tcBorders>
                    <w:left w:val="single" w:color="auto" w:sz="4" w:space="0"/>
                    <w:right w:val="single" w:color="auto" w:sz="4" w:space="0"/>
                  </w:tcBorders>
                  <w:noWrap w:val="0"/>
                  <w:vAlign w:val="center"/>
                </w:tcPr>
                <w:p w14:paraId="4E84B1B0">
                  <w:pPr>
                    <w:keepNext w:val="0"/>
                    <w:keepLines w:val="0"/>
                    <w:pageBreakBefore w:val="0"/>
                    <w:widowControl w:val="0"/>
                    <w:suppressLineNumbers w:val="0"/>
                    <w:suppressAutoHyphens/>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cs="Times New Roman"/>
                      <w:color w:val="auto"/>
                      <w:sz w:val="18"/>
                      <w:szCs w:val="18"/>
                      <w:lang w:eastAsia="zh-CN"/>
                    </w:rPr>
                    <w:t>不使用煤炭</w:t>
                  </w:r>
                  <w:r>
                    <w:rPr>
                      <w:rFonts w:hint="default" w:ascii="Times New Roman" w:hAnsi="Times New Roman" w:eastAsia="宋体" w:cs="Times New Roman"/>
                      <w:color w:val="auto"/>
                      <w:sz w:val="18"/>
                      <w:szCs w:val="18"/>
                      <w:lang w:eastAsia="zh-CN"/>
                    </w:rPr>
                    <w:t>。</w:t>
                  </w:r>
                </w:p>
              </w:tc>
              <w:tc>
                <w:tcPr>
                  <w:tcW w:w="398" w:type="pct"/>
                  <w:tcBorders>
                    <w:left w:val="single" w:color="auto" w:sz="4" w:space="0"/>
                    <w:right w:val="single" w:color="auto" w:sz="4" w:space="0"/>
                  </w:tcBorders>
                  <w:noWrap w:val="0"/>
                  <w:vAlign w:val="center"/>
                </w:tcPr>
                <w:p w14:paraId="5A65149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1AC5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20B8933B">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76749A1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0241A6D5">
                  <w:pPr>
                    <w:pStyle w:val="26"/>
                    <w:keepNext w:val="0"/>
                    <w:keepLines w:val="0"/>
                    <w:pageBreakBefore w:val="0"/>
                    <w:widowControl/>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cs="Times New Roman"/>
                      <w:b/>
                      <w:bCs/>
                      <w:color w:val="auto"/>
                      <w:sz w:val="18"/>
                      <w:szCs w:val="18"/>
                      <w:lang w:eastAsia="zh-CN"/>
                    </w:rPr>
                    <w:t>五</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持续开展重点河流和水库富营养化监测预警及控制，科学实施梯级航电工程生态调度，保证生态基流。</w:t>
                  </w:r>
                </w:p>
              </w:tc>
              <w:tc>
                <w:tcPr>
                  <w:tcW w:w="991" w:type="pct"/>
                  <w:tcBorders>
                    <w:left w:val="single" w:color="auto" w:sz="4" w:space="0"/>
                    <w:bottom w:val="single" w:color="auto" w:sz="4" w:space="0"/>
                    <w:right w:val="single" w:color="auto" w:sz="4" w:space="0"/>
                  </w:tcBorders>
                  <w:noWrap w:val="0"/>
                  <w:vAlign w:val="center"/>
                </w:tcPr>
                <w:p w14:paraId="00EF08EC">
                  <w:pPr>
                    <w:keepNext w:val="0"/>
                    <w:keepLines w:val="0"/>
                    <w:pageBreakBefore w:val="0"/>
                    <w:widowControl w:val="0"/>
                    <w:suppressLineNumbers w:val="0"/>
                    <w:suppressAutoHyphens/>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cs="Times New Roman"/>
                      <w:color w:val="auto"/>
                      <w:sz w:val="18"/>
                      <w:szCs w:val="18"/>
                      <w:lang w:eastAsia="zh-CN"/>
                    </w:rPr>
                    <w:t>不涉及</w:t>
                  </w:r>
                  <w:r>
                    <w:rPr>
                      <w:rFonts w:hint="default" w:ascii="Times New Roman" w:hAnsi="Times New Roman" w:eastAsia="宋体" w:cs="Times New Roman"/>
                      <w:color w:val="auto"/>
                      <w:sz w:val="18"/>
                      <w:szCs w:val="18"/>
                      <w:lang w:eastAsia="zh-CN"/>
                    </w:rPr>
                    <w:t>。</w:t>
                  </w:r>
                </w:p>
              </w:tc>
              <w:tc>
                <w:tcPr>
                  <w:tcW w:w="398" w:type="pct"/>
                  <w:tcBorders>
                    <w:left w:val="single" w:color="auto" w:sz="4" w:space="0"/>
                    <w:right w:val="single" w:color="auto" w:sz="4" w:space="0"/>
                  </w:tcBorders>
                  <w:noWrap w:val="0"/>
                  <w:vAlign w:val="center"/>
                </w:tcPr>
                <w:p w14:paraId="4B7083C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符合</w:t>
                  </w:r>
                </w:p>
              </w:tc>
            </w:tr>
            <w:tr w14:paraId="4E51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auto" w:sz="4" w:space="0"/>
                    <w:right w:val="single" w:color="auto" w:sz="4" w:space="0"/>
                  </w:tcBorders>
                  <w:noWrap w:val="0"/>
                  <w:vAlign w:val="center"/>
                </w:tcPr>
                <w:p w14:paraId="7550E71B">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59BADE18">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kern w:val="2"/>
                      <w:sz w:val="18"/>
                      <w:szCs w:val="18"/>
                      <w:lang w:val="en-US" w:eastAsia="zh-CN" w:bidi="ar"/>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108C276D">
                  <w:pPr>
                    <w:pStyle w:val="26"/>
                    <w:keepNext w:val="0"/>
                    <w:keepLines w:val="0"/>
                    <w:pageBreakBefore w:val="0"/>
                    <w:widowControl/>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cs="Times New Roman"/>
                      <w:b/>
                      <w:bCs/>
                      <w:color w:val="auto"/>
                      <w:sz w:val="18"/>
                      <w:szCs w:val="18"/>
                      <w:lang w:eastAsia="zh-CN"/>
                    </w:rPr>
                    <w:t>六</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在高污染燃料禁燃区内，禁止销售、燃用高污染燃料；禁止新建、扩建燃用高污染燃料的设施，已建成的，应当在城市人民政府规定的期限内改用天然气、页岩气、液化石油气、电或者其他清洁能源。</w:t>
                  </w:r>
                </w:p>
              </w:tc>
              <w:tc>
                <w:tcPr>
                  <w:tcW w:w="991" w:type="pct"/>
                  <w:tcBorders>
                    <w:left w:val="single" w:color="auto" w:sz="4" w:space="0"/>
                    <w:bottom w:val="single" w:color="auto" w:sz="4" w:space="0"/>
                    <w:right w:val="single" w:color="auto" w:sz="4" w:space="0"/>
                  </w:tcBorders>
                  <w:noWrap w:val="0"/>
                  <w:vAlign w:val="center"/>
                </w:tcPr>
                <w:p w14:paraId="17411F01">
                  <w:pPr>
                    <w:keepNext w:val="0"/>
                    <w:keepLines w:val="0"/>
                    <w:pageBreakBefore w:val="0"/>
                    <w:widowControl w:val="0"/>
                    <w:suppressLineNumbers w:val="0"/>
                    <w:suppressAutoHyphens/>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cs="Times New Roman"/>
                      <w:color w:val="auto"/>
                      <w:sz w:val="18"/>
                      <w:szCs w:val="18"/>
                      <w:lang w:val="en-US" w:eastAsia="zh-CN"/>
                    </w:rPr>
                    <w:t>不使用高污染燃料</w:t>
                  </w:r>
                  <w:r>
                    <w:rPr>
                      <w:rFonts w:hint="default" w:ascii="Times New Roman" w:hAnsi="Times New Roman" w:eastAsia="宋体" w:cs="Times New Roman"/>
                      <w:color w:val="auto"/>
                      <w:sz w:val="18"/>
                      <w:szCs w:val="18"/>
                      <w:lang w:eastAsia="zh-CN"/>
                    </w:rPr>
                    <w:t>。</w:t>
                  </w:r>
                </w:p>
              </w:tc>
              <w:tc>
                <w:tcPr>
                  <w:tcW w:w="398" w:type="pct"/>
                  <w:tcBorders>
                    <w:left w:val="single" w:color="auto" w:sz="4" w:space="0"/>
                    <w:right w:val="single" w:color="auto" w:sz="4" w:space="0"/>
                  </w:tcBorders>
                  <w:noWrap w:val="0"/>
                  <w:vAlign w:val="center"/>
                </w:tcPr>
                <w:p w14:paraId="1BC5A0DA">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符合</w:t>
                  </w:r>
                </w:p>
              </w:tc>
            </w:tr>
            <w:tr w14:paraId="208D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8" w:type="pct"/>
                  <w:vMerge w:val="continue"/>
                  <w:tcBorders>
                    <w:left w:val="single" w:color="auto" w:sz="4" w:space="0"/>
                    <w:right w:val="single" w:color="auto" w:sz="4" w:space="0"/>
                  </w:tcBorders>
                  <w:noWrap w:val="0"/>
                  <w:vAlign w:val="center"/>
                </w:tcPr>
                <w:p w14:paraId="13C9CFD4">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vMerge w:val="continue"/>
                  <w:tcBorders>
                    <w:left w:val="single" w:color="auto" w:sz="4" w:space="0"/>
                    <w:right w:val="single" w:color="auto" w:sz="4" w:space="0"/>
                  </w:tcBorders>
                  <w:noWrap w:val="0"/>
                  <w:vAlign w:val="center"/>
                </w:tcPr>
                <w:p w14:paraId="447E60A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4C2A98A5">
                  <w:pPr>
                    <w:pStyle w:val="26"/>
                    <w:keepNext w:val="0"/>
                    <w:keepLines w:val="0"/>
                    <w:pageBreakBefore w:val="0"/>
                    <w:widowControl/>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sz w:val="18"/>
                      <w:szCs w:val="18"/>
                    </w:rPr>
                    <w:t>第十</w:t>
                  </w:r>
                  <w:r>
                    <w:rPr>
                      <w:rFonts w:hint="eastAsia" w:ascii="Times New Roman" w:hAnsi="Times New Roman" w:cs="Times New Roman"/>
                      <w:b/>
                      <w:bCs/>
                      <w:color w:val="auto"/>
                      <w:sz w:val="18"/>
                      <w:szCs w:val="18"/>
                      <w:lang w:eastAsia="zh-CN"/>
                    </w:rPr>
                    <w:t>七</w:t>
                  </w:r>
                  <w:r>
                    <w:rPr>
                      <w:rFonts w:hint="default" w:ascii="Times New Roman" w:hAnsi="Times New Roman" w:eastAsia="宋体" w:cs="Times New Roman"/>
                      <w:b/>
                      <w:bCs/>
                      <w:color w:val="auto"/>
                      <w:sz w:val="18"/>
                      <w:szCs w:val="18"/>
                    </w:rPr>
                    <w:t>条</w:t>
                  </w:r>
                  <w:r>
                    <w:rPr>
                      <w:rFonts w:hint="default" w:ascii="Times New Roman" w:hAnsi="Times New Roman" w:eastAsia="宋体" w:cs="Times New Roman"/>
                      <w:color w:val="auto"/>
                      <w:sz w:val="18"/>
                      <w:szCs w:val="18"/>
                    </w:rPr>
                    <w:t xml:space="preserve">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1A735CF1">
                  <w:pPr>
                    <w:keepNext w:val="0"/>
                    <w:keepLines w:val="0"/>
                    <w:pageBreakBefore w:val="0"/>
                    <w:widowControl w:val="0"/>
                    <w:suppressLineNumbers w:val="0"/>
                    <w:suppressAutoHyphens/>
                    <w:kinsoku/>
                    <w:wordWrap/>
                    <w:overflowPunct/>
                    <w:topLinePunct w:val="0"/>
                    <w:bidi w:val="0"/>
                    <w:adjustRightInd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项目</w:t>
                  </w:r>
                  <w:r>
                    <w:rPr>
                      <w:rFonts w:hint="eastAsia" w:ascii="Times New Roman" w:hAnsi="Times New Roman" w:cs="Times New Roman"/>
                      <w:color w:val="auto"/>
                      <w:sz w:val="18"/>
                      <w:szCs w:val="18"/>
                      <w:lang w:eastAsia="zh-CN"/>
                    </w:rPr>
                    <w:t>不涉及占用河流湖泊岸线</w:t>
                  </w:r>
                  <w:r>
                    <w:rPr>
                      <w:rFonts w:hint="default" w:ascii="Times New Roman" w:hAnsi="Times New Roman" w:eastAsia="宋体" w:cs="Times New Roman"/>
                      <w:color w:val="auto"/>
                      <w:sz w:val="18"/>
                      <w:szCs w:val="18"/>
                      <w:lang w:eastAsia="zh-CN"/>
                    </w:rPr>
                    <w:t>。</w:t>
                  </w:r>
                </w:p>
              </w:tc>
              <w:tc>
                <w:tcPr>
                  <w:tcW w:w="398" w:type="pct"/>
                  <w:tcBorders>
                    <w:left w:val="single" w:color="auto" w:sz="4" w:space="0"/>
                    <w:bottom w:val="single" w:color="auto" w:sz="4" w:space="0"/>
                    <w:right w:val="single" w:color="auto" w:sz="4" w:space="0"/>
                  </w:tcBorders>
                  <w:noWrap w:val="0"/>
                  <w:vAlign w:val="center"/>
                </w:tcPr>
                <w:p w14:paraId="63B112C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符合</w:t>
                  </w:r>
                </w:p>
              </w:tc>
            </w:tr>
            <w:tr w14:paraId="081D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14:paraId="76D4371E">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cs="Times New Roman"/>
                      <w:color w:val="auto"/>
                      <w:kern w:val="2"/>
                      <w:sz w:val="18"/>
                      <w:szCs w:val="18"/>
                      <w:lang w:val="en-US" w:eastAsia="zh-CN" w:bidi="ar"/>
                    </w:rPr>
                    <w:t>单元</w:t>
                  </w:r>
                  <w:r>
                    <w:rPr>
                      <w:rFonts w:hint="default" w:ascii="Times New Roman" w:hAnsi="Times New Roman" w:eastAsia="宋体" w:cs="Times New Roman"/>
                      <w:color w:val="auto"/>
                      <w:kern w:val="2"/>
                      <w:sz w:val="18"/>
                      <w:szCs w:val="18"/>
                      <w:lang w:val="en-US" w:eastAsia="zh-CN" w:bidi="ar"/>
                    </w:rPr>
                    <w:t>管控要求</w:t>
                  </w:r>
                </w:p>
              </w:tc>
              <w:tc>
                <w:tcPr>
                  <w:tcW w:w="406" w:type="pct"/>
                  <w:tcBorders>
                    <w:top w:val="single" w:color="auto" w:sz="4" w:space="0"/>
                    <w:left w:val="single" w:color="auto" w:sz="4" w:space="0"/>
                    <w:bottom w:val="single" w:color="auto" w:sz="4" w:space="0"/>
                    <w:right w:val="single" w:color="auto" w:sz="4" w:space="0"/>
                  </w:tcBorders>
                  <w:noWrap w:val="0"/>
                  <w:vAlign w:val="center"/>
                </w:tcPr>
                <w:p w14:paraId="3F7760FC">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空间布局约束</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08BA2B69">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1.紧邻居住用地、学校等保护目标的工业用地后续不宜布局高噪声以及涉及喷涂、铸造、屠宰、发酵等异味较大或其他易扰民的工业项目。</w:t>
                  </w:r>
                </w:p>
                <w:p w14:paraId="6B3A47D5">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2.医药健康产业禁止新建、扩建化学原料药生产项目。</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779FD912">
                  <w:pPr>
                    <w:spacing w:line="240" w:lineRule="auto"/>
                    <w:ind w:left="0" w:leftChars="0" w:right="0" w:rightChars="0"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项目</w:t>
                  </w:r>
                  <w:r>
                    <w:rPr>
                      <w:rFonts w:hint="eastAsia" w:ascii="Times New Roman" w:hAnsi="Times New Roman" w:cs="Times New Roman"/>
                      <w:color w:val="auto"/>
                      <w:kern w:val="2"/>
                      <w:sz w:val="18"/>
                      <w:szCs w:val="18"/>
                      <w:lang w:val="en-US" w:eastAsia="zh-CN" w:bidi="ar-SA"/>
                    </w:rPr>
                    <w:t>不属于高噪声项目，且项目</w:t>
                  </w:r>
                  <w:r>
                    <w:rPr>
                      <w:rFonts w:hint="eastAsia" w:cs="Times New Roman"/>
                      <w:color w:val="auto"/>
                      <w:kern w:val="2"/>
                      <w:sz w:val="18"/>
                      <w:szCs w:val="18"/>
                      <w:lang w:val="en-US" w:eastAsia="zh-CN" w:bidi="ar-SA"/>
                    </w:rPr>
                    <w:t>行业类别为C3670汽车零部件及配件制造、C2929塑料零件及其他塑料制品制造</w:t>
                  </w:r>
                  <w:r>
                    <w:rPr>
                      <w:rFonts w:hint="eastAsia" w:ascii="Times New Roman" w:hAnsi="Times New Roman" w:cs="Times New Roman"/>
                      <w:color w:val="auto"/>
                      <w:kern w:val="2"/>
                      <w:sz w:val="18"/>
                      <w:szCs w:val="18"/>
                      <w:lang w:val="en-US" w:eastAsia="zh-CN" w:bidi="ar-SA"/>
                    </w:rPr>
                    <w:t>，不属于喷涂、铸造、屠宰、发酵等工业项目，不属于医药健康产业。</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6628EB7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761F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6C5D160F">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tcBorders>
                    <w:top w:val="single" w:color="auto" w:sz="4" w:space="0"/>
                    <w:left w:val="single" w:color="auto" w:sz="4" w:space="0"/>
                    <w:bottom w:val="single" w:color="auto" w:sz="4" w:space="0"/>
                    <w:right w:val="single" w:color="auto" w:sz="4" w:space="0"/>
                  </w:tcBorders>
                  <w:noWrap w:val="0"/>
                  <w:vAlign w:val="center"/>
                </w:tcPr>
                <w:p w14:paraId="3B0980B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污染物排放管控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09CFC673">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w:t>
                  </w:r>
                  <w:r>
                    <w:rPr>
                      <w:rFonts w:hint="eastAsia" w:ascii="Times New Roman" w:hAnsi="Times New Roman"/>
                      <w:color w:val="auto"/>
                      <w:kern w:val="0"/>
                      <w:sz w:val="18"/>
                      <w:szCs w:val="18"/>
                    </w:rPr>
                    <w:t>持续推进台泥水泥、金九建材超低排放改造，鼓励玻璃制品等行业在已达标的基础上深度治理，并持续实行水泥行业错峰生产。</w:t>
                  </w:r>
                </w:p>
                <w:p w14:paraId="777E88DA">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w:t>
                  </w:r>
                  <w:r>
                    <w:rPr>
                      <w:rFonts w:hint="eastAsia" w:ascii="Times New Roman" w:hAnsi="Times New Roman"/>
                      <w:color w:val="auto"/>
                      <w:kern w:val="0"/>
                      <w:sz w:val="18"/>
                      <w:szCs w:val="18"/>
                    </w:rPr>
                    <w:t>优先选择化石能源替代、原料工艺优化、产业结构升级等源头治理措施实现污染物和温室气体协同减排</w:t>
                  </w:r>
                  <w:r>
                    <w:rPr>
                      <w:rFonts w:hint="default" w:ascii="Times New Roman" w:hAnsi="Times New Roman" w:eastAsia="宋体" w:cs="Times New Roman"/>
                      <w:color w:val="auto"/>
                      <w:kern w:val="2"/>
                      <w:sz w:val="18"/>
                      <w:szCs w:val="18"/>
                      <w:lang w:val="en-US" w:eastAsia="zh-CN" w:bidi="ar-SA"/>
                    </w:rPr>
                    <w:t>。</w:t>
                  </w:r>
                </w:p>
                <w:p w14:paraId="77A85558">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w:t>
                  </w:r>
                  <w:r>
                    <w:rPr>
                      <w:rFonts w:hint="eastAsia" w:ascii="Times New Roman" w:hAnsi="Times New Roman"/>
                      <w:color w:val="auto"/>
                      <w:kern w:val="0"/>
                      <w:sz w:val="18"/>
                      <w:szCs w:val="18"/>
                    </w:rPr>
                    <w:t>开展工业园区污水处理设施建设及配套污水管网排查整治。加快实施园区管网混错接改造、管网更新、破损修复改造等，推动园区生产废水应纳尽纳。排放工业废水的企业应当采取有效措施，收集和处理产生的全部废水，防止污染环境。含有毒有害水污染物的工业废水应当分类收集和处理，不得稀释排放</w:t>
                  </w:r>
                  <w:r>
                    <w:rPr>
                      <w:rFonts w:hint="default" w:ascii="Times New Roman" w:hAnsi="Times New Roman" w:eastAsia="宋体" w:cs="Times New Roman"/>
                      <w:color w:val="auto"/>
                      <w:kern w:val="2"/>
                      <w:sz w:val="18"/>
                      <w:szCs w:val="18"/>
                      <w:lang w:val="en-US" w:eastAsia="zh-CN" w:bidi="ar-SA"/>
                    </w:rPr>
                    <w:t>。</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0AB22C01">
                  <w:pPr>
                    <w:spacing w:line="240" w:lineRule="auto"/>
                    <w:ind w:left="0" w:leftChars="0" w:right="0" w:rightChars="0"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项目</w:t>
                  </w:r>
                  <w:r>
                    <w:rPr>
                      <w:rFonts w:hint="eastAsia" w:ascii="Times New Roman" w:hAnsi="Times New Roman" w:cs="Times New Roman"/>
                      <w:color w:val="auto"/>
                      <w:kern w:val="0"/>
                      <w:sz w:val="18"/>
                      <w:szCs w:val="18"/>
                      <w:lang w:val="en-US" w:eastAsia="zh-CN" w:bidi="ar"/>
                    </w:rPr>
                    <w:t>污废水经</w:t>
                  </w:r>
                  <w:r>
                    <w:rPr>
                      <w:rFonts w:hint="eastAsia" w:cs="Times New Roman"/>
                      <w:color w:val="auto"/>
                      <w:kern w:val="0"/>
                      <w:sz w:val="18"/>
                      <w:szCs w:val="18"/>
                      <w:lang w:val="en-US" w:eastAsia="zh-CN" w:bidi="ar"/>
                    </w:rPr>
                    <w:t>重庆三花门业现有生化池</w:t>
                  </w:r>
                  <w:r>
                    <w:rPr>
                      <w:rFonts w:hint="eastAsia" w:ascii="Times New Roman" w:hAnsi="Times New Roman" w:cs="Times New Roman"/>
                      <w:color w:val="auto"/>
                      <w:kern w:val="0"/>
                      <w:sz w:val="18"/>
                      <w:szCs w:val="18"/>
                      <w:lang w:val="en-US" w:eastAsia="zh-CN" w:bidi="ar"/>
                    </w:rPr>
                    <w:t>处理达标后排入南溪组团A区污水处理厂处理后达标排放；不涉及有毒有害水污染物的工业废水排放</w:t>
                  </w:r>
                  <w:r>
                    <w:rPr>
                      <w:rFonts w:hint="eastAsia" w:ascii="Times New Roman" w:hAnsi="Times New Roman" w:eastAsia="宋体" w:cs="Times New Roman"/>
                      <w:color w:val="auto"/>
                      <w:kern w:val="2"/>
                      <w:sz w:val="18"/>
                      <w:szCs w:val="18"/>
                      <w:lang w:val="en-US" w:eastAsia="zh-CN" w:bidi="ar-SA"/>
                    </w:rPr>
                    <w:t>。</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57D72C5B">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符合</w:t>
                  </w:r>
                </w:p>
              </w:tc>
            </w:tr>
            <w:tr w14:paraId="63EB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7966702B">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tcBorders>
                    <w:top w:val="single" w:color="auto" w:sz="4" w:space="0"/>
                    <w:left w:val="single" w:color="auto" w:sz="4" w:space="0"/>
                    <w:bottom w:val="single" w:color="auto" w:sz="4" w:space="0"/>
                    <w:right w:val="single" w:color="auto" w:sz="4" w:space="0"/>
                  </w:tcBorders>
                  <w:noWrap w:val="0"/>
                  <w:vAlign w:val="center"/>
                </w:tcPr>
                <w:p w14:paraId="6F3DD269">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环境风险防控</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34E23F3F">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30D674A1">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7CE2286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72E3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714C3160">
                  <w:pPr>
                    <w:keepNext w:val="0"/>
                    <w:keepLines w:val="0"/>
                    <w:pageBreakBefore w:val="0"/>
                    <w:kinsoku/>
                    <w:wordWrap/>
                    <w:overflowPunct/>
                    <w:topLinePunct w:val="0"/>
                    <w:bidi w:val="0"/>
                    <w:ind w:left="-57" w:right="-57"/>
                    <w:textAlignment w:val="auto"/>
                    <w:rPr>
                      <w:rFonts w:hint="default" w:ascii="Times New Roman" w:hAnsi="Times New Roman" w:eastAsia="宋体" w:cs="Times New Roman"/>
                      <w:color w:val="auto"/>
                      <w:kern w:val="2"/>
                      <w:sz w:val="18"/>
                      <w:szCs w:val="18"/>
                    </w:rPr>
                  </w:pPr>
                </w:p>
              </w:tc>
              <w:tc>
                <w:tcPr>
                  <w:tcW w:w="406" w:type="pct"/>
                  <w:tcBorders>
                    <w:top w:val="single" w:color="auto" w:sz="4" w:space="0"/>
                    <w:left w:val="single" w:color="auto" w:sz="4" w:space="0"/>
                    <w:bottom w:val="single" w:color="auto" w:sz="4" w:space="0"/>
                    <w:right w:val="single" w:color="auto" w:sz="4" w:space="0"/>
                  </w:tcBorders>
                  <w:noWrap w:val="0"/>
                  <w:vAlign w:val="center"/>
                </w:tcPr>
                <w:p w14:paraId="2DD42B56">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right="-57"/>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资源开发利用效率</w:t>
                  </w:r>
                </w:p>
              </w:tc>
              <w:tc>
                <w:tcPr>
                  <w:tcW w:w="2765" w:type="pct"/>
                  <w:gridSpan w:val="2"/>
                  <w:tcBorders>
                    <w:top w:val="single" w:color="auto" w:sz="4" w:space="0"/>
                    <w:left w:val="single" w:color="auto" w:sz="4" w:space="0"/>
                    <w:bottom w:val="single" w:color="auto" w:sz="4" w:space="0"/>
                    <w:right w:val="single" w:color="auto" w:sz="4" w:space="0"/>
                  </w:tcBorders>
                  <w:noWrap w:val="0"/>
                  <w:vAlign w:val="center"/>
                </w:tcPr>
                <w:p w14:paraId="4197315C">
                  <w:pPr>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1.新建、扩建</w:t>
                  </w:r>
                  <w:r>
                    <w:rPr>
                      <w:rFonts w:hint="eastAsia" w:ascii="宋体" w:hAnsi="宋体" w:eastAsia="宋体" w:cs="宋体"/>
                      <w:color w:val="auto"/>
                      <w:kern w:val="2"/>
                      <w:sz w:val="18"/>
                      <w:szCs w:val="18"/>
                      <w:lang w:val="en-US" w:eastAsia="zh-CN" w:bidi="ar-SA"/>
                    </w:rPr>
                    <w:t>“两高”项</w:t>
                  </w:r>
                  <w:r>
                    <w:rPr>
                      <w:rFonts w:hint="default" w:ascii="Times New Roman" w:hAnsi="Times New Roman" w:eastAsia="宋体" w:cs="Times New Roman"/>
                      <w:color w:val="auto"/>
                      <w:kern w:val="2"/>
                      <w:sz w:val="18"/>
                      <w:szCs w:val="18"/>
                      <w:lang w:val="en-US" w:eastAsia="zh-CN" w:bidi="ar-SA"/>
                    </w:rPr>
                    <w:t>目应采用先进适用的工艺技术和装备，单位产品物耗、能耗、水耗、污染物排放等达到清洁生产先进水平</w:t>
                  </w:r>
                  <w:r>
                    <w:rPr>
                      <w:rFonts w:hint="eastAsia" w:ascii="Times New Roman" w:hAnsi="Times New Roman" w:cs="Times New Roman"/>
                      <w:color w:val="auto"/>
                      <w:kern w:val="2"/>
                      <w:sz w:val="18"/>
                      <w:szCs w:val="18"/>
                      <w:lang w:val="en-US" w:eastAsia="zh-CN" w:bidi="ar-SA"/>
                    </w:rPr>
                    <w:t>。</w:t>
                  </w:r>
                </w:p>
              </w:tc>
              <w:tc>
                <w:tcPr>
                  <w:tcW w:w="991" w:type="pct"/>
                  <w:tcBorders>
                    <w:top w:val="single" w:color="auto" w:sz="4" w:space="0"/>
                    <w:left w:val="single" w:color="auto" w:sz="4" w:space="0"/>
                    <w:bottom w:val="single" w:color="auto" w:sz="4" w:space="0"/>
                    <w:right w:val="single" w:color="auto" w:sz="4" w:space="0"/>
                  </w:tcBorders>
                  <w:noWrap w:val="0"/>
                  <w:vAlign w:val="center"/>
                </w:tcPr>
                <w:p w14:paraId="22A979B3">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项目不属于“两高”行业，清洁生产水平不低于国家清洁生产标准的国内先进水平。</w:t>
                  </w:r>
                </w:p>
              </w:tc>
              <w:tc>
                <w:tcPr>
                  <w:tcW w:w="398" w:type="pct"/>
                  <w:tcBorders>
                    <w:top w:val="single" w:color="auto" w:sz="4" w:space="0"/>
                    <w:left w:val="single" w:color="auto" w:sz="4" w:space="0"/>
                    <w:bottom w:val="single" w:color="auto" w:sz="4" w:space="0"/>
                    <w:right w:val="single" w:color="auto" w:sz="4" w:space="0"/>
                  </w:tcBorders>
                  <w:noWrap w:val="0"/>
                  <w:vAlign w:val="center"/>
                </w:tcPr>
                <w:p w14:paraId="1F67B084">
                  <w:pPr>
                    <w:keepNext w:val="0"/>
                    <w:keepLines w:val="0"/>
                    <w:pageBreakBefore w:val="0"/>
                    <w:widowControl w:val="0"/>
                    <w:suppressLineNumbers w:val="0"/>
                    <w:suppressAutoHyphens/>
                    <w:kinsoku/>
                    <w:wordWrap/>
                    <w:overflowPunct/>
                    <w:topLinePunct w:val="0"/>
                    <w:bidi w:val="0"/>
                    <w:snapToGrid w:val="0"/>
                    <w:spacing w:before="0" w:beforeAutospacing="0" w:after="0" w:afterAutospacing="0"/>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符合</w:t>
                  </w:r>
                </w:p>
              </w:tc>
            </w:tr>
          </w:tbl>
          <w:p w14:paraId="3F77D1A9">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二、</w:t>
            </w:r>
            <w:r>
              <w:rPr>
                <w:rFonts w:hint="default" w:ascii="Times New Roman" w:hAnsi="Times New Roman" w:eastAsia="宋体" w:cs="Times New Roman"/>
                <w:b/>
                <w:bCs/>
                <w:color w:val="auto"/>
              </w:rPr>
              <w:t>与《四川省、重庆市长江经济带发展负面清单实施细则》符合性分析</w:t>
            </w:r>
          </w:p>
          <w:p w14:paraId="19E499D4">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本项目与《四川省、重庆市长江经济带发展负面清单实施细则》（川长江办〔2022〕17号）的符合性</w:t>
            </w:r>
            <w:r>
              <w:rPr>
                <w:rFonts w:hint="eastAsia" w:cs="Times New Roman"/>
                <w:color w:val="auto"/>
                <w:lang w:val="en-US" w:eastAsia="zh-CN"/>
              </w:rPr>
              <w:t>分析详</w:t>
            </w:r>
            <w:r>
              <w:rPr>
                <w:rFonts w:hint="default" w:ascii="Times New Roman" w:hAnsi="Times New Roman" w:eastAsia="宋体" w:cs="Times New Roman"/>
                <w:color w:val="auto"/>
              </w:rPr>
              <w:t>见下表。</w:t>
            </w:r>
          </w:p>
          <w:p w14:paraId="76CB202E">
            <w:pPr>
              <w:pStyle w:val="5"/>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 xml:space="preserve">1-5 </w:t>
            </w:r>
            <w:r>
              <w:rPr>
                <w:rFonts w:hint="default" w:ascii="Times New Roman" w:hAnsi="Times New Roman" w:eastAsia="宋体" w:cs="Times New Roman"/>
                <w:color w:val="auto"/>
              </w:rPr>
              <w:t xml:space="preserve"> 《四川省、重庆市长江经济带发展负面清单实施细则》符合性分析表</w:t>
            </w:r>
          </w:p>
          <w:tbl>
            <w:tblPr>
              <w:tblStyle w:val="30"/>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5676"/>
              <w:gridCol w:w="1638"/>
              <w:gridCol w:w="408"/>
            </w:tblGrid>
            <w:tr w14:paraId="5409E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1FEA3BFE">
                  <w:pPr>
                    <w:pStyle w:val="112"/>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3489" w:type="pct"/>
                  <w:tcBorders>
                    <w:tl2br w:val="nil"/>
                    <w:tr2bl w:val="nil"/>
                  </w:tcBorders>
                  <w:noWrap w:val="0"/>
                  <w:vAlign w:val="center"/>
                </w:tcPr>
                <w:p w14:paraId="46C6A2D0">
                  <w:pPr>
                    <w:pStyle w:val="112"/>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政策要求</w:t>
                  </w:r>
                </w:p>
              </w:tc>
              <w:tc>
                <w:tcPr>
                  <w:tcW w:w="1007" w:type="pct"/>
                  <w:tcBorders>
                    <w:tl2br w:val="nil"/>
                    <w:tr2bl w:val="nil"/>
                  </w:tcBorders>
                  <w:noWrap w:val="0"/>
                  <w:vAlign w:val="center"/>
                </w:tcPr>
                <w:p w14:paraId="5CC1EF7C">
                  <w:pPr>
                    <w:pStyle w:val="112"/>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项目情况</w:t>
                  </w:r>
                </w:p>
              </w:tc>
              <w:tc>
                <w:tcPr>
                  <w:tcW w:w="251" w:type="pct"/>
                  <w:tcBorders>
                    <w:tl2br w:val="nil"/>
                    <w:tr2bl w:val="nil"/>
                  </w:tcBorders>
                  <w:noWrap w:val="0"/>
                  <w:vAlign w:val="center"/>
                </w:tcPr>
                <w:p w14:paraId="34E8B5D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4BD99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1E24133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3489" w:type="pct"/>
                  <w:tcBorders>
                    <w:tl2br w:val="nil"/>
                    <w:tr2bl w:val="nil"/>
                  </w:tcBorders>
                  <w:noWrap w:val="0"/>
                  <w:vAlign w:val="center"/>
                </w:tcPr>
                <w:p w14:paraId="408D840D">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禁止建设不符合全国和省级港口布局规划以及港口总体规划的码头项目，禁止建设不符合《长江干线过江通道布局规划》的过长江通道项目。</w:t>
                  </w:r>
                </w:p>
              </w:tc>
              <w:tc>
                <w:tcPr>
                  <w:tcW w:w="1007" w:type="pct"/>
                  <w:vMerge w:val="restart"/>
                  <w:tcBorders>
                    <w:tl2br w:val="nil"/>
                    <w:tr2bl w:val="nil"/>
                  </w:tcBorders>
                  <w:noWrap w:val="0"/>
                  <w:vAlign w:val="center"/>
                </w:tcPr>
                <w:p w14:paraId="0354F1B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本项目不属于码头项目</w:t>
                  </w:r>
                </w:p>
              </w:tc>
              <w:tc>
                <w:tcPr>
                  <w:tcW w:w="251" w:type="pct"/>
                  <w:tcBorders>
                    <w:tl2br w:val="nil"/>
                    <w:tr2bl w:val="nil"/>
                  </w:tcBorders>
                  <w:noWrap w:val="0"/>
                  <w:vAlign w:val="center"/>
                </w:tcPr>
                <w:p w14:paraId="05A555C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EA29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77F1966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3489" w:type="pct"/>
                  <w:tcBorders>
                    <w:tl2br w:val="nil"/>
                    <w:tr2bl w:val="nil"/>
                  </w:tcBorders>
                  <w:noWrap w:val="0"/>
                  <w:vAlign w:val="center"/>
                </w:tcPr>
                <w:p w14:paraId="7198DFB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tc>
              <w:tc>
                <w:tcPr>
                  <w:tcW w:w="1007" w:type="pct"/>
                  <w:vMerge w:val="continue"/>
                  <w:tcBorders>
                    <w:tl2br w:val="nil"/>
                    <w:tr2bl w:val="nil"/>
                  </w:tcBorders>
                  <w:noWrap w:val="0"/>
                  <w:vAlign w:val="center"/>
                </w:tcPr>
                <w:p w14:paraId="0048B379">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43896BC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3E009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16101DE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3489" w:type="pct"/>
                  <w:tcBorders>
                    <w:tl2br w:val="nil"/>
                    <w:tr2bl w:val="nil"/>
                  </w:tcBorders>
                  <w:noWrap w:val="0"/>
                  <w:vAlign w:val="center"/>
                </w:tcPr>
                <w:p w14:paraId="27D3F9C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禁止新建、改建和扩建不符合《长江干线过江通道布局规划（2020—2035年）》的过长江通道项目（含桥梁、隧道），国家发展改革委同意过长江通道线位调整的除外。</w:t>
                  </w:r>
                </w:p>
              </w:tc>
              <w:tc>
                <w:tcPr>
                  <w:tcW w:w="1007" w:type="pct"/>
                  <w:vMerge w:val="continue"/>
                  <w:tcBorders>
                    <w:tl2br w:val="nil"/>
                    <w:tr2bl w:val="nil"/>
                  </w:tcBorders>
                  <w:noWrap w:val="0"/>
                  <w:vAlign w:val="center"/>
                </w:tcPr>
                <w:p w14:paraId="08F54C4D">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4EB56A3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F5B5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572F23C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3489" w:type="pct"/>
                  <w:tcBorders>
                    <w:tl2br w:val="nil"/>
                    <w:tr2bl w:val="nil"/>
                  </w:tcBorders>
                  <w:noWrap w:val="0"/>
                  <w:vAlign w:val="center"/>
                </w:tcPr>
                <w:p w14:paraId="70638B8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禁止在自然保护区核心区、缓冲区的岸线和河段范围内投资建设旅游和生产经营项目。禁止在风景名胜区核心景区的岸线和河段范围内投资建设与风景名胜资源保护无关的项目。</w:t>
                  </w:r>
                </w:p>
              </w:tc>
              <w:tc>
                <w:tcPr>
                  <w:tcW w:w="1007" w:type="pct"/>
                  <w:vMerge w:val="restart"/>
                  <w:tcBorders>
                    <w:tl2br w:val="nil"/>
                    <w:tr2bl w:val="nil"/>
                  </w:tcBorders>
                  <w:noWrap w:val="0"/>
                  <w:vAlign w:val="center"/>
                </w:tcPr>
                <w:p w14:paraId="53DB6E4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，不涉及自然保护区核心区、缓冲区的岸线和河段</w:t>
                  </w:r>
                </w:p>
              </w:tc>
              <w:tc>
                <w:tcPr>
                  <w:tcW w:w="251" w:type="pct"/>
                  <w:tcBorders>
                    <w:tl2br w:val="nil"/>
                    <w:tr2bl w:val="nil"/>
                  </w:tcBorders>
                  <w:noWrap w:val="0"/>
                  <w:vAlign w:val="center"/>
                </w:tcPr>
                <w:p w14:paraId="0215436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BDC9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1A2C1CC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3489" w:type="pct"/>
                  <w:tcBorders>
                    <w:tl2br w:val="nil"/>
                    <w:tr2bl w:val="nil"/>
                  </w:tcBorders>
                  <w:noWrap w:val="0"/>
                  <w:vAlign w:val="center"/>
                </w:tcPr>
                <w:p w14:paraId="373E165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禁止在自然保护区核心区、缓冲区的岸线和河段范围内投资建设旅游和生产经营项目。自然保护区的内部未分区的，依照本实施细则核心区和缓冲区的规定管控。</w:t>
                  </w:r>
                </w:p>
              </w:tc>
              <w:tc>
                <w:tcPr>
                  <w:tcW w:w="1007" w:type="pct"/>
                  <w:vMerge w:val="continue"/>
                  <w:tcBorders>
                    <w:tl2br w:val="nil"/>
                    <w:tr2bl w:val="nil"/>
                  </w:tcBorders>
                  <w:noWrap w:val="0"/>
                  <w:vAlign w:val="center"/>
                </w:tcPr>
                <w:p w14:paraId="2F41BA0E">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2A31598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F3A7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02B1C5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3489" w:type="pct"/>
                  <w:tcBorders>
                    <w:tl2br w:val="nil"/>
                    <w:tr2bl w:val="nil"/>
                  </w:tcBorders>
                  <w:noWrap w:val="0"/>
                  <w:vAlign w:val="center"/>
                </w:tcPr>
                <w:p w14:paraId="7954D81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禁止违反风景名胜区规划，在风景名胜区内设立各类开发区。禁止在风景名胜区核心景区的岸线和河段范围内建设宾馆、招待所、培训中心、疗养院以及与风景名胜资源保护无关的项目。</w:t>
                  </w:r>
                </w:p>
              </w:tc>
              <w:tc>
                <w:tcPr>
                  <w:tcW w:w="1007" w:type="pct"/>
                  <w:tcBorders>
                    <w:tl2br w:val="nil"/>
                    <w:tr2bl w:val="nil"/>
                  </w:tcBorders>
                  <w:noWrap w:val="0"/>
                  <w:vAlign w:val="center"/>
                </w:tcPr>
                <w:p w14:paraId="76350F8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，不涉及风景名胜区</w:t>
                  </w:r>
                </w:p>
              </w:tc>
              <w:tc>
                <w:tcPr>
                  <w:tcW w:w="251" w:type="pct"/>
                  <w:tcBorders>
                    <w:tl2br w:val="nil"/>
                    <w:tr2bl w:val="nil"/>
                  </w:tcBorders>
                  <w:noWrap w:val="0"/>
                  <w:vAlign w:val="center"/>
                </w:tcPr>
                <w:p w14:paraId="4509FFC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8278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7EBC434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3489" w:type="pct"/>
                  <w:tcBorders>
                    <w:tl2br w:val="nil"/>
                    <w:tr2bl w:val="nil"/>
                  </w:tcBorders>
                  <w:noWrap w:val="0"/>
                  <w:vAlign w:val="center"/>
                </w:tcPr>
                <w:p w14:paraId="1635EE0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07" w:type="pct"/>
                  <w:vMerge w:val="restart"/>
                  <w:tcBorders>
                    <w:tl2br w:val="nil"/>
                    <w:tr2bl w:val="nil"/>
                  </w:tcBorders>
                  <w:noWrap w:val="0"/>
                  <w:vAlign w:val="center"/>
                </w:tcPr>
                <w:p w14:paraId="5FBC58E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，不涉及饮用水水源保护区</w:t>
                  </w:r>
                </w:p>
              </w:tc>
              <w:tc>
                <w:tcPr>
                  <w:tcW w:w="251" w:type="pct"/>
                  <w:tcBorders>
                    <w:tl2br w:val="nil"/>
                    <w:tr2bl w:val="nil"/>
                  </w:tcBorders>
                  <w:noWrap w:val="0"/>
                  <w:vAlign w:val="center"/>
                </w:tcPr>
                <w:p w14:paraId="04A536BD">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1C5A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E95D2A6">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3489" w:type="pct"/>
                  <w:tcBorders>
                    <w:tl2br w:val="nil"/>
                    <w:tr2bl w:val="nil"/>
                  </w:tcBorders>
                  <w:noWrap w:val="0"/>
                  <w:vAlign w:val="center"/>
                </w:tcPr>
                <w:p w14:paraId="511793C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禁止在饮用水水源准保护区的岸线和河段范围内新建、扩建对水体污染严重的建设项目，禁止改建增加排污量的建设项目。</w:t>
                  </w:r>
                </w:p>
              </w:tc>
              <w:tc>
                <w:tcPr>
                  <w:tcW w:w="1007" w:type="pct"/>
                  <w:vMerge w:val="continue"/>
                  <w:tcBorders>
                    <w:tl2br w:val="nil"/>
                    <w:tr2bl w:val="nil"/>
                  </w:tcBorders>
                  <w:noWrap w:val="0"/>
                  <w:vAlign w:val="center"/>
                </w:tcPr>
                <w:p w14:paraId="2DCE57D1">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1AE3C94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0C79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88AD8F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3489" w:type="pct"/>
                  <w:tcBorders>
                    <w:tl2br w:val="nil"/>
                    <w:tr2bl w:val="nil"/>
                  </w:tcBorders>
                  <w:noWrap w:val="0"/>
                  <w:vAlign w:val="center"/>
                </w:tcPr>
                <w:p w14:paraId="46236F1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饮用水水源二级保护区的岸线和河段范围内，除应遵守准保护区规定外，禁止新建、改建、扩建排放污染物的投资建设项目；禁止从事采石（砂）、对水体有污染的水产养殖等活动。</w:t>
                  </w:r>
                </w:p>
              </w:tc>
              <w:tc>
                <w:tcPr>
                  <w:tcW w:w="1007" w:type="pct"/>
                  <w:vMerge w:val="continue"/>
                  <w:tcBorders>
                    <w:tl2br w:val="nil"/>
                    <w:tr2bl w:val="nil"/>
                  </w:tcBorders>
                  <w:noWrap w:val="0"/>
                  <w:vAlign w:val="center"/>
                </w:tcPr>
                <w:p w14:paraId="4F984AC9">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5EB43AD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AACB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75DC2B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3489" w:type="pct"/>
                  <w:tcBorders>
                    <w:tl2br w:val="nil"/>
                    <w:tr2bl w:val="nil"/>
                  </w:tcBorders>
                  <w:noWrap w:val="0"/>
                  <w:vAlign w:val="center"/>
                </w:tcPr>
                <w:p w14:paraId="32164A2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007" w:type="pct"/>
                  <w:vMerge w:val="continue"/>
                  <w:tcBorders>
                    <w:tl2br w:val="nil"/>
                    <w:tr2bl w:val="nil"/>
                  </w:tcBorders>
                  <w:noWrap w:val="0"/>
                  <w:vAlign w:val="center"/>
                </w:tcPr>
                <w:p w14:paraId="55B22289">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4986ADB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8574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37416AE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3489" w:type="pct"/>
                  <w:tcBorders>
                    <w:tl2br w:val="nil"/>
                    <w:tr2bl w:val="nil"/>
                  </w:tcBorders>
                  <w:noWrap w:val="0"/>
                  <w:vAlign w:val="center"/>
                </w:tcPr>
                <w:p w14:paraId="00ED45B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07" w:type="pct"/>
                  <w:vMerge w:val="restart"/>
                  <w:tcBorders>
                    <w:tl2br w:val="nil"/>
                    <w:tr2bl w:val="nil"/>
                  </w:tcBorders>
                  <w:noWrap w:val="0"/>
                  <w:vAlign w:val="center"/>
                </w:tcPr>
                <w:p w14:paraId="2B1450A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，不涉及水产种质资源保护区</w:t>
                  </w:r>
                </w:p>
              </w:tc>
              <w:tc>
                <w:tcPr>
                  <w:tcW w:w="251" w:type="pct"/>
                  <w:tcBorders>
                    <w:tl2br w:val="nil"/>
                    <w:tr2bl w:val="nil"/>
                  </w:tcBorders>
                  <w:noWrap w:val="0"/>
                  <w:vAlign w:val="center"/>
                </w:tcPr>
                <w:p w14:paraId="2ACA221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7746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6AD4A3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489" w:type="pct"/>
                  <w:tcBorders>
                    <w:tl2br w:val="nil"/>
                    <w:tr2bl w:val="nil"/>
                  </w:tcBorders>
                  <w:noWrap w:val="0"/>
                  <w:vAlign w:val="center"/>
                </w:tcPr>
                <w:p w14:paraId="12777A2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禁止在水产种质资源保护区岸线和河段范围内新建围湖造田、围湖造地或挖沙采石等投资建设项目。</w:t>
                  </w:r>
                </w:p>
              </w:tc>
              <w:tc>
                <w:tcPr>
                  <w:tcW w:w="1007" w:type="pct"/>
                  <w:vMerge w:val="continue"/>
                  <w:tcBorders>
                    <w:tl2br w:val="nil"/>
                    <w:tr2bl w:val="nil"/>
                  </w:tcBorders>
                  <w:noWrap w:val="0"/>
                  <w:vAlign w:val="center"/>
                </w:tcPr>
                <w:p w14:paraId="40A13FFD">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5E9312F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317A7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C368FB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3489" w:type="pct"/>
                  <w:tcBorders>
                    <w:tl2br w:val="nil"/>
                    <w:tr2bl w:val="nil"/>
                  </w:tcBorders>
                  <w:noWrap w:val="0"/>
                  <w:vAlign w:val="center"/>
                </w:tcPr>
                <w:p w14:paraId="09631EA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07" w:type="pct"/>
                  <w:tcBorders>
                    <w:tl2br w:val="nil"/>
                    <w:tr2bl w:val="nil"/>
                  </w:tcBorders>
                  <w:noWrap w:val="0"/>
                  <w:vAlign w:val="center"/>
                </w:tcPr>
                <w:p w14:paraId="4DE0F54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，不涉及国家湿地公园</w:t>
                  </w:r>
                </w:p>
              </w:tc>
              <w:tc>
                <w:tcPr>
                  <w:tcW w:w="251" w:type="pct"/>
                  <w:tcBorders>
                    <w:tl2br w:val="nil"/>
                    <w:tr2bl w:val="nil"/>
                  </w:tcBorders>
                  <w:noWrap w:val="0"/>
                  <w:vAlign w:val="center"/>
                </w:tcPr>
                <w:p w14:paraId="3F3C54E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49B9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0569EB2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3489" w:type="pct"/>
                  <w:tcBorders>
                    <w:tl2br w:val="nil"/>
                    <w:tr2bl w:val="nil"/>
                  </w:tcBorders>
                  <w:noWrap w:val="0"/>
                  <w:vAlign w:val="center"/>
                </w:tcPr>
                <w:p w14:paraId="207FD48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07" w:type="pct"/>
                  <w:vMerge w:val="restart"/>
                  <w:tcBorders>
                    <w:tl2br w:val="nil"/>
                    <w:tr2bl w:val="nil"/>
                  </w:tcBorders>
                  <w:noWrap w:val="0"/>
                  <w:vAlign w:val="center"/>
                </w:tcPr>
                <w:p w14:paraId="792648A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，不占用利用、占用长江流域河湖岸线</w:t>
                  </w:r>
                </w:p>
              </w:tc>
              <w:tc>
                <w:tcPr>
                  <w:tcW w:w="251" w:type="pct"/>
                  <w:tcBorders>
                    <w:tl2br w:val="nil"/>
                    <w:tr2bl w:val="nil"/>
                  </w:tcBorders>
                  <w:noWrap w:val="0"/>
                  <w:vAlign w:val="center"/>
                </w:tcPr>
                <w:p w14:paraId="4EC37A3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C13C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03C243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3489" w:type="pct"/>
                  <w:tcBorders>
                    <w:tl2br w:val="nil"/>
                    <w:tr2bl w:val="nil"/>
                  </w:tcBorders>
                  <w:noWrap w:val="0"/>
                  <w:vAlign w:val="center"/>
                </w:tcPr>
                <w:p w14:paraId="4027B38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07" w:type="pct"/>
                  <w:vMerge w:val="continue"/>
                  <w:tcBorders>
                    <w:tl2br w:val="nil"/>
                    <w:tr2bl w:val="nil"/>
                  </w:tcBorders>
                  <w:noWrap w:val="0"/>
                  <w:vAlign w:val="center"/>
                </w:tcPr>
                <w:p w14:paraId="07651001">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30B26F8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7A6B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7BC18B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3489" w:type="pct"/>
                  <w:tcBorders>
                    <w:tl2br w:val="nil"/>
                    <w:tr2bl w:val="nil"/>
                  </w:tcBorders>
                  <w:noWrap w:val="0"/>
                  <w:vAlign w:val="center"/>
                </w:tcPr>
                <w:p w14:paraId="46B5CBB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禁止在《全国重要江河湖泊水功能区划》划定的河段及湖泊保护区、保留区内投资建设不利于水资源及自然生态保护的项目。</w:t>
                  </w:r>
                </w:p>
              </w:tc>
              <w:tc>
                <w:tcPr>
                  <w:tcW w:w="1007" w:type="pct"/>
                  <w:tcBorders>
                    <w:tl2br w:val="nil"/>
                    <w:tr2bl w:val="nil"/>
                  </w:tcBorders>
                  <w:noWrap w:val="0"/>
                  <w:vAlign w:val="center"/>
                </w:tcPr>
                <w:p w14:paraId="57D7F23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且</w:t>
                  </w:r>
                  <w:r>
                    <w:rPr>
                      <w:rFonts w:hint="default" w:ascii="Times New Roman" w:hAnsi="Times New Roman" w:eastAsia="宋体" w:cs="Times New Roman"/>
                      <w:color w:val="auto"/>
                      <w:sz w:val="18"/>
                      <w:szCs w:val="18"/>
                    </w:rPr>
                    <w:t>不属于不利于水资源及自然生态保护的项目。</w:t>
                  </w:r>
                </w:p>
              </w:tc>
              <w:tc>
                <w:tcPr>
                  <w:tcW w:w="251" w:type="pct"/>
                  <w:tcBorders>
                    <w:tl2br w:val="nil"/>
                    <w:tr2bl w:val="nil"/>
                  </w:tcBorders>
                  <w:noWrap w:val="0"/>
                  <w:vAlign w:val="center"/>
                </w:tcPr>
                <w:p w14:paraId="7FB583F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E616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3923090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3489" w:type="pct"/>
                  <w:tcBorders>
                    <w:tl2br w:val="nil"/>
                    <w:tr2bl w:val="nil"/>
                  </w:tcBorders>
                  <w:noWrap w:val="0"/>
                  <w:vAlign w:val="center"/>
                </w:tcPr>
                <w:p w14:paraId="5123912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禁止未经许可在长江干支流及湖泊新设、改设或扩大排污口。</w:t>
                  </w:r>
                </w:p>
              </w:tc>
              <w:tc>
                <w:tcPr>
                  <w:tcW w:w="1007" w:type="pct"/>
                  <w:vMerge w:val="restart"/>
                  <w:tcBorders>
                    <w:tl2br w:val="nil"/>
                    <w:tr2bl w:val="nil"/>
                  </w:tcBorders>
                  <w:noWrap w:val="0"/>
                  <w:vAlign w:val="center"/>
                </w:tcPr>
                <w:p w14:paraId="07D42C9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本项目生活污水</w:t>
                  </w:r>
                  <w:r>
                    <w:rPr>
                      <w:rFonts w:hint="default" w:ascii="Times New Roman" w:hAnsi="Times New Roman" w:eastAsia="宋体" w:cs="Times New Roman"/>
                      <w:color w:val="auto"/>
                      <w:sz w:val="18"/>
                      <w:szCs w:val="18"/>
                      <w:lang w:val="en-US" w:eastAsia="zh-CN"/>
                    </w:rPr>
                    <w:t>经</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处理后</w:t>
                  </w:r>
                  <w:r>
                    <w:rPr>
                      <w:rFonts w:hint="eastAsia" w:cs="Times New Roman"/>
                      <w:color w:val="auto"/>
                      <w:sz w:val="18"/>
                      <w:szCs w:val="18"/>
                      <w:lang w:val="en-US" w:eastAsia="zh-CN"/>
                    </w:rPr>
                    <w:t>达标</w:t>
                  </w:r>
                  <w:r>
                    <w:rPr>
                      <w:rFonts w:hint="default" w:ascii="Times New Roman" w:hAnsi="Times New Roman" w:eastAsia="宋体" w:cs="Times New Roman"/>
                      <w:color w:val="auto"/>
                      <w:sz w:val="18"/>
                      <w:szCs w:val="18"/>
                    </w:rPr>
                    <w:t>排放。</w:t>
                  </w:r>
                </w:p>
              </w:tc>
              <w:tc>
                <w:tcPr>
                  <w:tcW w:w="251" w:type="pct"/>
                  <w:tcBorders>
                    <w:tl2br w:val="nil"/>
                    <w:tr2bl w:val="nil"/>
                  </w:tcBorders>
                  <w:noWrap w:val="0"/>
                  <w:vAlign w:val="center"/>
                </w:tcPr>
                <w:p w14:paraId="7F8C9DC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18DA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30E272B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3489" w:type="pct"/>
                  <w:tcBorders>
                    <w:tl2br w:val="nil"/>
                    <w:tr2bl w:val="nil"/>
                  </w:tcBorders>
                  <w:noWrap w:val="0"/>
                  <w:vAlign w:val="center"/>
                </w:tcPr>
                <w:p w14:paraId="3F823AE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禁止在长江流域江河、湖泊新设、改设或者扩大排污口，经有管辖权的生态环境主管部门或者长江流域生态环境监督管理机构同意的除外。</w:t>
                  </w:r>
                </w:p>
              </w:tc>
              <w:tc>
                <w:tcPr>
                  <w:tcW w:w="1007" w:type="pct"/>
                  <w:vMerge w:val="continue"/>
                  <w:tcBorders>
                    <w:tl2br w:val="nil"/>
                    <w:tr2bl w:val="nil"/>
                  </w:tcBorders>
                  <w:noWrap w:val="0"/>
                  <w:vAlign w:val="center"/>
                </w:tcPr>
                <w:p w14:paraId="3BBC6B2E">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301EF56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F873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0FFFCBC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3489" w:type="pct"/>
                  <w:tcBorders>
                    <w:tl2br w:val="nil"/>
                    <w:tr2bl w:val="nil"/>
                  </w:tcBorders>
                  <w:noWrap w:val="0"/>
                  <w:vAlign w:val="center"/>
                </w:tcPr>
                <w:p w14:paraId="15ADD66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禁止在“一江一口两湖七河”和332个水生生物保护区开展生产性捕捞。</w:t>
                  </w:r>
                </w:p>
              </w:tc>
              <w:tc>
                <w:tcPr>
                  <w:tcW w:w="1007" w:type="pct"/>
                  <w:vMerge w:val="restart"/>
                  <w:tcBorders>
                    <w:tl2br w:val="nil"/>
                    <w:tr2bl w:val="nil"/>
                  </w:tcBorders>
                  <w:noWrap w:val="0"/>
                  <w:vAlign w:val="center"/>
                </w:tcPr>
                <w:p w14:paraId="7F8DD5D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w:t>
                  </w:r>
                </w:p>
              </w:tc>
              <w:tc>
                <w:tcPr>
                  <w:tcW w:w="251" w:type="pct"/>
                  <w:tcBorders>
                    <w:tl2br w:val="nil"/>
                    <w:tr2bl w:val="nil"/>
                  </w:tcBorders>
                  <w:noWrap w:val="0"/>
                  <w:vAlign w:val="center"/>
                </w:tcPr>
                <w:p w14:paraId="53A0194E">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765D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704B7E2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3489" w:type="pct"/>
                  <w:tcBorders>
                    <w:tl2br w:val="nil"/>
                    <w:tr2bl w:val="nil"/>
                  </w:tcBorders>
                  <w:noWrap w:val="0"/>
                  <w:vAlign w:val="center"/>
                </w:tcPr>
                <w:p w14:paraId="17D5233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禁止在长江、大渡河、岷江、赤水河、沱江、嘉陵江、乌江、汉江和51个（四川省45个、重庆市6个）水生生物保护区开展生产性捕捞。</w:t>
                  </w:r>
                </w:p>
              </w:tc>
              <w:tc>
                <w:tcPr>
                  <w:tcW w:w="1007" w:type="pct"/>
                  <w:vMerge w:val="continue"/>
                  <w:tcBorders>
                    <w:tl2br w:val="nil"/>
                    <w:tr2bl w:val="nil"/>
                  </w:tcBorders>
                  <w:noWrap w:val="0"/>
                  <w:vAlign w:val="center"/>
                </w:tcPr>
                <w:p w14:paraId="7C985A88">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150B14EE">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1E23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tcBorders>
                    <w:tl2br w:val="nil"/>
                    <w:tr2bl w:val="nil"/>
                  </w:tcBorders>
                  <w:noWrap w:val="0"/>
                  <w:vAlign w:val="center"/>
                </w:tcPr>
                <w:p w14:paraId="19F323AE">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3489" w:type="pct"/>
                  <w:tcBorders>
                    <w:tl2br w:val="nil"/>
                    <w:tr2bl w:val="nil"/>
                  </w:tcBorders>
                  <w:noWrap w:val="0"/>
                  <w:vAlign w:val="center"/>
                </w:tcPr>
                <w:p w14:paraId="1A53719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07" w:type="pct"/>
                  <w:tcBorders>
                    <w:tl2br w:val="nil"/>
                    <w:tr2bl w:val="nil"/>
                  </w:tcBorders>
                  <w:noWrap w:val="0"/>
                  <w:vAlign w:val="center"/>
                </w:tcPr>
                <w:p w14:paraId="24E929CE">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本项目不属于化工园区和化工项目；不属于尾矿库、冶炼渣库和磷石膏库</w:t>
                  </w:r>
                </w:p>
              </w:tc>
              <w:tc>
                <w:tcPr>
                  <w:tcW w:w="251" w:type="pct"/>
                  <w:tcBorders>
                    <w:tl2br w:val="nil"/>
                    <w:tr2bl w:val="nil"/>
                  </w:tcBorders>
                  <w:noWrap w:val="0"/>
                  <w:vAlign w:val="center"/>
                </w:tcPr>
                <w:p w14:paraId="11DF814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B37A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754B0FF6">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3489" w:type="pct"/>
                  <w:tcBorders>
                    <w:tl2br w:val="nil"/>
                    <w:tr2bl w:val="nil"/>
                  </w:tcBorders>
                  <w:noWrap w:val="0"/>
                  <w:vAlign w:val="center"/>
                </w:tcPr>
                <w:p w14:paraId="13DE3EE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禁止在长江干支流、重要湖泊岸线一公里范围内新建、扩建化工园区和化工项目。</w:t>
                  </w:r>
                </w:p>
              </w:tc>
              <w:tc>
                <w:tcPr>
                  <w:tcW w:w="1007" w:type="pct"/>
                  <w:tcBorders>
                    <w:tl2br w:val="nil"/>
                    <w:tr2bl w:val="nil"/>
                  </w:tcBorders>
                  <w:noWrap w:val="0"/>
                  <w:vAlign w:val="center"/>
                </w:tcPr>
                <w:p w14:paraId="6B68BF6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本项目不属于化工园区和化工项目</w:t>
                  </w:r>
                </w:p>
              </w:tc>
              <w:tc>
                <w:tcPr>
                  <w:tcW w:w="251" w:type="pct"/>
                  <w:tcBorders>
                    <w:tl2br w:val="nil"/>
                    <w:tr2bl w:val="nil"/>
                  </w:tcBorders>
                  <w:noWrap w:val="0"/>
                  <w:vAlign w:val="center"/>
                </w:tcPr>
                <w:p w14:paraId="487E054C">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9A1B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34E3518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w:t>
                  </w:r>
                </w:p>
              </w:tc>
              <w:tc>
                <w:tcPr>
                  <w:tcW w:w="3489" w:type="pct"/>
                  <w:tcBorders>
                    <w:tl2br w:val="nil"/>
                    <w:tr2bl w:val="nil"/>
                  </w:tcBorders>
                  <w:noWrap w:val="0"/>
                  <w:vAlign w:val="center"/>
                </w:tcPr>
                <w:p w14:paraId="56DF60C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禁止在长江干流岸线三公里范围内和重要支流岸线一公里范围内新建、改建、扩建尾矿库、冶炼渣库、磷石膏库，以提升安全、生态环境保护水平为目的的改建除外。</w:t>
                  </w:r>
                </w:p>
              </w:tc>
              <w:tc>
                <w:tcPr>
                  <w:tcW w:w="1007" w:type="pct"/>
                  <w:tcBorders>
                    <w:tl2br w:val="nil"/>
                    <w:tr2bl w:val="nil"/>
                  </w:tcBorders>
                  <w:noWrap w:val="0"/>
                  <w:vAlign w:val="center"/>
                </w:tcPr>
                <w:p w14:paraId="0C07F6C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本项目不属于尾矿库、冶炼渣库和磷石膏库</w:t>
                  </w:r>
                </w:p>
              </w:tc>
              <w:tc>
                <w:tcPr>
                  <w:tcW w:w="251" w:type="pct"/>
                  <w:tcBorders>
                    <w:tl2br w:val="nil"/>
                    <w:tr2bl w:val="nil"/>
                  </w:tcBorders>
                  <w:noWrap w:val="0"/>
                  <w:vAlign w:val="center"/>
                </w:tcPr>
                <w:p w14:paraId="731451B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850D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00FC7F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3489" w:type="pct"/>
                  <w:tcBorders>
                    <w:tl2br w:val="nil"/>
                    <w:tr2bl w:val="nil"/>
                  </w:tcBorders>
                  <w:noWrap w:val="0"/>
                  <w:vAlign w:val="center"/>
                </w:tcPr>
                <w:p w14:paraId="2B908A3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禁止在生态保护红线区域、永久基本农田集中区域和其他需要特别保护的区域内选址建设尾矿库、冶炼渣库、磷石膏库。</w:t>
                  </w:r>
                </w:p>
              </w:tc>
              <w:tc>
                <w:tcPr>
                  <w:tcW w:w="1007" w:type="pct"/>
                  <w:tcBorders>
                    <w:tl2br w:val="nil"/>
                    <w:tr2bl w:val="nil"/>
                  </w:tcBorders>
                  <w:noWrap w:val="0"/>
                  <w:vAlign w:val="center"/>
                </w:tcPr>
                <w:p w14:paraId="04961FE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，不涉及生态保护红线区域、永久基本农田</w:t>
                  </w:r>
                </w:p>
              </w:tc>
              <w:tc>
                <w:tcPr>
                  <w:tcW w:w="251" w:type="pct"/>
                  <w:tcBorders>
                    <w:tl2br w:val="nil"/>
                    <w:tr2bl w:val="nil"/>
                  </w:tcBorders>
                  <w:noWrap w:val="0"/>
                  <w:vAlign w:val="center"/>
                </w:tcPr>
                <w:p w14:paraId="5745D91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53DBB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6EBA8B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3489" w:type="pct"/>
                  <w:tcBorders>
                    <w:tl2br w:val="nil"/>
                    <w:tr2bl w:val="nil"/>
                  </w:tcBorders>
                  <w:noWrap w:val="0"/>
                  <w:vAlign w:val="center"/>
                </w:tcPr>
                <w:p w14:paraId="3E4CDD4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禁止在合规园区外新建、扩建钢铁、石化、化工、焦化、建材、有色、制浆造纸等高污染项目。</w:t>
                  </w:r>
                </w:p>
              </w:tc>
              <w:tc>
                <w:tcPr>
                  <w:tcW w:w="1007" w:type="pct"/>
                  <w:vMerge w:val="restart"/>
                  <w:tcBorders>
                    <w:tl2br w:val="nil"/>
                    <w:tr2bl w:val="nil"/>
                  </w:tcBorders>
                  <w:noWrap w:val="0"/>
                  <w:vAlign w:val="center"/>
                </w:tcPr>
                <w:p w14:paraId="53CDC4A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该园区</w:t>
                  </w:r>
                  <w:r>
                    <w:rPr>
                      <w:rFonts w:hint="default" w:ascii="Times New Roman" w:hAnsi="Times New Roman" w:eastAsia="宋体" w:cs="Times New Roman"/>
                      <w:color w:val="auto"/>
                      <w:sz w:val="18"/>
                      <w:szCs w:val="18"/>
                    </w:rPr>
                    <w:t>属于合规园区</w:t>
                  </w:r>
                </w:p>
              </w:tc>
              <w:tc>
                <w:tcPr>
                  <w:tcW w:w="251" w:type="pct"/>
                  <w:tcBorders>
                    <w:tl2br w:val="nil"/>
                    <w:tr2bl w:val="nil"/>
                  </w:tcBorders>
                  <w:noWrap w:val="0"/>
                  <w:vAlign w:val="center"/>
                </w:tcPr>
                <w:p w14:paraId="2C8108D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3F8F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0A02C33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3489" w:type="pct"/>
                  <w:tcBorders>
                    <w:tl2br w:val="nil"/>
                    <w:tr2bl w:val="nil"/>
                  </w:tcBorders>
                  <w:noWrap w:val="0"/>
                  <w:vAlign w:val="center"/>
                </w:tcPr>
                <w:p w14:paraId="01E69D5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禁止在合规园区外新建、扩建钢铁、石化、化工、焦化、建材、有色、制浆造纸等高污染项目。</w:t>
                  </w:r>
                </w:p>
              </w:tc>
              <w:tc>
                <w:tcPr>
                  <w:tcW w:w="1007" w:type="pct"/>
                  <w:vMerge w:val="continue"/>
                  <w:tcBorders>
                    <w:tl2br w:val="nil"/>
                    <w:tr2bl w:val="nil"/>
                  </w:tcBorders>
                  <w:noWrap w:val="0"/>
                  <w:vAlign w:val="center"/>
                </w:tcPr>
                <w:p w14:paraId="77ADC50F">
                  <w:pPr>
                    <w:pStyle w:val="112"/>
                    <w:spacing w:line="240" w:lineRule="auto"/>
                    <w:jc w:val="both"/>
                    <w:rPr>
                      <w:rFonts w:hint="default" w:ascii="Times New Roman" w:hAnsi="Times New Roman" w:eastAsia="宋体" w:cs="Times New Roman"/>
                      <w:color w:val="auto"/>
                      <w:sz w:val="18"/>
                      <w:szCs w:val="18"/>
                    </w:rPr>
                  </w:pPr>
                </w:p>
              </w:tc>
              <w:tc>
                <w:tcPr>
                  <w:tcW w:w="251" w:type="pct"/>
                  <w:tcBorders>
                    <w:tl2br w:val="nil"/>
                    <w:tr2bl w:val="nil"/>
                  </w:tcBorders>
                  <w:noWrap w:val="0"/>
                  <w:vAlign w:val="center"/>
                </w:tcPr>
                <w:p w14:paraId="780B0B6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F4FD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5B28EA6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w:t>
                  </w:r>
                </w:p>
              </w:tc>
              <w:tc>
                <w:tcPr>
                  <w:tcW w:w="3489" w:type="pct"/>
                  <w:tcBorders>
                    <w:tl2br w:val="nil"/>
                    <w:tr2bl w:val="nil"/>
                  </w:tcBorders>
                  <w:noWrap w:val="0"/>
                  <w:vAlign w:val="center"/>
                </w:tcPr>
                <w:p w14:paraId="551150B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禁止新建、扩建不符合国家石化、现代煤化工等产业布局规划的项目。</w:t>
                  </w:r>
                </w:p>
              </w:tc>
              <w:tc>
                <w:tcPr>
                  <w:tcW w:w="1007" w:type="pct"/>
                  <w:tcBorders>
                    <w:tl2br w:val="nil"/>
                    <w:tr2bl w:val="nil"/>
                  </w:tcBorders>
                  <w:noWrap w:val="0"/>
                  <w:vAlign w:val="center"/>
                </w:tcPr>
                <w:p w14:paraId="5794BFC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w:t>
                  </w:r>
                </w:p>
              </w:tc>
              <w:tc>
                <w:tcPr>
                  <w:tcW w:w="251" w:type="pct"/>
                  <w:tcBorders>
                    <w:tl2br w:val="nil"/>
                    <w:tr2bl w:val="nil"/>
                  </w:tcBorders>
                  <w:noWrap w:val="0"/>
                  <w:vAlign w:val="center"/>
                </w:tcPr>
                <w:p w14:paraId="6229C3E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3BB5F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0EDC55F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3489" w:type="pct"/>
                  <w:tcBorders>
                    <w:tl2br w:val="nil"/>
                    <w:tr2bl w:val="nil"/>
                  </w:tcBorders>
                  <w:noWrap w:val="0"/>
                  <w:vAlign w:val="center"/>
                </w:tcPr>
                <w:p w14:paraId="2406E346">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禁止新建、扩建不符合国家石化、现代煤化工等产业布局规划的项目。</w:t>
                  </w:r>
                </w:p>
              </w:tc>
              <w:tc>
                <w:tcPr>
                  <w:tcW w:w="1007" w:type="pct"/>
                  <w:tcBorders>
                    <w:tl2br w:val="nil"/>
                    <w:tr2bl w:val="nil"/>
                  </w:tcBorders>
                  <w:noWrap w:val="0"/>
                  <w:vAlign w:val="center"/>
                </w:tcPr>
                <w:p w14:paraId="2540943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w:t>
                  </w:r>
                </w:p>
              </w:tc>
              <w:tc>
                <w:tcPr>
                  <w:tcW w:w="251" w:type="pct"/>
                  <w:tcBorders>
                    <w:tl2br w:val="nil"/>
                    <w:tr2bl w:val="nil"/>
                  </w:tcBorders>
                  <w:noWrap w:val="0"/>
                  <w:vAlign w:val="center"/>
                </w:tcPr>
                <w:p w14:paraId="47ECB1E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2946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42D2EA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w:t>
                  </w:r>
                </w:p>
              </w:tc>
              <w:tc>
                <w:tcPr>
                  <w:tcW w:w="3489" w:type="pct"/>
                  <w:tcBorders>
                    <w:tl2br w:val="nil"/>
                    <w:tr2bl w:val="nil"/>
                  </w:tcBorders>
                  <w:noWrap w:val="0"/>
                  <w:vAlign w:val="center"/>
                </w:tcPr>
                <w:p w14:paraId="0FD8816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禁止新建、扩建法律法规和相关政策明令禁止的落后产能项目。禁止新建、扩建不符合国家产能置换要求的严重过剩产能行业的项目。禁止新建、扩建不符合要求的高耗能高排放项目。</w:t>
                  </w:r>
                </w:p>
              </w:tc>
              <w:tc>
                <w:tcPr>
                  <w:tcW w:w="1007" w:type="pct"/>
                  <w:tcBorders>
                    <w:tl2br w:val="nil"/>
                    <w:tr2bl w:val="nil"/>
                  </w:tcBorders>
                  <w:noWrap w:val="0"/>
                  <w:vAlign w:val="center"/>
                </w:tcPr>
                <w:p w14:paraId="4E27BE2D">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本项目不属于落后产能、过剩产能及高耗能高排放项目</w:t>
                  </w:r>
                </w:p>
              </w:tc>
              <w:tc>
                <w:tcPr>
                  <w:tcW w:w="251" w:type="pct"/>
                  <w:tcBorders>
                    <w:tl2br w:val="nil"/>
                    <w:tr2bl w:val="nil"/>
                  </w:tcBorders>
                  <w:noWrap w:val="0"/>
                  <w:vAlign w:val="center"/>
                </w:tcPr>
                <w:p w14:paraId="5E9A3FBE">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6A37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555B0786">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3489" w:type="pct"/>
                  <w:tcBorders>
                    <w:tl2br w:val="nil"/>
                    <w:tr2bl w:val="nil"/>
                  </w:tcBorders>
                  <w:noWrap w:val="0"/>
                  <w:vAlign w:val="center"/>
                </w:tcPr>
                <w:p w14:paraId="14D56667">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法律法规和相关政策明令禁止的落后产能项目。对《产业结构调整指导目录》中淘汰类项目，禁止投资；限制类的新建项目，禁止投资，对属于限制类的现有生产能力，允许企业在一定期限内采取措施改造升级。 </w:t>
                  </w:r>
                </w:p>
              </w:tc>
              <w:tc>
                <w:tcPr>
                  <w:tcW w:w="1007" w:type="pct"/>
                  <w:tcBorders>
                    <w:tl2br w:val="nil"/>
                    <w:tr2bl w:val="nil"/>
                  </w:tcBorders>
                  <w:noWrap w:val="0"/>
                  <w:vAlign w:val="center"/>
                </w:tcPr>
                <w:p w14:paraId="6880F66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本项目不属于淘汰类项目</w:t>
                  </w:r>
                </w:p>
              </w:tc>
              <w:tc>
                <w:tcPr>
                  <w:tcW w:w="251" w:type="pct"/>
                  <w:tcBorders>
                    <w:tl2br w:val="nil"/>
                    <w:tr2bl w:val="nil"/>
                  </w:tcBorders>
                  <w:noWrap w:val="0"/>
                  <w:vAlign w:val="center"/>
                </w:tcPr>
                <w:p w14:paraId="095CA622">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DFF0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270078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31</w:t>
                  </w:r>
                </w:p>
              </w:tc>
              <w:tc>
                <w:tcPr>
                  <w:tcW w:w="3489" w:type="pct"/>
                  <w:tcBorders>
                    <w:tl2br w:val="nil"/>
                    <w:tr2bl w:val="nil"/>
                  </w:tcBorders>
                  <w:noWrap w:val="0"/>
                  <w:vAlign w:val="center"/>
                </w:tcPr>
                <w:p w14:paraId="0C0A2C4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禁止新建、扩建不符合国家产能置换要求的严重过剩产能行业的项目。对于不符合国家产能置换要求的严重过剩产能行业，不得以其他任何名义、任何方式备案新增产能项目。</w:t>
                  </w:r>
                </w:p>
              </w:tc>
              <w:tc>
                <w:tcPr>
                  <w:tcW w:w="1007" w:type="pct"/>
                  <w:tcBorders>
                    <w:tl2br w:val="nil"/>
                    <w:tr2bl w:val="nil"/>
                  </w:tcBorders>
                  <w:noWrap w:val="0"/>
                  <w:vAlign w:val="center"/>
                </w:tcPr>
                <w:p w14:paraId="20F723C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本项目不属于严重过剩产能行业项目</w:t>
                  </w:r>
                </w:p>
              </w:tc>
              <w:tc>
                <w:tcPr>
                  <w:tcW w:w="251" w:type="pct"/>
                  <w:tcBorders>
                    <w:tl2br w:val="nil"/>
                    <w:tr2bl w:val="nil"/>
                  </w:tcBorders>
                  <w:noWrap w:val="0"/>
                  <w:vAlign w:val="center"/>
                </w:tcPr>
                <w:p w14:paraId="66CFBA14">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F094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5E32D540">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w:t>
                  </w:r>
                </w:p>
              </w:tc>
              <w:tc>
                <w:tcPr>
                  <w:tcW w:w="3489" w:type="pct"/>
                  <w:tcBorders>
                    <w:tl2br w:val="nil"/>
                    <w:tr2bl w:val="nil"/>
                  </w:tcBorders>
                  <w:noWrap w:val="0"/>
                  <w:vAlign w:val="center"/>
                </w:tcPr>
                <w:p w14:paraId="2517F49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禁止建设以下燃油汽车投资项目</w:t>
                  </w:r>
                </w:p>
              </w:tc>
              <w:tc>
                <w:tcPr>
                  <w:tcW w:w="1007" w:type="pct"/>
                  <w:tcBorders>
                    <w:tl2br w:val="nil"/>
                    <w:tr2bl w:val="nil"/>
                  </w:tcBorders>
                  <w:noWrap w:val="0"/>
                  <w:vAlign w:val="center"/>
                </w:tcPr>
                <w:p w14:paraId="753BAA99">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w:t>
                  </w:r>
                </w:p>
              </w:tc>
              <w:tc>
                <w:tcPr>
                  <w:tcW w:w="251" w:type="pct"/>
                  <w:tcBorders>
                    <w:tl2br w:val="nil"/>
                    <w:tr2bl w:val="nil"/>
                  </w:tcBorders>
                  <w:noWrap w:val="0"/>
                  <w:vAlign w:val="center"/>
                </w:tcPr>
                <w:p w14:paraId="3EB56221">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6950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2001CDB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w:t>
                  </w:r>
                </w:p>
              </w:tc>
              <w:tc>
                <w:tcPr>
                  <w:tcW w:w="3489" w:type="pct"/>
                  <w:tcBorders>
                    <w:tl2br w:val="nil"/>
                    <w:tr2bl w:val="nil"/>
                  </w:tcBorders>
                  <w:noWrap w:val="0"/>
                  <w:vAlign w:val="center"/>
                </w:tcPr>
                <w:p w14:paraId="2FCBBEA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禁止新建、扩建不符合要求的高耗能、高排放、低水平项目。</w:t>
                  </w:r>
                </w:p>
              </w:tc>
              <w:tc>
                <w:tcPr>
                  <w:tcW w:w="1007" w:type="pct"/>
                  <w:tcBorders>
                    <w:tl2br w:val="nil"/>
                    <w:tr2bl w:val="nil"/>
                  </w:tcBorders>
                  <w:noWrap w:val="0"/>
                  <w:vAlign w:val="center"/>
                </w:tcPr>
                <w:p w14:paraId="3A38C87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本项目不属于高耗能、高排放、低水平项目</w:t>
                  </w:r>
                </w:p>
              </w:tc>
              <w:tc>
                <w:tcPr>
                  <w:tcW w:w="251" w:type="pct"/>
                  <w:tcBorders>
                    <w:tl2br w:val="nil"/>
                    <w:tr2bl w:val="nil"/>
                  </w:tcBorders>
                  <w:noWrap w:val="0"/>
                  <w:vAlign w:val="center"/>
                </w:tcPr>
                <w:p w14:paraId="5531D85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5DA40A99">
            <w:pPr>
              <w:pStyle w:val="90"/>
              <w:snapToGrid w:val="0"/>
              <w:spacing w:line="360" w:lineRule="auto"/>
              <w:ind w:firstLine="420"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color w:val="auto"/>
                <w:sz w:val="21"/>
                <w:szCs w:val="21"/>
              </w:rPr>
              <w:t>综上，本项目</w:t>
            </w:r>
            <w:r>
              <w:rPr>
                <w:rFonts w:hint="eastAsia" w:eastAsia="宋体" w:cs="Times New Roman"/>
                <w:b w:val="0"/>
                <w:bCs/>
                <w:color w:val="auto"/>
                <w:sz w:val="21"/>
                <w:szCs w:val="21"/>
                <w:lang w:val="en-US" w:eastAsia="zh-CN"/>
              </w:rPr>
              <w:t>符合</w:t>
            </w:r>
            <w:r>
              <w:rPr>
                <w:rFonts w:hint="default" w:ascii="Times New Roman" w:hAnsi="Times New Roman" w:eastAsia="宋体" w:cs="Times New Roman"/>
                <w:b w:val="0"/>
                <w:bCs/>
                <w:color w:val="auto"/>
                <w:sz w:val="21"/>
                <w:szCs w:val="21"/>
              </w:rPr>
              <w:t>《四川省、重庆市长江经济带发展负面清单实施细则》（川长江办〔2022〕17号）</w:t>
            </w:r>
            <w:r>
              <w:rPr>
                <w:rFonts w:hint="eastAsia" w:ascii="Times New Roman" w:hAnsi="Times New Roman" w:eastAsia="宋体" w:cs="Times New Roman"/>
                <w:b w:val="0"/>
                <w:bCs/>
                <w:color w:val="auto"/>
                <w:sz w:val="21"/>
                <w:szCs w:val="21"/>
                <w:lang w:val="en-US" w:eastAsia="zh-CN"/>
              </w:rPr>
              <w:t>相关要求。</w:t>
            </w:r>
          </w:p>
          <w:p w14:paraId="1A3CE2F9">
            <w:pPr>
              <w:numPr>
                <w:ilvl w:val="0"/>
                <w:numId w:val="0"/>
              </w:numPr>
              <w:adjustRightInd w:val="0"/>
              <w:snapToGrid w:val="0"/>
              <w:spacing w:line="360" w:lineRule="auto"/>
              <w:ind w:leftChars="0"/>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三、</w:t>
            </w:r>
            <w:r>
              <w:rPr>
                <w:rFonts w:hint="default" w:ascii="Times New Roman" w:hAnsi="Times New Roman" w:eastAsia="宋体" w:cs="Times New Roman"/>
                <w:b/>
                <w:bCs/>
                <w:color w:val="auto"/>
                <w:sz w:val="21"/>
                <w:szCs w:val="21"/>
              </w:rPr>
              <w:t>《重庆市产业投资准入工作手册》（渝发改投资〔2022〕1436号）符合性分析</w:t>
            </w:r>
          </w:p>
          <w:p w14:paraId="7574A4E2">
            <w:pPr>
              <w:pStyle w:val="90"/>
              <w:snapToGrid w:val="0"/>
              <w:spacing w:line="360" w:lineRule="auto"/>
              <w:ind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color w:val="auto"/>
                <w:sz w:val="21"/>
                <w:szCs w:val="21"/>
              </w:rPr>
              <w:t>本项目</w:t>
            </w:r>
            <w:r>
              <w:rPr>
                <w:rFonts w:hint="eastAsia" w:eastAsia="宋体" w:cs="Times New Roman"/>
                <w:b w:val="0"/>
                <w:bCs/>
                <w:color w:val="auto"/>
                <w:sz w:val="21"/>
                <w:szCs w:val="21"/>
                <w:lang w:val="en-US" w:eastAsia="zh-CN"/>
              </w:rPr>
              <w:t>与</w:t>
            </w:r>
            <w:r>
              <w:rPr>
                <w:rFonts w:hint="default" w:ascii="Times New Roman" w:hAnsi="Times New Roman" w:eastAsia="宋体" w:cs="Times New Roman"/>
                <w:b w:val="0"/>
                <w:bCs/>
                <w:color w:val="auto"/>
                <w:sz w:val="21"/>
                <w:szCs w:val="21"/>
              </w:rPr>
              <w:t>《重庆市产业投资准入工作手册》（渝发改投资〔2022〕1436号）</w:t>
            </w:r>
            <w:r>
              <w:rPr>
                <w:rFonts w:hint="eastAsia" w:eastAsia="宋体" w:cs="Times New Roman"/>
                <w:b w:val="0"/>
                <w:bCs/>
                <w:color w:val="auto"/>
                <w:sz w:val="21"/>
                <w:szCs w:val="21"/>
                <w:lang w:eastAsia="zh-CN"/>
              </w:rPr>
              <w:t>的</w:t>
            </w:r>
            <w:r>
              <w:rPr>
                <w:rFonts w:hint="eastAsia" w:eastAsia="宋体" w:cs="Times New Roman"/>
                <w:b w:val="0"/>
                <w:bCs/>
                <w:color w:val="auto"/>
                <w:sz w:val="21"/>
                <w:szCs w:val="21"/>
                <w:lang w:val="en-US" w:eastAsia="zh-CN"/>
              </w:rPr>
              <w:t>符合性分析详见下表</w:t>
            </w:r>
            <w:r>
              <w:rPr>
                <w:rFonts w:hint="default" w:ascii="Times New Roman" w:hAnsi="Times New Roman" w:eastAsia="宋体" w:cs="Times New Roman"/>
                <w:b w:val="0"/>
                <w:bCs/>
                <w:color w:val="auto"/>
                <w:sz w:val="21"/>
                <w:szCs w:val="21"/>
              </w:rPr>
              <w:t>。</w:t>
            </w:r>
          </w:p>
          <w:p w14:paraId="3412C32C">
            <w:pPr>
              <w:autoSpaceDE w:val="0"/>
              <w:autoSpaceDN w:val="0"/>
              <w:adjustRightInd w:val="0"/>
              <w:snapToGrid w:val="0"/>
              <w:spacing w:line="36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表1-</w:t>
            </w:r>
            <w:r>
              <w:rPr>
                <w:rFonts w:hint="default" w:ascii="Times New Roman" w:hAnsi="Times New Roman"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bCs/>
                <w:color w:val="auto"/>
                <w:sz w:val="21"/>
                <w:szCs w:val="21"/>
              </w:rPr>
              <w:t>与《重庆市产业投资准入工作手册》（渝发改投资〔2022〕1436号）符合性分析</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3788"/>
              <w:gridCol w:w="2427"/>
              <w:gridCol w:w="736"/>
            </w:tblGrid>
            <w:tr w14:paraId="00324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tcBorders>
                    <w:tl2br w:val="nil"/>
                    <w:tr2bl w:val="nil"/>
                  </w:tcBorders>
                  <w:noWrap w:val="0"/>
                  <w:vAlign w:val="center"/>
                </w:tcPr>
                <w:p w14:paraId="4EC99098">
                  <w:pPr>
                    <w:pStyle w:val="63"/>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重庆市工业布局及产业准入要求</w:t>
                  </w:r>
                </w:p>
              </w:tc>
              <w:tc>
                <w:tcPr>
                  <w:tcW w:w="1493" w:type="pct"/>
                  <w:tcBorders>
                    <w:tl2br w:val="nil"/>
                    <w:tr2bl w:val="nil"/>
                  </w:tcBorders>
                  <w:noWrap w:val="0"/>
                  <w:vAlign w:val="center"/>
                </w:tcPr>
                <w:p w14:paraId="7DAA8440">
                  <w:pPr>
                    <w:pStyle w:val="63"/>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项目情况</w:t>
                  </w:r>
                </w:p>
              </w:tc>
              <w:tc>
                <w:tcPr>
                  <w:tcW w:w="453" w:type="pct"/>
                  <w:tcBorders>
                    <w:tl2br w:val="nil"/>
                    <w:tr2bl w:val="nil"/>
                  </w:tcBorders>
                  <w:noWrap w:val="0"/>
                  <w:vAlign w:val="center"/>
                </w:tcPr>
                <w:p w14:paraId="3576DF2D">
                  <w:pPr>
                    <w:pStyle w:val="63"/>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14:paraId="75072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l2br w:val="nil"/>
                    <w:tr2bl w:val="nil"/>
                  </w:tcBorders>
                  <w:noWrap w:val="0"/>
                  <w:vAlign w:val="center"/>
                </w:tcPr>
                <w:p w14:paraId="58AC7A45">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全市范围内不予准入的产业</w:t>
                  </w:r>
                </w:p>
              </w:tc>
              <w:tc>
                <w:tcPr>
                  <w:tcW w:w="2329" w:type="pct"/>
                  <w:tcBorders>
                    <w:tl2br w:val="nil"/>
                    <w:tr2bl w:val="nil"/>
                  </w:tcBorders>
                  <w:noWrap w:val="0"/>
                  <w:vAlign w:val="center"/>
                </w:tcPr>
                <w:p w14:paraId="555F18D0">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shd w:val="clear" w:color="auto" w:fill="FFFFFF"/>
                      <w:lang w:eastAsia="zh-CN"/>
                    </w:rPr>
                    <w:t>1.</w:t>
                  </w:r>
                  <w:r>
                    <w:rPr>
                      <w:rFonts w:hint="default" w:ascii="Times New Roman" w:hAnsi="Times New Roman" w:eastAsia="宋体" w:cs="Times New Roman"/>
                      <w:color w:val="auto"/>
                      <w:sz w:val="18"/>
                      <w:szCs w:val="18"/>
                      <w:shd w:val="clear" w:color="auto" w:fill="FFFFFF"/>
                    </w:rPr>
                    <w:t>国家产业结构调整指导目录中的淘汰类项目。</w:t>
                  </w:r>
                </w:p>
              </w:tc>
              <w:tc>
                <w:tcPr>
                  <w:tcW w:w="1493" w:type="pct"/>
                  <w:tcBorders>
                    <w:tl2br w:val="nil"/>
                    <w:tr2bl w:val="nil"/>
                  </w:tcBorders>
                  <w:noWrap w:val="0"/>
                  <w:vAlign w:val="center"/>
                </w:tcPr>
                <w:p w14:paraId="2CE67E4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项目不属于鼓励类、限制类、淘汰类项目，属于允许类项目</w:t>
                  </w:r>
                </w:p>
              </w:tc>
              <w:tc>
                <w:tcPr>
                  <w:tcW w:w="453" w:type="pct"/>
                  <w:tcBorders>
                    <w:tl2br w:val="nil"/>
                    <w:tr2bl w:val="nil"/>
                  </w:tcBorders>
                  <w:noWrap w:val="0"/>
                  <w:vAlign w:val="center"/>
                </w:tcPr>
                <w:p w14:paraId="47C5ED3C">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CC3B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1F298E2A">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53AD7829">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shd w:val="clear" w:color="auto" w:fill="FFFFFF"/>
                      <w:lang w:eastAsia="zh-CN"/>
                    </w:rPr>
                    <w:t>2.</w:t>
                  </w:r>
                  <w:r>
                    <w:rPr>
                      <w:rFonts w:hint="default" w:ascii="Times New Roman" w:hAnsi="Times New Roman" w:eastAsia="宋体" w:cs="Times New Roman"/>
                      <w:color w:val="auto"/>
                      <w:sz w:val="18"/>
                      <w:szCs w:val="18"/>
                      <w:shd w:val="clear" w:color="auto" w:fill="FFFFFF"/>
                    </w:rPr>
                    <w:t>天然林商业性采伐。</w:t>
                  </w:r>
                </w:p>
              </w:tc>
              <w:tc>
                <w:tcPr>
                  <w:tcW w:w="1493" w:type="pct"/>
                  <w:tcBorders>
                    <w:tl2br w:val="nil"/>
                    <w:tr2bl w:val="nil"/>
                  </w:tcBorders>
                  <w:noWrap w:val="0"/>
                  <w:vAlign w:val="center"/>
                </w:tcPr>
                <w:p w14:paraId="2A8E76D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不属于上述项目</w:t>
                  </w:r>
                </w:p>
              </w:tc>
              <w:tc>
                <w:tcPr>
                  <w:tcW w:w="453" w:type="pct"/>
                  <w:tcBorders>
                    <w:tl2br w:val="nil"/>
                    <w:tr2bl w:val="nil"/>
                  </w:tcBorders>
                  <w:noWrap w:val="0"/>
                  <w:vAlign w:val="center"/>
                </w:tcPr>
                <w:p w14:paraId="575606F6">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51CC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40ACAD88">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4C048E74">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shd w:val="clear" w:color="auto" w:fill="FFFFFF"/>
                      <w:lang w:eastAsia="zh-CN"/>
                    </w:rPr>
                    <w:t>3.</w:t>
                  </w:r>
                  <w:r>
                    <w:rPr>
                      <w:rFonts w:hint="default" w:ascii="Times New Roman" w:hAnsi="Times New Roman" w:eastAsia="宋体" w:cs="Times New Roman"/>
                      <w:color w:val="auto"/>
                      <w:sz w:val="18"/>
                      <w:szCs w:val="18"/>
                      <w:shd w:val="clear" w:color="auto" w:fill="FFFFFF"/>
                    </w:rPr>
                    <w:t>法律法规和相关政策明令不予准入的其他项目。</w:t>
                  </w:r>
                </w:p>
              </w:tc>
              <w:tc>
                <w:tcPr>
                  <w:tcW w:w="1493" w:type="pct"/>
                  <w:tcBorders>
                    <w:tl2br w:val="nil"/>
                    <w:tr2bl w:val="nil"/>
                  </w:tcBorders>
                  <w:noWrap w:val="0"/>
                  <w:vAlign w:val="center"/>
                </w:tcPr>
                <w:p w14:paraId="2A03DD8B">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项目</w:t>
                  </w:r>
                  <w:r>
                    <w:rPr>
                      <w:rFonts w:hint="default" w:ascii="Times New Roman" w:hAnsi="Times New Roman" w:eastAsia="宋体" w:cs="Times New Roman"/>
                      <w:color w:val="auto"/>
                      <w:sz w:val="18"/>
                      <w:szCs w:val="18"/>
                    </w:rPr>
                    <w:t>属于允许类项目</w:t>
                  </w:r>
                </w:p>
              </w:tc>
              <w:tc>
                <w:tcPr>
                  <w:tcW w:w="453" w:type="pct"/>
                  <w:tcBorders>
                    <w:tl2br w:val="nil"/>
                    <w:tr2bl w:val="nil"/>
                  </w:tcBorders>
                  <w:noWrap w:val="0"/>
                  <w:vAlign w:val="center"/>
                </w:tcPr>
                <w:p w14:paraId="02FF42ED">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4A9A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l2br w:val="nil"/>
                    <w:tr2bl w:val="nil"/>
                  </w:tcBorders>
                  <w:noWrap w:val="0"/>
                  <w:vAlign w:val="center"/>
                </w:tcPr>
                <w:p w14:paraId="788A244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重点区域范围内不予准入的产业</w:t>
                  </w:r>
                </w:p>
              </w:tc>
              <w:tc>
                <w:tcPr>
                  <w:tcW w:w="2329" w:type="pct"/>
                  <w:tcBorders>
                    <w:tl2br w:val="nil"/>
                    <w:tr2bl w:val="nil"/>
                  </w:tcBorders>
                  <w:noWrap w:val="0"/>
                  <w:vAlign w:val="center"/>
                </w:tcPr>
                <w:p w14:paraId="2A377C83">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1.</w:t>
                  </w:r>
                  <w:r>
                    <w:rPr>
                      <w:rFonts w:hint="default" w:ascii="Times New Roman" w:hAnsi="Times New Roman" w:eastAsia="宋体" w:cs="Times New Roman"/>
                      <w:color w:val="auto"/>
                      <w:sz w:val="18"/>
                      <w:szCs w:val="18"/>
                    </w:rPr>
                    <w:t>外环绕城高速公路以内长江、嘉陵江水域采砂。</w:t>
                  </w:r>
                </w:p>
              </w:tc>
              <w:tc>
                <w:tcPr>
                  <w:tcW w:w="1493" w:type="pct"/>
                  <w:tcBorders>
                    <w:tl2br w:val="nil"/>
                    <w:tr2bl w:val="nil"/>
                  </w:tcBorders>
                  <w:noWrap w:val="0"/>
                  <w:vAlign w:val="center"/>
                </w:tcPr>
                <w:p w14:paraId="324E18AB">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不属于上述项目</w:t>
                  </w:r>
                </w:p>
              </w:tc>
              <w:tc>
                <w:tcPr>
                  <w:tcW w:w="453" w:type="pct"/>
                  <w:tcBorders>
                    <w:tl2br w:val="nil"/>
                    <w:tr2bl w:val="nil"/>
                  </w:tcBorders>
                  <w:noWrap w:val="0"/>
                  <w:vAlign w:val="center"/>
                </w:tcPr>
                <w:p w14:paraId="4D4C949D">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1919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15DB83A9">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6234A15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shd w:val="clear" w:color="auto" w:fill="FFFFFF"/>
                    </w:rPr>
                  </w:pPr>
                  <w:r>
                    <w:rPr>
                      <w:rFonts w:hint="eastAsia" w:ascii="Times New Roman" w:hAnsi="Times New Roman" w:cs="Times New Roman"/>
                      <w:color w:val="auto"/>
                      <w:sz w:val="18"/>
                      <w:szCs w:val="18"/>
                      <w:lang w:eastAsia="zh-CN"/>
                    </w:rPr>
                    <w:t>2.</w:t>
                  </w:r>
                  <w:r>
                    <w:rPr>
                      <w:rFonts w:hint="default" w:ascii="Times New Roman" w:hAnsi="Times New Roman" w:eastAsia="宋体" w:cs="Times New Roman"/>
                      <w:color w:val="auto"/>
                      <w:sz w:val="18"/>
                      <w:szCs w:val="18"/>
                    </w:rPr>
                    <w:t>二十五度以上陡坡地开垦种植农作物。</w:t>
                  </w:r>
                </w:p>
              </w:tc>
              <w:tc>
                <w:tcPr>
                  <w:tcW w:w="1493" w:type="pct"/>
                  <w:tcBorders>
                    <w:tl2br w:val="nil"/>
                    <w:tr2bl w:val="nil"/>
                  </w:tcBorders>
                  <w:noWrap w:val="0"/>
                  <w:vAlign w:val="center"/>
                </w:tcPr>
                <w:p w14:paraId="1EB5E953">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不属于上述项目</w:t>
                  </w:r>
                </w:p>
              </w:tc>
              <w:tc>
                <w:tcPr>
                  <w:tcW w:w="453" w:type="pct"/>
                  <w:tcBorders>
                    <w:tl2br w:val="nil"/>
                    <w:tr2bl w:val="nil"/>
                  </w:tcBorders>
                  <w:noWrap w:val="0"/>
                  <w:vAlign w:val="center"/>
                </w:tcPr>
                <w:p w14:paraId="6541FB61">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5F928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1E7EE830">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0AF5D9B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3.</w:t>
                  </w:r>
                  <w:r>
                    <w:rPr>
                      <w:rFonts w:hint="default" w:ascii="Times New Roman" w:hAnsi="Times New Roman" w:eastAsia="宋体" w:cs="Times New Roman"/>
                      <w:color w:val="auto"/>
                      <w:sz w:val="18"/>
                      <w:szCs w:val="18"/>
                    </w:rPr>
                    <w:t>在自然保护区核心区、缓冲区的岸线和河段范围内投资建设旅游和生产经营项目。</w:t>
                  </w:r>
                </w:p>
              </w:tc>
              <w:tc>
                <w:tcPr>
                  <w:tcW w:w="1493" w:type="pct"/>
                  <w:tcBorders>
                    <w:tl2br w:val="nil"/>
                    <w:tr2bl w:val="nil"/>
                  </w:tcBorders>
                  <w:noWrap w:val="0"/>
                  <w:vAlign w:val="center"/>
                </w:tcPr>
                <w:p w14:paraId="15E3CADC">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，不涉及上述区域</w:t>
                  </w:r>
                </w:p>
              </w:tc>
              <w:tc>
                <w:tcPr>
                  <w:tcW w:w="453" w:type="pct"/>
                  <w:tcBorders>
                    <w:tl2br w:val="nil"/>
                    <w:tr2bl w:val="nil"/>
                  </w:tcBorders>
                  <w:noWrap w:val="0"/>
                  <w:vAlign w:val="center"/>
                </w:tcPr>
                <w:p w14:paraId="47F3522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FD5B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7271EB52">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678D031A">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4.</w:t>
                  </w:r>
                  <w:r>
                    <w:rPr>
                      <w:rFonts w:hint="default" w:ascii="Times New Roman" w:hAnsi="Times New Roman" w:eastAsia="宋体" w:cs="Times New Roman"/>
                      <w:color w:val="auto"/>
                      <w:sz w:val="18"/>
                      <w:szCs w:val="18"/>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493" w:type="pct"/>
                  <w:tcBorders>
                    <w:tl2br w:val="nil"/>
                    <w:tr2bl w:val="nil"/>
                  </w:tcBorders>
                  <w:noWrap w:val="0"/>
                  <w:vAlign w:val="center"/>
                </w:tcPr>
                <w:p w14:paraId="085950E4">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，不涉及上述区域</w:t>
                  </w:r>
                </w:p>
              </w:tc>
              <w:tc>
                <w:tcPr>
                  <w:tcW w:w="453" w:type="pct"/>
                  <w:tcBorders>
                    <w:tl2br w:val="nil"/>
                    <w:tr2bl w:val="nil"/>
                  </w:tcBorders>
                  <w:noWrap w:val="0"/>
                  <w:vAlign w:val="center"/>
                </w:tcPr>
                <w:p w14:paraId="5762077E">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C5BC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0ED3F555">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4DA5358D">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shd w:val="clear" w:color="auto" w:fill="FFFFFF"/>
                    </w:rPr>
                  </w:pPr>
                  <w:r>
                    <w:rPr>
                      <w:rFonts w:hint="eastAsia" w:ascii="Times New Roman" w:hAnsi="Times New Roman" w:cs="Times New Roman"/>
                      <w:color w:val="auto"/>
                      <w:sz w:val="18"/>
                      <w:szCs w:val="18"/>
                      <w:lang w:eastAsia="zh-CN"/>
                    </w:rPr>
                    <w:t>5.</w:t>
                  </w:r>
                  <w:r>
                    <w:rPr>
                      <w:rFonts w:hint="default" w:ascii="Times New Roman" w:hAnsi="Times New Roman" w:eastAsia="宋体" w:cs="Times New Roman"/>
                      <w:color w:val="auto"/>
                      <w:sz w:val="18"/>
                      <w:szCs w:val="18"/>
                    </w:rPr>
                    <w:t>长江干流岸线3公里范围内和重要支流岸线1公里范围内新建、改建、扩建尾矿库、冶炼渣库和磷石膏库（以提升安全、生态环境保护水平为目的的改建除外）。</w:t>
                  </w:r>
                </w:p>
              </w:tc>
              <w:tc>
                <w:tcPr>
                  <w:tcW w:w="1493" w:type="pct"/>
                  <w:tcBorders>
                    <w:tl2br w:val="nil"/>
                    <w:tr2bl w:val="nil"/>
                  </w:tcBorders>
                  <w:noWrap w:val="0"/>
                  <w:vAlign w:val="center"/>
                </w:tcPr>
                <w:p w14:paraId="42CE8ADF">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项目</w:t>
                  </w:r>
                  <w:r>
                    <w:rPr>
                      <w:rFonts w:hint="eastAsia" w:ascii="Times New Roman" w:hAnsi="Times New Roman" w:cs="Times New Roman"/>
                      <w:bCs/>
                      <w:color w:val="auto"/>
                      <w:sz w:val="18"/>
                      <w:szCs w:val="18"/>
                      <w:lang w:eastAsia="zh-CN"/>
                    </w:rPr>
                    <w:t>距离建梁河距离约400m</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且</w:t>
                  </w:r>
                  <w:r>
                    <w:rPr>
                      <w:rFonts w:hint="default" w:ascii="Times New Roman" w:hAnsi="Times New Roman" w:eastAsia="宋体" w:cs="Times New Roman"/>
                      <w:bCs/>
                      <w:color w:val="auto"/>
                      <w:sz w:val="18"/>
                      <w:szCs w:val="18"/>
                    </w:rPr>
                    <w:t>本项目</w:t>
                  </w:r>
                  <w:r>
                    <w:rPr>
                      <w:rFonts w:hint="default" w:ascii="Times New Roman" w:hAnsi="Times New Roman" w:eastAsia="宋体" w:cs="Times New Roman"/>
                      <w:color w:val="auto"/>
                      <w:sz w:val="18"/>
                      <w:szCs w:val="18"/>
                    </w:rPr>
                    <w:t>不属于上述项目</w:t>
                  </w:r>
                </w:p>
              </w:tc>
              <w:tc>
                <w:tcPr>
                  <w:tcW w:w="453" w:type="pct"/>
                  <w:tcBorders>
                    <w:tl2br w:val="nil"/>
                    <w:tr2bl w:val="nil"/>
                  </w:tcBorders>
                  <w:noWrap w:val="0"/>
                  <w:vAlign w:val="center"/>
                </w:tcPr>
                <w:p w14:paraId="21570EEC">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F072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1D07D440">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5E728C6A">
                  <w:pPr>
                    <w:pStyle w:val="63"/>
                    <w:adjustRightInd w:val="0"/>
                    <w:snapToGrid w:val="0"/>
                    <w:spacing w:line="240" w:lineRule="auto"/>
                    <w:ind w:firstLine="0" w:firstLineChars="0"/>
                    <w:jc w:val="center"/>
                    <w:rPr>
                      <w:rFonts w:hint="default" w:ascii="Times New Roman" w:hAnsi="Times New Roman" w:eastAsia="宋体" w:cs="Times New Roman"/>
                      <w:color w:val="auto"/>
                      <w:spacing w:val="-4"/>
                      <w:sz w:val="18"/>
                      <w:szCs w:val="18"/>
                      <w:shd w:val="clear" w:color="auto" w:fill="FFFFFF"/>
                    </w:rPr>
                  </w:pPr>
                  <w:r>
                    <w:rPr>
                      <w:rFonts w:hint="eastAsia" w:ascii="Times New Roman" w:hAnsi="Times New Roman" w:cs="Times New Roman"/>
                      <w:color w:val="auto"/>
                      <w:sz w:val="18"/>
                      <w:szCs w:val="18"/>
                      <w:lang w:eastAsia="zh-CN"/>
                    </w:rPr>
                    <w:t>6.</w:t>
                  </w:r>
                  <w:r>
                    <w:rPr>
                      <w:rFonts w:hint="default" w:ascii="Times New Roman" w:hAnsi="Times New Roman" w:eastAsia="宋体" w:cs="Times New Roman"/>
                      <w:color w:val="auto"/>
                      <w:sz w:val="18"/>
                      <w:szCs w:val="18"/>
                    </w:rPr>
                    <w:t>在风景名胜区核心景区的岸线和河段范围内投资建设与风景名胜资源保护无关的项目。</w:t>
                  </w:r>
                </w:p>
              </w:tc>
              <w:tc>
                <w:tcPr>
                  <w:tcW w:w="1493" w:type="pct"/>
                  <w:vMerge w:val="restart"/>
                  <w:tcBorders>
                    <w:tl2br w:val="nil"/>
                    <w:tr2bl w:val="nil"/>
                  </w:tcBorders>
                  <w:noWrap w:val="0"/>
                  <w:vAlign w:val="center"/>
                </w:tcPr>
                <w:p w14:paraId="0B68E49D">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，不涉及上述区域</w:t>
                  </w:r>
                </w:p>
              </w:tc>
              <w:tc>
                <w:tcPr>
                  <w:tcW w:w="453" w:type="pct"/>
                  <w:tcBorders>
                    <w:tl2br w:val="nil"/>
                    <w:tr2bl w:val="nil"/>
                  </w:tcBorders>
                  <w:noWrap w:val="0"/>
                  <w:vAlign w:val="center"/>
                </w:tcPr>
                <w:p w14:paraId="3DE2574F">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3A75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37DA6640">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1802BC35">
                  <w:pPr>
                    <w:pStyle w:val="63"/>
                    <w:adjustRightInd w:val="0"/>
                    <w:snapToGrid w:val="0"/>
                    <w:spacing w:line="240" w:lineRule="auto"/>
                    <w:ind w:firstLine="0" w:firstLineChars="0"/>
                    <w:jc w:val="center"/>
                    <w:rPr>
                      <w:rFonts w:hint="default" w:ascii="Times New Roman" w:hAnsi="Times New Roman" w:eastAsia="宋体" w:cs="Times New Roman"/>
                      <w:color w:val="auto"/>
                      <w:spacing w:val="-4"/>
                      <w:sz w:val="18"/>
                      <w:szCs w:val="18"/>
                      <w:shd w:val="clear" w:color="auto" w:fill="FFFFFF"/>
                    </w:rPr>
                  </w:pPr>
                  <w:r>
                    <w:rPr>
                      <w:rFonts w:hint="eastAsia" w:ascii="Times New Roman" w:hAnsi="Times New Roman" w:cs="Times New Roman"/>
                      <w:color w:val="auto"/>
                      <w:sz w:val="18"/>
                      <w:szCs w:val="18"/>
                      <w:lang w:eastAsia="zh-CN"/>
                    </w:rPr>
                    <w:t>7.</w:t>
                  </w:r>
                  <w:r>
                    <w:rPr>
                      <w:rFonts w:hint="default" w:ascii="Times New Roman" w:hAnsi="Times New Roman" w:eastAsia="宋体" w:cs="Times New Roman"/>
                      <w:color w:val="auto"/>
                      <w:sz w:val="18"/>
                      <w:szCs w:val="18"/>
                    </w:rPr>
                    <w:t>在国家湿地公园的岸线和河段范围内挖沙、采矿，以及任何不符合主体功能定位的投资建设项目。</w:t>
                  </w:r>
                </w:p>
              </w:tc>
              <w:tc>
                <w:tcPr>
                  <w:tcW w:w="1493" w:type="pct"/>
                  <w:vMerge w:val="continue"/>
                  <w:tcBorders>
                    <w:tl2br w:val="nil"/>
                    <w:tr2bl w:val="nil"/>
                  </w:tcBorders>
                  <w:noWrap w:val="0"/>
                  <w:vAlign w:val="center"/>
                </w:tcPr>
                <w:p w14:paraId="5919CC4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p>
              </w:tc>
              <w:tc>
                <w:tcPr>
                  <w:tcW w:w="453" w:type="pct"/>
                  <w:tcBorders>
                    <w:tl2br w:val="nil"/>
                    <w:tr2bl w:val="nil"/>
                  </w:tcBorders>
                  <w:noWrap w:val="0"/>
                  <w:vAlign w:val="center"/>
                </w:tcPr>
                <w:p w14:paraId="5417012A">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E71A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63BA4F0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1BD04089">
                  <w:pPr>
                    <w:pStyle w:val="63"/>
                    <w:adjustRightInd w:val="0"/>
                    <w:snapToGrid w:val="0"/>
                    <w:spacing w:line="240" w:lineRule="auto"/>
                    <w:ind w:firstLine="0" w:firstLineChars="0"/>
                    <w:jc w:val="center"/>
                    <w:rPr>
                      <w:rFonts w:hint="default" w:ascii="Times New Roman" w:hAnsi="Times New Roman" w:eastAsia="宋体" w:cs="Times New Roman"/>
                      <w:color w:val="auto"/>
                      <w:spacing w:val="-4"/>
                      <w:sz w:val="18"/>
                      <w:szCs w:val="18"/>
                      <w:shd w:val="clear" w:color="auto" w:fill="FFFFFF"/>
                    </w:rPr>
                  </w:pPr>
                  <w:r>
                    <w:rPr>
                      <w:rFonts w:hint="eastAsia" w:ascii="Times New Roman" w:hAnsi="Times New Roman" w:cs="Times New Roman"/>
                      <w:color w:val="auto"/>
                      <w:sz w:val="18"/>
                      <w:szCs w:val="18"/>
                      <w:lang w:eastAsia="zh-CN"/>
                    </w:rPr>
                    <w:t>8.</w:t>
                  </w:r>
                  <w:r>
                    <w:rPr>
                      <w:rFonts w:hint="default" w:ascii="Times New Roman" w:hAnsi="Times New Roman" w:eastAsia="宋体" w:cs="Times New Roman"/>
                      <w:color w:val="auto"/>
                      <w:sz w:val="18"/>
                      <w:szCs w:val="18"/>
                    </w:rPr>
                    <w:t>在《长江岸线保护和开发利用总体规划》划定的岸线保护区和保留区内投资建设除事关公共安全及公众利益的防洪护岸、河道治理、供水、生态环境保护、航道整治、国家重要基础设施以外的项目。</w:t>
                  </w:r>
                </w:p>
              </w:tc>
              <w:tc>
                <w:tcPr>
                  <w:tcW w:w="1493" w:type="pct"/>
                  <w:vMerge w:val="continue"/>
                  <w:tcBorders>
                    <w:tl2br w:val="nil"/>
                    <w:tr2bl w:val="nil"/>
                  </w:tcBorders>
                  <w:noWrap w:val="0"/>
                  <w:vAlign w:val="center"/>
                </w:tcPr>
                <w:p w14:paraId="5A2496B6">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p>
              </w:tc>
              <w:tc>
                <w:tcPr>
                  <w:tcW w:w="453" w:type="pct"/>
                  <w:tcBorders>
                    <w:tl2br w:val="nil"/>
                    <w:tr2bl w:val="nil"/>
                  </w:tcBorders>
                  <w:noWrap w:val="0"/>
                  <w:vAlign w:val="center"/>
                </w:tcPr>
                <w:p w14:paraId="6BAD8080">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6096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3071B4FE">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08BB3E7E">
                  <w:pPr>
                    <w:pStyle w:val="63"/>
                    <w:adjustRightInd w:val="0"/>
                    <w:snapToGrid w:val="0"/>
                    <w:spacing w:line="240" w:lineRule="auto"/>
                    <w:ind w:firstLine="0" w:firstLineChars="0"/>
                    <w:jc w:val="left"/>
                    <w:rPr>
                      <w:rFonts w:hint="default" w:ascii="Times New Roman" w:hAnsi="Times New Roman" w:eastAsia="宋体" w:cs="Times New Roman"/>
                      <w:color w:val="auto"/>
                      <w:spacing w:val="-4"/>
                      <w:sz w:val="18"/>
                      <w:szCs w:val="18"/>
                      <w:shd w:val="clear" w:color="auto" w:fill="FFFFFF"/>
                    </w:rPr>
                  </w:pPr>
                  <w:r>
                    <w:rPr>
                      <w:rFonts w:hint="eastAsia" w:ascii="Times New Roman" w:hAnsi="Times New Roman" w:cs="Times New Roman"/>
                      <w:color w:val="auto"/>
                      <w:sz w:val="18"/>
                      <w:szCs w:val="18"/>
                      <w:lang w:eastAsia="zh-CN"/>
                    </w:rPr>
                    <w:t>9.</w:t>
                  </w:r>
                  <w:r>
                    <w:rPr>
                      <w:rFonts w:hint="default" w:ascii="Times New Roman" w:hAnsi="Times New Roman" w:eastAsia="宋体" w:cs="Times New Roman"/>
                      <w:color w:val="auto"/>
                      <w:sz w:val="18"/>
                      <w:szCs w:val="18"/>
                    </w:rPr>
                    <w:t>在《全国重要江河湖泊水功能区划》划定的河段及湖泊保护区、保留区内投资建设不利于水资源及自然生态保护的项目。</w:t>
                  </w:r>
                </w:p>
              </w:tc>
              <w:tc>
                <w:tcPr>
                  <w:tcW w:w="1493" w:type="pct"/>
                  <w:vMerge w:val="continue"/>
                  <w:tcBorders>
                    <w:tl2br w:val="nil"/>
                    <w:tr2bl w:val="nil"/>
                  </w:tcBorders>
                  <w:noWrap w:val="0"/>
                  <w:vAlign w:val="center"/>
                </w:tcPr>
                <w:p w14:paraId="70CB4D5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p>
              </w:tc>
              <w:tc>
                <w:tcPr>
                  <w:tcW w:w="453" w:type="pct"/>
                  <w:tcBorders>
                    <w:tl2br w:val="nil"/>
                    <w:tr2bl w:val="nil"/>
                  </w:tcBorders>
                  <w:noWrap w:val="0"/>
                  <w:vAlign w:val="center"/>
                </w:tcPr>
                <w:p w14:paraId="7189E2D5">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58C49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l2br w:val="nil"/>
                    <w:tr2bl w:val="nil"/>
                  </w:tcBorders>
                  <w:noWrap w:val="0"/>
                  <w:vAlign w:val="center"/>
                </w:tcPr>
                <w:p w14:paraId="14E28529">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全市范围内限制准入的产业</w:t>
                  </w:r>
                </w:p>
              </w:tc>
              <w:tc>
                <w:tcPr>
                  <w:tcW w:w="2329" w:type="pct"/>
                  <w:tcBorders>
                    <w:tl2br w:val="nil"/>
                    <w:tr2bl w:val="nil"/>
                  </w:tcBorders>
                  <w:noWrap w:val="0"/>
                  <w:vAlign w:val="center"/>
                </w:tcPr>
                <w:p w14:paraId="033D4C7D">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1.</w:t>
                  </w:r>
                  <w:r>
                    <w:rPr>
                      <w:rFonts w:hint="default" w:ascii="Times New Roman" w:hAnsi="Times New Roman" w:eastAsia="宋体" w:cs="Times New Roman"/>
                      <w:color w:val="auto"/>
                      <w:sz w:val="18"/>
                      <w:szCs w:val="18"/>
                    </w:rPr>
                    <w:t>新建、扩建不符合国家产能置换要求的严重过剩产能行业的项目。新建、扩建不符合要求的高耗能高排放项目。</w:t>
                  </w:r>
                </w:p>
              </w:tc>
              <w:tc>
                <w:tcPr>
                  <w:tcW w:w="1493" w:type="pct"/>
                  <w:tcBorders>
                    <w:tl2br w:val="nil"/>
                    <w:tr2bl w:val="nil"/>
                  </w:tcBorders>
                  <w:noWrap w:val="0"/>
                  <w:vAlign w:val="center"/>
                </w:tcPr>
                <w:p w14:paraId="78E5172B">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本项目不属于产能过剩行业</w:t>
                  </w:r>
                </w:p>
              </w:tc>
              <w:tc>
                <w:tcPr>
                  <w:tcW w:w="453" w:type="pct"/>
                  <w:tcBorders>
                    <w:tl2br w:val="nil"/>
                    <w:tr2bl w:val="nil"/>
                  </w:tcBorders>
                  <w:noWrap w:val="0"/>
                  <w:vAlign w:val="center"/>
                </w:tcPr>
                <w:p w14:paraId="024B5120">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67849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3CA74F2A">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501DF514">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2.</w:t>
                  </w:r>
                  <w:r>
                    <w:rPr>
                      <w:rFonts w:hint="default" w:ascii="Times New Roman" w:hAnsi="Times New Roman" w:eastAsia="宋体" w:cs="Times New Roman"/>
                      <w:color w:val="auto"/>
                      <w:sz w:val="18"/>
                      <w:szCs w:val="18"/>
                    </w:rPr>
                    <w:t>新建、扩建不符合国家石化、现代煤化工等产业布局规划的项目。</w:t>
                  </w:r>
                </w:p>
              </w:tc>
              <w:tc>
                <w:tcPr>
                  <w:tcW w:w="1493" w:type="pct"/>
                  <w:tcBorders>
                    <w:tl2br w:val="nil"/>
                    <w:tr2bl w:val="nil"/>
                  </w:tcBorders>
                  <w:noWrap w:val="0"/>
                  <w:vAlign w:val="center"/>
                </w:tcPr>
                <w:p w14:paraId="65773C9F">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不属于上述项目</w:t>
                  </w:r>
                </w:p>
              </w:tc>
              <w:tc>
                <w:tcPr>
                  <w:tcW w:w="453" w:type="pct"/>
                  <w:tcBorders>
                    <w:tl2br w:val="nil"/>
                    <w:tr2bl w:val="nil"/>
                  </w:tcBorders>
                  <w:noWrap w:val="0"/>
                  <w:vAlign w:val="center"/>
                </w:tcPr>
                <w:p w14:paraId="49E8409B">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33C3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41CC443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167577BD">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3.</w:t>
                  </w:r>
                  <w:r>
                    <w:rPr>
                      <w:rFonts w:hint="default" w:ascii="Times New Roman" w:hAnsi="Times New Roman" w:eastAsia="宋体" w:cs="Times New Roman"/>
                      <w:color w:val="auto"/>
                      <w:sz w:val="18"/>
                      <w:szCs w:val="18"/>
                    </w:rPr>
                    <w:t>在合规园区外新建、扩建钢铁、石化、化工、焦化、建材、有色、制浆造纸等高污染项目。</w:t>
                  </w:r>
                </w:p>
              </w:tc>
              <w:tc>
                <w:tcPr>
                  <w:tcW w:w="1493" w:type="pct"/>
                  <w:tcBorders>
                    <w:tl2br w:val="nil"/>
                    <w:tr2bl w:val="nil"/>
                  </w:tcBorders>
                  <w:noWrap w:val="0"/>
                  <w:vAlign w:val="center"/>
                </w:tcPr>
                <w:p w14:paraId="584C75C8">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，不属于上述行业</w:t>
                  </w:r>
                </w:p>
              </w:tc>
              <w:tc>
                <w:tcPr>
                  <w:tcW w:w="453" w:type="pct"/>
                  <w:tcBorders>
                    <w:tl2br w:val="nil"/>
                    <w:tr2bl w:val="nil"/>
                  </w:tcBorders>
                  <w:noWrap w:val="0"/>
                  <w:vAlign w:val="center"/>
                </w:tcPr>
                <w:p w14:paraId="019BC991">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D1BD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65572111">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2329" w:type="pct"/>
                  <w:tcBorders>
                    <w:tl2br w:val="nil"/>
                    <w:tr2bl w:val="nil"/>
                  </w:tcBorders>
                  <w:noWrap w:val="0"/>
                  <w:vAlign w:val="center"/>
                </w:tcPr>
                <w:p w14:paraId="0E9CEDF6">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4.</w:t>
                  </w:r>
                  <w:r>
                    <w:rPr>
                      <w:rFonts w:hint="default" w:ascii="Times New Roman" w:hAnsi="Times New Roman" w:eastAsia="宋体" w:cs="Times New Roman"/>
                      <w:color w:val="auto"/>
                      <w:sz w:val="18"/>
                      <w:szCs w:val="18"/>
                    </w:rPr>
                    <w:t>《汽车产业投资管理规定》（国家发展和改革委员会令第22号）明确禁止建设的汽车投资项目。</w:t>
                  </w:r>
                </w:p>
              </w:tc>
              <w:tc>
                <w:tcPr>
                  <w:tcW w:w="1493" w:type="pct"/>
                  <w:tcBorders>
                    <w:tl2br w:val="nil"/>
                    <w:tr2bl w:val="nil"/>
                  </w:tcBorders>
                  <w:noWrap w:val="0"/>
                  <w:vAlign w:val="center"/>
                </w:tcPr>
                <w:p w14:paraId="0791568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项目不属于</w:t>
                  </w:r>
                  <w:r>
                    <w:rPr>
                      <w:rFonts w:hint="default" w:ascii="Times New Roman" w:hAnsi="Times New Roman" w:eastAsia="宋体" w:cs="Times New Roman"/>
                      <w:color w:val="auto"/>
                      <w:sz w:val="18"/>
                      <w:szCs w:val="18"/>
                      <w:lang w:val="en-US" w:eastAsia="zh-CN"/>
                    </w:rPr>
                    <w:t>上述明确禁止建设的汽车投资项目</w:t>
                  </w:r>
                </w:p>
              </w:tc>
              <w:tc>
                <w:tcPr>
                  <w:tcW w:w="453" w:type="pct"/>
                  <w:tcBorders>
                    <w:tl2br w:val="nil"/>
                    <w:tr2bl w:val="nil"/>
                  </w:tcBorders>
                  <w:noWrap w:val="0"/>
                  <w:vAlign w:val="center"/>
                </w:tcPr>
                <w:p w14:paraId="38BFB896">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5A6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tcBorders>
                    <w:tl2br w:val="nil"/>
                    <w:tr2bl w:val="nil"/>
                  </w:tcBorders>
                  <w:noWrap w:val="0"/>
                  <w:vAlign w:val="center"/>
                </w:tcPr>
                <w:p w14:paraId="7C99D0D7">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重点区域范围内限制准入的产业</w:t>
                  </w:r>
                </w:p>
              </w:tc>
              <w:tc>
                <w:tcPr>
                  <w:tcW w:w="2329" w:type="pct"/>
                  <w:tcBorders>
                    <w:tl2br w:val="nil"/>
                    <w:tr2bl w:val="nil"/>
                  </w:tcBorders>
                  <w:noWrap w:val="0"/>
                  <w:vAlign w:val="center"/>
                </w:tcPr>
                <w:p w14:paraId="18E463C6">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1.</w:t>
                  </w:r>
                  <w:r>
                    <w:rPr>
                      <w:rFonts w:hint="default" w:ascii="Times New Roman" w:hAnsi="Times New Roman" w:eastAsia="宋体" w:cs="Times New Roman"/>
                      <w:color w:val="auto"/>
                      <w:sz w:val="18"/>
                      <w:szCs w:val="18"/>
                    </w:rPr>
                    <w:t>长江干支流、重要湖泊岸线1公里范围内新建、扩建化工园区和化工项目，长江、嘉陵江、乌江岸线1公里范围内布局新建纸浆制造、印染等存在环境风险的项目。</w:t>
                  </w:r>
                </w:p>
              </w:tc>
              <w:tc>
                <w:tcPr>
                  <w:tcW w:w="1493" w:type="pct"/>
                  <w:tcBorders>
                    <w:tl2br w:val="nil"/>
                    <w:tr2bl w:val="nil"/>
                  </w:tcBorders>
                  <w:noWrap w:val="0"/>
                  <w:vAlign w:val="center"/>
                </w:tcPr>
                <w:p w14:paraId="6F52C700">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项目</w:t>
                  </w:r>
                  <w:r>
                    <w:rPr>
                      <w:rFonts w:hint="eastAsia" w:ascii="Times New Roman" w:hAnsi="Times New Roman" w:cs="Times New Roman"/>
                      <w:bCs/>
                      <w:color w:val="auto"/>
                      <w:sz w:val="18"/>
                      <w:szCs w:val="18"/>
                      <w:lang w:eastAsia="zh-CN"/>
                    </w:rPr>
                    <w:t>距离建梁河距离约400m</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且</w:t>
                  </w:r>
                  <w:r>
                    <w:rPr>
                      <w:rFonts w:hint="default" w:ascii="Times New Roman" w:hAnsi="Times New Roman" w:eastAsia="宋体" w:cs="Times New Roman"/>
                      <w:color w:val="auto"/>
                      <w:kern w:val="0"/>
                      <w:sz w:val="18"/>
                      <w:szCs w:val="18"/>
                    </w:rPr>
                    <w:t>本项目不属于</w:t>
                  </w:r>
                  <w:r>
                    <w:rPr>
                      <w:rFonts w:hint="default" w:ascii="Times New Roman" w:hAnsi="Times New Roman" w:eastAsia="宋体" w:cs="Times New Roman"/>
                      <w:color w:val="auto"/>
                      <w:sz w:val="18"/>
                      <w:szCs w:val="18"/>
                    </w:rPr>
                    <w:t>上述项目</w:t>
                  </w:r>
                </w:p>
              </w:tc>
              <w:tc>
                <w:tcPr>
                  <w:tcW w:w="453" w:type="pct"/>
                  <w:tcBorders>
                    <w:tl2br w:val="nil"/>
                    <w:tr2bl w:val="nil"/>
                  </w:tcBorders>
                  <w:noWrap w:val="0"/>
                  <w:vAlign w:val="center"/>
                </w:tcPr>
                <w:p w14:paraId="1A5241A3">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FFFB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tcBorders>
                    <w:tl2br w:val="nil"/>
                    <w:tr2bl w:val="nil"/>
                  </w:tcBorders>
                  <w:noWrap w:val="0"/>
                  <w:vAlign w:val="center"/>
                </w:tcPr>
                <w:p w14:paraId="3D5A310D">
                  <w:pPr>
                    <w:pStyle w:val="63"/>
                    <w:adjustRightInd w:val="0"/>
                    <w:snapToGrid w:val="0"/>
                    <w:spacing w:line="240" w:lineRule="auto"/>
                    <w:ind w:firstLine="0" w:firstLineChars="0"/>
                    <w:jc w:val="center"/>
                    <w:rPr>
                      <w:rFonts w:hint="default" w:ascii="Times New Roman" w:hAnsi="Times New Roman" w:eastAsia="宋体" w:cs="Times New Roman"/>
                      <w:color w:val="auto"/>
                      <w:sz w:val="18"/>
                      <w:szCs w:val="18"/>
                      <w:shd w:val="clear" w:color="auto" w:fill="FFFFFF"/>
                    </w:rPr>
                  </w:pPr>
                </w:p>
              </w:tc>
              <w:tc>
                <w:tcPr>
                  <w:tcW w:w="2329" w:type="pct"/>
                  <w:tcBorders>
                    <w:tl2br w:val="nil"/>
                    <w:tr2bl w:val="nil"/>
                  </w:tcBorders>
                  <w:noWrap w:val="0"/>
                  <w:vAlign w:val="center"/>
                </w:tcPr>
                <w:p w14:paraId="6EC29027">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eastAsia="zh-CN"/>
                    </w:rPr>
                    <w:t>2.</w:t>
                  </w:r>
                  <w:r>
                    <w:rPr>
                      <w:rFonts w:hint="default" w:ascii="Times New Roman" w:hAnsi="Times New Roman" w:eastAsia="宋体" w:cs="Times New Roman"/>
                      <w:color w:val="auto"/>
                      <w:sz w:val="18"/>
                      <w:szCs w:val="18"/>
                    </w:rPr>
                    <w:t>在水产种质资源保护区的岸线和河段范围内新建围湖造田等投资建设项目。</w:t>
                  </w:r>
                </w:p>
              </w:tc>
              <w:tc>
                <w:tcPr>
                  <w:tcW w:w="1493" w:type="pct"/>
                  <w:tcBorders>
                    <w:tl2br w:val="nil"/>
                    <w:tr2bl w:val="nil"/>
                  </w:tcBorders>
                  <w:noWrap w:val="0"/>
                  <w:vAlign w:val="center"/>
                </w:tcPr>
                <w:p w14:paraId="291BC4FA">
                  <w:pPr>
                    <w:pStyle w:val="63"/>
                    <w:adjustRightInd w:val="0"/>
                    <w:snapToGrid w:val="0"/>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不属于上述项目</w:t>
                  </w:r>
                </w:p>
              </w:tc>
              <w:tc>
                <w:tcPr>
                  <w:tcW w:w="453" w:type="pct"/>
                  <w:tcBorders>
                    <w:tl2br w:val="nil"/>
                    <w:tr2bl w:val="nil"/>
                  </w:tcBorders>
                  <w:noWrap w:val="0"/>
                  <w:vAlign w:val="center"/>
                </w:tcPr>
                <w:p w14:paraId="4F26E768">
                  <w:pPr>
                    <w:adjustRightInd w:val="0"/>
                    <w:snapToGrid w:val="0"/>
                    <w:spacing w:line="240" w:lineRule="auto"/>
                    <w:ind w:left="0" w:leftChars="0"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01FBD2A0">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综上，本项目符合《重庆市产业投资准入工作手册》（渝发改投资〔2022〕1436号）相关要求。</w:t>
            </w:r>
          </w:p>
          <w:p w14:paraId="5D27D568">
            <w:pPr>
              <w:pStyle w:val="90"/>
              <w:snapToGrid w:val="0"/>
              <w:spacing w:line="360" w:lineRule="auto"/>
              <w:ind w:left="0" w:leftChars="0" w:firstLine="0" w:firstLineChars="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四、</w:t>
            </w:r>
            <w:r>
              <w:rPr>
                <w:rFonts w:hint="default" w:ascii="Times New Roman" w:hAnsi="Times New Roman" w:eastAsia="宋体" w:cs="Times New Roman"/>
                <w:b/>
                <w:bCs w:val="0"/>
                <w:color w:val="auto"/>
                <w:sz w:val="21"/>
                <w:szCs w:val="21"/>
              </w:rPr>
              <w:t>与《重庆市发展和改革委员会重庆市经济和信息化委员会关于严格工业布局和准入的通知》（渝发改工〔2018〕781号）的符合性</w:t>
            </w:r>
            <w:r>
              <w:rPr>
                <w:rFonts w:hint="default" w:ascii="Times New Roman" w:hAnsi="Times New Roman" w:eastAsia="宋体" w:cs="Times New Roman"/>
                <w:b/>
                <w:bCs w:val="0"/>
                <w:color w:val="auto"/>
                <w:sz w:val="21"/>
                <w:szCs w:val="21"/>
                <w:lang w:val="en-US" w:eastAsia="zh-CN"/>
              </w:rPr>
              <w:t>分析</w:t>
            </w:r>
          </w:p>
          <w:p w14:paraId="72BBC789">
            <w:pPr>
              <w:adjustRightInd w:val="0"/>
              <w:snapToGrid w:val="0"/>
              <w:spacing w:line="360" w:lineRule="auto"/>
              <w:ind w:firstLine="420" w:firstLineChars="200"/>
              <w:rPr>
                <w:rFonts w:hint="default" w:ascii="Times New Roman" w:hAnsi="Times New Roman" w:cs="Times New Roman"/>
                <w:color w:val="auto"/>
                <w:szCs w:val="21"/>
                <w:lang w:val="en-US" w:eastAsia="zh-CN"/>
              </w:rPr>
            </w:pPr>
            <w:r>
              <w:rPr>
                <w:rFonts w:hint="eastAsia" w:cs="Times New Roman"/>
                <w:color w:val="auto"/>
                <w:szCs w:val="21"/>
                <w:lang w:val="en-US" w:eastAsia="zh-CN"/>
              </w:rPr>
              <w:t>本项目</w:t>
            </w:r>
            <w:r>
              <w:rPr>
                <w:rFonts w:hint="default" w:ascii="Times New Roman" w:hAnsi="Times New Roman" w:cs="Times New Roman"/>
                <w:color w:val="auto"/>
                <w:szCs w:val="21"/>
                <w:lang w:val="en-US" w:eastAsia="zh-CN"/>
              </w:rPr>
              <w:t>与《重庆市发展和改革委员会重庆市经济和信息化委员会关于严格工业布局和准入的通知》（渝发改工〔2018〕781号）的符合性分析</w:t>
            </w:r>
            <w:r>
              <w:rPr>
                <w:rFonts w:hint="eastAsia" w:cs="Times New Roman"/>
                <w:color w:val="auto"/>
                <w:szCs w:val="21"/>
                <w:lang w:val="en-US" w:eastAsia="zh-CN"/>
              </w:rPr>
              <w:t>详见下表。</w:t>
            </w:r>
          </w:p>
          <w:p w14:paraId="39B936DA">
            <w:pPr>
              <w:pStyle w:val="90"/>
              <w:snapToGrid w:val="0"/>
              <w:spacing w:line="360" w:lineRule="auto"/>
              <w:ind w:firstLine="422" w:firstLineChars="200"/>
              <w:jc w:val="center"/>
              <w:textAlignment w:val="auto"/>
              <w:rPr>
                <w:rFonts w:hint="default" w:ascii="Times New Roman" w:hAnsi="Times New Roman" w:eastAsia="宋体" w:cs="Times New Roman"/>
                <w:b/>
                <w:bCs w:val="0"/>
                <w:color w:val="auto"/>
                <w:sz w:val="21"/>
                <w:szCs w:val="21"/>
                <w:lang w:val="zh-CN"/>
              </w:rPr>
            </w:pPr>
            <w:r>
              <w:rPr>
                <w:rFonts w:hint="default" w:ascii="Times New Roman" w:hAnsi="Times New Roman" w:eastAsia="宋体" w:cs="Times New Roman"/>
                <w:b/>
                <w:bCs w:val="0"/>
                <w:color w:val="auto"/>
                <w:sz w:val="21"/>
                <w:szCs w:val="21"/>
                <w:lang w:val="zh-CN"/>
              </w:rPr>
              <w:t>表</w:t>
            </w:r>
            <w:r>
              <w:rPr>
                <w:rFonts w:hint="default" w:ascii="Times New Roman" w:hAnsi="Times New Roman" w:eastAsia="宋体" w:cs="Times New Roman"/>
                <w:b/>
                <w:bCs w:val="0"/>
                <w:color w:val="auto"/>
                <w:sz w:val="21"/>
                <w:szCs w:val="21"/>
                <w:lang w:val="en-US" w:eastAsia="zh-CN"/>
              </w:rPr>
              <w:t>1-7</w:t>
            </w:r>
            <w:r>
              <w:rPr>
                <w:rFonts w:hint="default" w:ascii="Times New Roman" w:hAnsi="Times New Roman" w:eastAsia="宋体" w:cs="Times New Roman"/>
                <w:b/>
                <w:bCs w:val="0"/>
                <w:color w:val="auto"/>
                <w:sz w:val="21"/>
                <w:szCs w:val="21"/>
              </w:rPr>
              <w:t xml:space="preserve">  </w:t>
            </w:r>
            <w:r>
              <w:rPr>
                <w:rFonts w:hint="default" w:ascii="Times New Roman" w:hAnsi="Times New Roman" w:eastAsia="宋体" w:cs="Times New Roman"/>
                <w:b/>
                <w:bCs w:val="0"/>
                <w:color w:val="auto"/>
                <w:sz w:val="21"/>
                <w:szCs w:val="21"/>
                <w:lang w:val="zh-CN"/>
              </w:rPr>
              <w:t>关于严格工业布局和准入的通知符合性分析表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276"/>
              <w:gridCol w:w="2159"/>
              <w:gridCol w:w="1075"/>
            </w:tblGrid>
            <w:tr w14:paraId="2751B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tcBorders>
                    <w:tl2br w:val="nil"/>
                    <w:tr2bl w:val="nil"/>
                  </w:tcBorders>
                  <w:noWrap w:val="0"/>
                  <w:tcMar>
                    <w:top w:w="28" w:type="dxa"/>
                    <w:left w:w="57" w:type="dxa"/>
                    <w:bottom w:w="28" w:type="dxa"/>
                    <w:right w:w="57" w:type="dxa"/>
                  </w:tcMar>
                  <w:vAlign w:val="center"/>
                </w:tcPr>
                <w:p w14:paraId="1B21851B">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p>
              </w:tc>
              <w:tc>
                <w:tcPr>
                  <w:tcW w:w="2630" w:type="pct"/>
                  <w:tcBorders>
                    <w:tl2br w:val="nil"/>
                    <w:tr2bl w:val="nil"/>
                  </w:tcBorders>
                  <w:noWrap w:val="0"/>
                  <w:tcMar>
                    <w:top w:w="28" w:type="dxa"/>
                    <w:left w:w="57" w:type="dxa"/>
                    <w:bottom w:w="28" w:type="dxa"/>
                    <w:right w:w="57" w:type="dxa"/>
                  </w:tcMar>
                  <w:vAlign w:val="center"/>
                </w:tcPr>
                <w:p w14:paraId="03F781E9">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《通知》中相关要求</w:t>
                  </w:r>
                </w:p>
              </w:tc>
              <w:tc>
                <w:tcPr>
                  <w:tcW w:w="1328" w:type="pct"/>
                  <w:tcBorders>
                    <w:tl2br w:val="nil"/>
                    <w:tr2bl w:val="nil"/>
                  </w:tcBorders>
                  <w:noWrap w:val="0"/>
                  <w:tcMar>
                    <w:top w:w="28" w:type="dxa"/>
                    <w:left w:w="57" w:type="dxa"/>
                    <w:bottom w:w="28" w:type="dxa"/>
                    <w:right w:w="57" w:type="dxa"/>
                  </w:tcMar>
                  <w:vAlign w:val="center"/>
                </w:tcPr>
                <w:p w14:paraId="713BE01D">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项目情况</w:t>
                  </w:r>
                </w:p>
              </w:tc>
              <w:tc>
                <w:tcPr>
                  <w:tcW w:w="661" w:type="pct"/>
                  <w:tcBorders>
                    <w:tl2br w:val="nil"/>
                    <w:tr2bl w:val="nil"/>
                  </w:tcBorders>
                  <w:noWrap w:val="0"/>
                  <w:tcMar>
                    <w:top w:w="28" w:type="dxa"/>
                    <w:left w:w="57" w:type="dxa"/>
                    <w:bottom w:w="28" w:type="dxa"/>
                    <w:right w:w="57" w:type="dxa"/>
                  </w:tcMar>
                  <w:vAlign w:val="center"/>
                </w:tcPr>
                <w:p w14:paraId="23B8F1CA">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21826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tcBorders>
                    <w:tl2br w:val="nil"/>
                    <w:tr2bl w:val="nil"/>
                  </w:tcBorders>
                  <w:noWrap w:val="0"/>
                  <w:tcMar>
                    <w:top w:w="28" w:type="dxa"/>
                    <w:left w:w="57" w:type="dxa"/>
                    <w:bottom w:w="28" w:type="dxa"/>
                    <w:right w:w="57" w:type="dxa"/>
                  </w:tcMar>
                  <w:vAlign w:val="center"/>
                </w:tcPr>
                <w:p w14:paraId="54018BCB">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优化空间布局</w:t>
                  </w:r>
                </w:p>
              </w:tc>
              <w:tc>
                <w:tcPr>
                  <w:tcW w:w="2630" w:type="pct"/>
                  <w:tcBorders>
                    <w:tl2br w:val="nil"/>
                    <w:tr2bl w:val="nil"/>
                  </w:tcBorders>
                  <w:noWrap w:val="0"/>
                  <w:tcMar>
                    <w:top w:w="28" w:type="dxa"/>
                    <w:left w:w="57" w:type="dxa"/>
                    <w:bottom w:w="28" w:type="dxa"/>
                    <w:right w:w="57" w:type="dxa"/>
                  </w:tcMar>
                  <w:vAlign w:val="center"/>
                </w:tcPr>
                <w:p w14:paraId="6FA954A8">
                  <w:pPr>
                    <w:pStyle w:val="112"/>
                    <w:adjustRightInd w:val="0"/>
                    <w:snapToGrid w:val="0"/>
                    <w:spacing w:line="240" w:lineRule="auto"/>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1328" w:type="pct"/>
                  <w:tcBorders>
                    <w:tl2br w:val="nil"/>
                    <w:tr2bl w:val="nil"/>
                  </w:tcBorders>
                  <w:noWrap w:val="0"/>
                  <w:tcMar>
                    <w:top w:w="28" w:type="dxa"/>
                    <w:left w:w="57" w:type="dxa"/>
                    <w:bottom w:w="28" w:type="dxa"/>
                    <w:right w:w="57" w:type="dxa"/>
                  </w:tcMar>
                  <w:vAlign w:val="center"/>
                </w:tcPr>
                <w:p w14:paraId="3A9CED91">
                  <w:pPr>
                    <w:pStyle w:val="112"/>
                    <w:adjustRightInd w:val="0"/>
                    <w:snapToGrid w:val="0"/>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项目建设性质不属于重化工、纺织、造纸业。</w:t>
                  </w:r>
                </w:p>
              </w:tc>
              <w:tc>
                <w:tcPr>
                  <w:tcW w:w="661" w:type="pct"/>
                  <w:tcBorders>
                    <w:tl2br w:val="nil"/>
                    <w:tr2bl w:val="nil"/>
                  </w:tcBorders>
                  <w:noWrap w:val="0"/>
                  <w:tcMar>
                    <w:top w:w="28" w:type="dxa"/>
                    <w:left w:w="57" w:type="dxa"/>
                    <w:bottom w:w="28" w:type="dxa"/>
                    <w:right w:w="57" w:type="dxa"/>
                  </w:tcMar>
                  <w:vAlign w:val="center"/>
                </w:tcPr>
                <w:p w14:paraId="4E1B9DBD">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3533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tcBorders>
                    <w:tl2br w:val="nil"/>
                    <w:tr2bl w:val="nil"/>
                  </w:tcBorders>
                  <w:noWrap w:val="0"/>
                  <w:tcMar>
                    <w:top w:w="28" w:type="dxa"/>
                    <w:left w:w="57" w:type="dxa"/>
                    <w:bottom w:w="28" w:type="dxa"/>
                    <w:right w:w="57" w:type="dxa"/>
                  </w:tcMar>
                  <w:vAlign w:val="center"/>
                </w:tcPr>
                <w:p w14:paraId="44692254">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项目入园</w:t>
                  </w:r>
                </w:p>
              </w:tc>
              <w:tc>
                <w:tcPr>
                  <w:tcW w:w="2630" w:type="pct"/>
                  <w:tcBorders>
                    <w:tl2br w:val="nil"/>
                    <w:tr2bl w:val="nil"/>
                  </w:tcBorders>
                  <w:noWrap w:val="0"/>
                  <w:tcMar>
                    <w:top w:w="28" w:type="dxa"/>
                    <w:left w:w="57" w:type="dxa"/>
                    <w:bottom w:w="28" w:type="dxa"/>
                    <w:right w:w="57" w:type="dxa"/>
                  </w:tcMar>
                  <w:vAlign w:val="center"/>
                </w:tcPr>
                <w:p w14:paraId="59BDABCB">
                  <w:pPr>
                    <w:pStyle w:val="112"/>
                    <w:adjustRightInd w:val="0"/>
                    <w:snapToGrid w:val="0"/>
                    <w:spacing w:line="240" w:lineRule="auto"/>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328" w:type="pct"/>
                  <w:tcBorders>
                    <w:tl2br w:val="nil"/>
                    <w:tr2bl w:val="nil"/>
                  </w:tcBorders>
                  <w:noWrap w:val="0"/>
                  <w:tcMar>
                    <w:top w:w="28" w:type="dxa"/>
                    <w:left w:w="57" w:type="dxa"/>
                    <w:bottom w:w="28" w:type="dxa"/>
                    <w:right w:w="57" w:type="dxa"/>
                  </w:tcMar>
                  <w:vAlign w:val="center"/>
                </w:tcPr>
                <w:p w14:paraId="592B3870">
                  <w:pPr>
                    <w:pStyle w:val="112"/>
                    <w:adjustRightInd w:val="0"/>
                    <w:snapToGrid w:val="0"/>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，属工业用地。</w:t>
                  </w:r>
                </w:p>
              </w:tc>
              <w:tc>
                <w:tcPr>
                  <w:tcW w:w="661" w:type="pct"/>
                  <w:tcBorders>
                    <w:tl2br w:val="nil"/>
                    <w:tr2bl w:val="nil"/>
                  </w:tcBorders>
                  <w:noWrap w:val="0"/>
                  <w:tcMar>
                    <w:top w:w="28" w:type="dxa"/>
                    <w:left w:w="57" w:type="dxa"/>
                    <w:bottom w:w="28" w:type="dxa"/>
                    <w:right w:w="57" w:type="dxa"/>
                  </w:tcMar>
                  <w:vAlign w:val="center"/>
                </w:tcPr>
                <w:p w14:paraId="78EBFCF8">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6EE1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tcBorders>
                    <w:tl2br w:val="nil"/>
                    <w:tr2bl w:val="nil"/>
                  </w:tcBorders>
                  <w:noWrap w:val="0"/>
                  <w:tcMar>
                    <w:top w:w="28" w:type="dxa"/>
                    <w:left w:w="57" w:type="dxa"/>
                    <w:bottom w:w="28" w:type="dxa"/>
                    <w:right w:w="57" w:type="dxa"/>
                  </w:tcMar>
                  <w:vAlign w:val="center"/>
                </w:tcPr>
                <w:p w14:paraId="5C6E0D7E">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严格产业准入</w:t>
                  </w:r>
                </w:p>
              </w:tc>
              <w:tc>
                <w:tcPr>
                  <w:tcW w:w="2630" w:type="pct"/>
                  <w:tcBorders>
                    <w:tl2br w:val="nil"/>
                    <w:tr2bl w:val="nil"/>
                  </w:tcBorders>
                  <w:noWrap w:val="0"/>
                  <w:tcMar>
                    <w:top w:w="28" w:type="dxa"/>
                    <w:left w:w="57" w:type="dxa"/>
                    <w:bottom w:w="28" w:type="dxa"/>
                    <w:right w:w="57" w:type="dxa"/>
                  </w:tcMar>
                  <w:vAlign w:val="center"/>
                </w:tcPr>
                <w:p w14:paraId="54851BF9">
                  <w:pPr>
                    <w:pStyle w:val="112"/>
                    <w:adjustRightInd w:val="0"/>
                    <w:snapToGrid w:val="0"/>
                    <w:spacing w:line="240" w:lineRule="auto"/>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328" w:type="pct"/>
                  <w:tcBorders>
                    <w:tl2br w:val="nil"/>
                    <w:tr2bl w:val="nil"/>
                  </w:tcBorders>
                  <w:noWrap w:val="0"/>
                  <w:tcMar>
                    <w:top w:w="28" w:type="dxa"/>
                    <w:left w:w="57" w:type="dxa"/>
                    <w:bottom w:w="28" w:type="dxa"/>
                    <w:right w:w="57" w:type="dxa"/>
                  </w:tcMar>
                  <w:vAlign w:val="center"/>
                </w:tcPr>
                <w:p w14:paraId="099BFD34">
                  <w:pPr>
                    <w:pStyle w:val="112"/>
                    <w:adjustRightInd w:val="0"/>
                    <w:snapToGrid w:val="0"/>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本项目不属于重金属以及有毒有害和持久性污染物排放的项目，本项目属于国家允许类。</w:t>
                  </w:r>
                </w:p>
              </w:tc>
              <w:tc>
                <w:tcPr>
                  <w:tcW w:w="661" w:type="pct"/>
                  <w:tcBorders>
                    <w:tl2br w:val="nil"/>
                    <w:tr2bl w:val="nil"/>
                  </w:tcBorders>
                  <w:noWrap w:val="0"/>
                  <w:tcMar>
                    <w:top w:w="28" w:type="dxa"/>
                    <w:left w:w="57" w:type="dxa"/>
                    <w:bottom w:w="28" w:type="dxa"/>
                    <w:right w:w="57" w:type="dxa"/>
                  </w:tcMar>
                  <w:vAlign w:val="center"/>
                </w:tcPr>
                <w:p w14:paraId="3DADF7B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032FD891">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综上，</w:t>
            </w:r>
            <w:r>
              <w:rPr>
                <w:rFonts w:hint="default" w:ascii="Times New Roman" w:hAnsi="Times New Roman" w:eastAsia="宋体" w:cs="Times New Roman"/>
                <w:color w:val="auto"/>
                <w:lang w:val="en-US" w:eastAsia="zh-CN"/>
              </w:rPr>
              <w:t>项目符合《重庆市发展和改革、重庆市经济和信息化委员会关于严格工业布局和准入的通知》（渝发改工〔2018〕781号）通知的相关要求。</w:t>
            </w:r>
          </w:p>
          <w:p w14:paraId="5A6B478E">
            <w:pPr>
              <w:spacing w:line="360" w:lineRule="auto"/>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五</w:t>
            </w:r>
            <w:r>
              <w:rPr>
                <w:rFonts w:hint="default" w:ascii="Times New Roman" w:hAnsi="Times New Roman" w:eastAsia="宋体" w:cs="Times New Roman"/>
                <w:b/>
                <w:bCs/>
                <w:color w:val="auto"/>
                <w:lang w:val="en-US" w:eastAsia="zh-CN"/>
              </w:rPr>
              <w:t>、与《中华人民共和国长江保护法》符合性分析</w:t>
            </w:r>
          </w:p>
          <w:p w14:paraId="660281CE">
            <w:pPr>
              <w:adjustRightInd w:val="0"/>
              <w:snapToGrid w:val="0"/>
              <w:spacing w:line="360" w:lineRule="auto"/>
              <w:ind w:firstLine="420" w:firstLineChars="200"/>
              <w:rPr>
                <w:rFonts w:hint="default" w:ascii="Times New Roman" w:hAnsi="Times New Roman" w:eastAsia="宋体" w:cs="Times New Roman"/>
                <w:b/>
                <w:bCs/>
                <w:color w:val="auto"/>
                <w:lang w:val="en-US" w:eastAsia="zh-CN"/>
              </w:rPr>
            </w:pPr>
            <w:r>
              <w:rPr>
                <w:rFonts w:hint="eastAsia" w:cs="Times New Roman"/>
                <w:color w:val="auto"/>
                <w:szCs w:val="21"/>
                <w:lang w:val="en-US" w:eastAsia="zh-CN"/>
              </w:rPr>
              <w:t>本项目</w:t>
            </w:r>
            <w:r>
              <w:rPr>
                <w:rFonts w:hint="default" w:ascii="Times New Roman" w:hAnsi="Times New Roman" w:cs="Times New Roman"/>
                <w:color w:val="auto"/>
                <w:szCs w:val="21"/>
                <w:lang w:val="en-US" w:eastAsia="zh-CN"/>
              </w:rPr>
              <w:t>与《中华人民共和国长江保护法》的符合性分析</w:t>
            </w:r>
            <w:r>
              <w:rPr>
                <w:rFonts w:hint="eastAsia" w:cs="Times New Roman"/>
                <w:color w:val="auto"/>
                <w:szCs w:val="21"/>
                <w:lang w:val="en-US" w:eastAsia="zh-CN"/>
              </w:rPr>
              <w:t>详见下表。</w:t>
            </w:r>
          </w:p>
          <w:p w14:paraId="4E9F136B">
            <w:pPr>
              <w:spacing w:line="360" w:lineRule="auto"/>
              <w:ind w:firstLine="48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表1-</w:t>
            </w:r>
            <w:r>
              <w:rPr>
                <w:rFonts w:hint="default" w:ascii="Times New Roman" w:hAnsi="Times New Roman" w:cs="Times New Roman"/>
                <w:b/>
                <w:bCs/>
                <w:color w:val="auto"/>
                <w:lang w:val="en-US" w:eastAsia="zh-CN"/>
              </w:rPr>
              <w:t>8</w:t>
            </w:r>
            <w:r>
              <w:rPr>
                <w:rFonts w:hint="default" w:ascii="Times New Roman" w:hAnsi="Times New Roman" w:eastAsia="宋体" w:cs="Times New Roman"/>
                <w:b/>
                <w:bCs/>
                <w:color w:val="auto"/>
                <w:lang w:val="en-US" w:eastAsia="zh-CN"/>
              </w:rPr>
              <w:t xml:space="preserve">  与《中华人民共和国长江保护法》符合性分析对照表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643"/>
              <w:gridCol w:w="2782"/>
              <w:gridCol w:w="978"/>
            </w:tblGrid>
            <w:tr w14:paraId="5FC00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781CE666">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2241" w:type="pct"/>
                  <w:tcBorders>
                    <w:tl2br w:val="nil"/>
                    <w:tr2bl w:val="nil"/>
                  </w:tcBorders>
                  <w:noWrap w:val="0"/>
                  <w:vAlign w:val="center"/>
                </w:tcPr>
                <w:p w14:paraId="09B48E9D">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准入条件要求</w:t>
                  </w:r>
                </w:p>
              </w:tc>
              <w:tc>
                <w:tcPr>
                  <w:tcW w:w="1711" w:type="pct"/>
                  <w:tcBorders>
                    <w:tl2br w:val="nil"/>
                    <w:tr2bl w:val="nil"/>
                  </w:tcBorders>
                  <w:noWrap w:val="0"/>
                  <w:vAlign w:val="center"/>
                </w:tcPr>
                <w:p w14:paraId="3A962801">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项目情况</w:t>
                  </w:r>
                </w:p>
              </w:tc>
              <w:tc>
                <w:tcPr>
                  <w:tcW w:w="601" w:type="pct"/>
                  <w:tcBorders>
                    <w:tl2br w:val="nil"/>
                    <w:tr2bl w:val="nil"/>
                  </w:tcBorders>
                  <w:noWrap w:val="0"/>
                  <w:vAlign w:val="center"/>
                </w:tcPr>
                <w:p w14:paraId="3407939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175EC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0DB95EE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241" w:type="pct"/>
                  <w:tcBorders>
                    <w:tl2br w:val="nil"/>
                    <w:tr2bl w:val="nil"/>
                  </w:tcBorders>
                  <w:noWrap w:val="0"/>
                  <w:vAlign w:val="center"/>
                </w:tcPr>
                <w:p w14:paraId="434C8043">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第二十二条长江流域产业结构和布局应当与长江流域生态系统和资源环境承载能力相适应。禁止在长江流域重点生态功能区布局对生态系统有严重影响的产业。</w:t>
                  </w:r>
                </w:p>
              </w:tc>
              <w:tc>
                <w:tcPr>
                  <w:tcW w:w="1711" w:type="pct"/>
                  <w:tcBorders>
                    <w:tl2br w:val="nil"/>
                    <w:tr2bl w:val="nil"/>
                  </w:tcBorders>
                  <w:noWrap w:val="0"/>
                  <w:vAlign w:val="center"/>
                </w:tcPr>
                <w:p w14:paraId="2B801EAA">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项目占地范围内不涉及重点生态功能区。</w:t>
                  </w:r>
                </w:p>
              </w:tc>
              <w:tc>
                <w:tcPr>
                  <w:tcW w:w="601" w:type="pct"/>
                  <w:tcBorders>
                    <w:tl2br w:val="nil"/>
                    <w:tr2bl w:val="nil"/>
                  </w:tcBorders>
                  <w:noWrap w:val="0"/>
                  <w:vAlign w:val="center"/>
                </w:tcPr>
                <w:p w14:paraId="2CB25DA3">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7C34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072DA9EC">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241" w:type="pct"/>
                  <w:tcBorders>
                    <w:tl2br w:val="nil"/>
                    <w:tr2bl w:val="nil"/>
                  </w:tcBorders>
                  <w:noWrap w:val="0"/>
                  <w:vAlign w:val="center"/>
                </w:tcPr>
                <w:p w14:paraId="11E1FC27">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第二十六条禁止在长江干支流岸线一公里范围内新建、扩建化工园区和化工项目。</w:t>
                  </w:r>
                </w:p>
                <w:p w14:paraId="03A5F13B">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禁止在长江干流岸线三公里范围内和重要支流岸线一公里范围内新建、改建、扩建尾矿库；但是以提升安全、生态环境保护水平为目的的改建除外。</w:t>
                  </w:r>
                </w:p>
              </w:tc>
              <w:tc>
                <w:tcPr>
                  <w:tcW w:w="1711" w:type="pct"/>
                  <w:tcBorders>
                    <w:tl2br w:val="nil"/>
                    <w:tr2bl w:val="nil"/>
                  </w:tcBorders>
                  <w:noWrap w:val="0"/>
                  <w:vAlign w:val="center"/>
                </w:tcPr>
                <w:p w14:paraId="5DE79F1C">
                  <w:pPr>
                    <w:pStyle w:val="112"/>
                    <w:spacing w:line="240" w:lineRule="auto"/>
                    <w:jc w:val="both"/>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Cs/>
                      <w:color w:val="auto"/>
                      <w:sz w:val="18"/>
                      <w:szCs w:val="18"/>
                    </w:rPr>
                    <w:t>项目</w:t>
                  </w:r>
                  <w:r>
                    <w:rPr>
                      <w:rFonts w:hint="eastAsia" w:ascii="Times New Roman" w:hAnsi="Times New Roman" w:cs="Times New Roman"/>
                      <w:bCs/>
                      <w:color w:val="auto"/>
                      <w:sz w:val="18"/>
                      <w:szCs w:val="18"/>
                      <w:lang w:eastAsia="zh-CN"/>
                    </w:rPr>
                    <w:t>距离建梁河距离约400m</w:t>
                  </w:r>
                  <w:r>
                    <w:rPr>
                      <w:rFonts w:hint="default" w:ascii="Times New Roman" w:hAnsi="Times New Roman" w:eastAsia="宋体" w:cs="Times New Roman"/>
                      <w:color w:val="auto"/>
                      <w:sz w:val="18"/>
                      <w:szCs w:val="18"/>
                      <w:lang w:val="en-US" w:eastAsia="zh-CN"/>
                    </w:rPr>
                    <w:t>，且</w:t>
                  </w:r>
                  <w:r>
                    <w:rPr>
                      <w:rFonts w:hint="default" w:ascii="Times New Roman" w:hAnsi="Times New Roman" w:eastAsia="宋体" w:cs="Times New Roman"/>
                      <w:color w:val="auto"/>
                      <w:sz w:val="18"/>
                      <w:szCs w:val="18"/>
                    </w:rPr>
                    <w:t>不属于</w:t>
                  </w:r>
                  <w:r>
                    <w:rPr>
                      <w:rFonts w:hint="default" w:ascii="Times New Roman" w:hAnsi="Times New Roman" w:eastAsia="宋体" w:cs="Times New Roman"/>
                      <w:color w:val="auto"/>
                      <w:sz w:val="18"/>
                      <w:szCs w:val="18"/>
                      <w:lang w:val="en-US" w:eastAsia="zh-CN"/>
                    </w:rPr>
                    <w:t>上述</w:t>
                  </w:r>
                  <w:r>
                    <w:rPr>
                      <w:rFonts w:hint="default" w:ascii="Times New Roman" w:hAnsi="Times New Roman" w:eastAsia="宋体" w:cs="Times New Roman"/>
                      <w:color w:val="auto"/>
                      <w:sz w:val="18"/>
                      <w:szCs w:val="18"/>
                    </w:rPr>
                    <w:t>项目。</w:t>
                  </w:r>
                </w:p>
              </w:tc>
              <w:tc>
                <w:tcPr>
                  <w:tcW w:w="601" w:type="pct"/>
                  <w:tcBorders>
                    <w:tl2br w:val="nil"/>
                    <w:tr2bl w:val="nil"/>
                  </w:tcBorders>
                  <w:noWrap w:val="0"/>
                  <w:vAlign w:val="center"/>
                </w:tcPr>
                <w:p w14:paraId="45CD531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46D1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1DDFC76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2241" w:type="pct"/>
                  <w:tcBorders>
                    <w:tl2br w:val="nil"/>
                    <w:tr2bl w:val="nil"/>
                  </w:tcBorders>
                  <w:noWrap w:val="0"/>
                  <w:vAlign w:val="center"/>
                </w:tcPr>
                <w:p w14:paraId="5D1CE3E6">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第三十四条长江流域省级人民政府组织划定饮用水水源保护区，加强饮用水水源保护，保障饮用水安全。</w:t>
                  </w:r>
                </w:p>
              </w:tc>
              <w:tc>
                <w:tcPr>
                  <w:tcW w:w="1711" w:type="pct"/>
                  <w:tcBorders>
                    <w:tl2br w:val="nil"/>
                    <w:tr2bl w:val="nil"/>
                  </w:tcBorders>
                  <w:noWrap w:val="0"/>
                  <w:vAlign w:val="center"/>
                </w:tcPr>
                <w:p w14:paraId="1EF99C2D">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项目范围内不涉及饮用水源保护区。</w:t>
                  </w:r>
                </w:p>
              </w:tc>
              <w:tc>
                <w:tcPr>
                  <w:tcW w:w="601" w:type="pct"/>
                  <w:tcBorders>
                    <w:tl2br w:val="nil"/>
                    <w:tr2bl w:val="nil"/>
                  </w:tcBorders>
                  <w:noWrap w:val="0"/>
                  <w:vAlign w:val="center"/>
                </w:tcPr>
                <w:p w14:paraId="7327AA36">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DDA3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1D217939">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2241" w:type="pct"/>
                  <w:tcBorders>
                    <w:tl2br w:val="nil"/>
                    <w:tr2bl w:val="nil"/>
                  </w:tcBorders>
                  <w:noWrap w:val="0"/>
                  <w:vAlign w:val="center"/>
                </w:tcPr>
                <w:p w14:paraId="30C46F7B">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第四十条长江流域县级以上地方人民政府应当加强对长江流域</w:t>
                  </w:r>
                </w:p>
                <w:p w14:paraId="3F442444">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草原资源的保护，对具有调节气候、涵养水源、保持水土、防风固沙等特殊作用的基本草原实施严格管理。</w:t>
                  </w:r>
                </w:p>
              </w:tc>
              <w:tc>
                <w:tcPr>
                  <w:tcW w:w="1711" w:type="pct"/>
                  <w:tcBorders>
                    <w:tl2br w:val="nil"/>
                    <w:tr2bl w:val="nil"/>
                  </w:tcBorders>
                  <w:noWrap w:val="0"/>
                  <w:vAlign w:val="center"/>
                </w:tcPr>
                <w:p w14:paraId="28D867CD">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项目范围内不涉及具有调节气候、涵养水源、保持水土、防风固沙等特殊作用的基本草原。</w:t>
                  </w:r>
                </w:p>
              </w:tc>
              <w:tc>
                <w:tcPr>
                  <w:tcW w:w="601" w:type="pct"/>
                  <w:tcBorders>
                    <w:tl2br w:val="nil"/>
                    <w:tr2bl w:val="nil"/>
                  </w:tcBorders>
                  <w:noWrap w:val="0"/>
                  <w:vAlign w:val="center"/>
                </w:tcPr>
                <w:p w14:paraId="0193E6D7">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F407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4FB35BE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2241" w:type="pct"/>
                  <w:tcBorders>
                    <w:tl2br w:val="nil"/>
                    <w:tr2bl w:val="nil"/>
                  </w:tcBorders>
                  <w:noWrap w:val="0"/>
                  <w:vAlign w:val="center"/>
                </w:tcPr>
                <w:p w14:paraId="6B646F58">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第四十九条禁止在长江流域河湖管理范围内倾倒、填埋、堆放、弃置、处理固体废物。长江流域县级以上地方人民政府应当加强对固体废物非法转移和倾倒的联防联控。</w:t>
                  </w:r>
                </w:p>
              </w:tc>
              <w:tc>
                <w:tcPr>
                  <w:tcW w:w="1711" w:type="pct"/>
                  <w:tcBorders>
                    <w:tl2br w:val="nil"/>
                    <w:tr2bl w:val="nil"/>
                  </w:tcBorders>
                  <w:noWrap w:val="0"/>
                  <w:vAlign w:val="center"/>
                </w:tcPr>
                <w:p w14:paraId="668B03D7">
                  <w:pPr>
                    <w:pStyle w:val="112"/>
                    <w:spacing w:line="240" w:lineRule="auto"/>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项目固体废物</w:t>
                  </w:r>
                  <w:r>
                    <w:rPr>
                      <w:rFonts w:hint="eastAsia" w:cs="Times New Roman"/>
                      <w:color w:val="auto"/>
                      <w:sz w:val="18"/>
                      <w:szCs w:val="18"/>
                      <w:lang w:val="en-US" w:eastAsia="zh-CN"/>
                    </w:rPr>
                    <w:t>将得到</w:t>
                  </w:r>
                  <w:r>
                    <w:rPr>
                      <w:rFonts w:hint="default" w:ascii="Times New Roman" w:hAnsi="Times New Roman" w:eastAsia="宋体" w:cs="Times New Roman"/>
                      <w:color w:val="auto"/>
                      <w:sz w:val="18"/>
                      <w:szCs w:val="18"/>
                    </w:rPr>
                    <w:t>妥善</w:t>
                  </w:r>
                  <w:r>
                    <w:rPr>
                      <w:rFonts w:hint="eastAsia" w:cs="Times New Roman"/>
                      <w:color w:val="auto"/>
                      <w:sz w:val="18"/>
                      <w:szCs w:val="18"/>
                      <w:lang w:val="en-US" w:eastAsia="zh-CN"/>
                    </w:rPr>
                    <w:t>规范</w:t>
                  </w:r>
                  <w:r>
                    <w:rPr>
                      <w:rFonts w:hint="default" w:ascii="Times New Roman" w:hAnsi="Times New Roman" w:eastAsia="宋体" w:cs="Times New Roman"/>
                      <w:color w:val="auto"/>
                      <w:sz w:val="18"/>
                      <w:szCs w:val="18"/>
                    </w:rPr>
                    <w:t>处置</w:t>
                  </w:r>
                  <w:r>
                    <w:rPr>
                      <w:rFonts w:hint="eastAsia" w:cs="Times New Roman"/>
                      <w:color w:val="auto"/>
                      <w:sz w:val="18"/>
                      <w:szCs w:val="18"/>
                      <w:lang w:eastAsia="zh-CN"/>
                    </w:rPr>
                    <w:t>。</w:t>
                  </w:r>
                </w:p>
              </w:tc>
              <w:tc>
                <w:tcPr>
                  <w:tcW w:w="601" w:type="pct"/>
                  <w:tcBorders>
                    <w:tl2br w:val="nil"/>
                    <w:tr2bl w:val="nil"/>
                  </w:tcBorders>
                  <w:noWrap w:val="0"/>
                  <w:vAlign w:val="center"/>
                </w:tcPr>
                <w:p w14:paraId="37352034">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F1B3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296CBBCB">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2241" w:type="pct"/>
                  <w:tcBorders>
                    <w:tl2br w:val="nil"/>
                    <w:tr2bl w:val="nil"/>
                  </w:tcBorders>
                  <w:noWrap w:val="0"/>
                  <w:vAlign w:val="center"/>
                </w:tcPr>
                <w:p w14:paraId="13891063">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第六十一条禁止在长江流域水土流失严重、生态脆弱的区域开展可能造成水土流失的生产建设活动。确因国家发展战略和国计民生需要建设的，应当经科学论证，并依法办理审批手续。</w:t>
                  </w:r>
                </w:p>
                <w:p w14:paraId="14FCF992">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长江流域县级以上地方人民政府应当对石漠化的土地因地制宜采取综合治理措施，修复生态系统，防止土地石漠化蔓延。</w:t>
                  </w:r>
                </w:p>
              </w:tc>
              <w:tc>
                <w:tcPr>
                  <w:tcW w:w="1711" w:type="pct"/>
                  <w:tcBorders>
                    <w:tl2br w:val="nil"/>
                    <w:tr2bl w:val="nil"/>
                  </w:tcBorders>
                  <w:noWrap w:val="0"/>
                  <w:vAlign w:val="center"/>
                </w:tcPr>
                <w:p w14:paraId="3B5DDF21">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项目不属于水土流失严重、生态脆弱的区域。</w:t>
                  </w:r>
                </w:p>
              </w:tc>
              <w:tc>
                <w:tcPr>
                  <w:tcW w:w="601" w:type="pct"/>
                  <w:tcBorders>
                    <w:tl2br w:val="nil"/>
                    <w:tr2bl w:val="nil"/>
                  </w:tcBorders>
                  <w:noWrap w:val="0"/>
                  <w:vAlign w:val="center"/>
                </w:tcPr>
                <w:p w14:paraId="0082E3E3">
                  <w:pPr>
                    <w:pStyle w:val="112"/>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3E81BE0E">
            <w:pPr>
              <w:spacing w:line="360" w:lineRule="auto"/>
              <w:ind w:firstLine="48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综上，</w:t>
            </w:r>
            <w:r>
              <w:rPr>
                <w:rFonts w:hint="default" w:ascii="Times New Roman" w:hAnsi="Times New Roman" w:eastAsia="宋体" w:cs="Times New Roman"/>
                <w:color w:val="auto"/>
                <w:sz w:val="21"/>
                <w:szCs w:val="21"/>
              </w:rPr>
              <w:t>项目符合《中华人民共和国长江保护法》的相关要</w:t>
            </w:r>
            <w:r>
              <w:rPr>
                <w:rFonts w:hint="default" w:ascii="Times New Roman" w:hAnsi="Times New Roman" w:eastAsia="宋体" w:cs="Times New Roman"/>
                <w:b w:val="0"/>
                <w:bCs w:val="0"/>
                <w:color w:val="auto"/>
                <w:kern w:val="2"/>
                <w:sz w:val="21"/>
                <w:szCs w:val="21"/>
                <w:lang w:val="en-US" w:eastAsia="zh-CN" w:bidi="ar-SA"/>
              </w:rPr>
              <w:t>求。</w:t>
            </w:r>
          </w:p>
          <w:p w14:paraId="05627C8E">
            <w:pPr>
              <w:spacing w:line="360" w:lineRule="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六、</w:t>
            </w:r>
            <w:r>
              <w:rPr>
                <w:rFonts w:hint="default" w:ascii="Times New Roman" w:hAnsi="Times New Roman" w:eastAsia="宋体" w:cs="Times New Roman"/>
                <w:b/>
                <w:bCs/>
                <w:color w:val="auto"/>
                <w:kern w:val="2"/>
                <w:sz w:val="21"/>
                <w:szCs w:val="21"/>
                <w:lang w:val="en-US" w:eastAsia="zh-CN" w:bidi="ar-SA"/>
              </w:rPr>
              <w:t>与《重庆市环境保护条例》的符合性</w:t>
            </w:r>
          </w:p>
          <w:p w14:paraId="40E32338">
            <w:pPr>
              <w:pStyle w:val="63"/>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庆市环境保护条例》（2022年修订）第三十七条规定：除在安全或者产业布局等方面有特殊要求的项目外，新建有污染物排放的工业项目，应当进入工业园区或者工业集聚区，不得在工业园区或者工业集聚区以外区域实施单纯增加产能的技改或者扩建项目。</w:t>
            </w:r>
          </w:p>
          <w:p w14:paraId="38795764">
            <w:pPr>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符合性分析：本项目为新建项目，位于</w:t>
            </w:r>
            <w:r>
              <w:rPr>
                <w:rFonts w:hint="default" w:ascii="Times New Roman" w:hAnsi="Times New Roman" w:cs="Times New Roman"/>
                <w:color w:val="auto"/>
                <w:sz w:val="21"/>
                <w:szCs w:val="21"/>
                <w:lang w:val="en-US" w:eastAsia="zh-CN"/>
              </w:rPr>
              <w:t>合川区</w:t>
            </w:r>
            <w:r>
              <w:rPr>
                <w:rFonts w:hint="eastAsia" w:ascii="Times New Roman" w:hAnsi="Times New Roman" w:cs="Times New Roman"/>
                <w:color w:val="auto"/>
                <w:sz w:val="21"/>
                <w:szCs w:val="21"/>
                <w:lang w:val="en-US" w:eastAsia="zh-CN"/>
              </w:rPr>
              <w:t>南溪组团A区</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b w:val="0"/>
                <w:bCs/>
                <w:color w:val="auto"/>
                <w:kern w:val="0"/>
                <w:sz w:val="21"/>
                <w:szCs w:val="21"/>
                <w:lang w:val="en-US" w:eastAsia="zh-CN"/>
              </w:rPr>
              <w:t>主要生产塑料汽车零部件</w:t>
            </w:r>
            <w:r>
              <w:rPr>
                <w:rFonts w:hint="default" w:ascii="Times New Roman" w:hAnsi="Times New Roman" w:cs="Times New Roman"/>
                <w:b w:val="0"/>
                <w:bCs/>
                <w:color w:val="auto"/>
                <w:kern w:val="0"/>
                <w:sz w:val="21"/>
                <w:szCs w:val="21"/>
                <w:lang w:val="en-US" w:eastAsia="zh-CN"/>
              </w:rPr>
              <w:t>，</w:t>
            </w:r>
            <w:r>
              <w:rPr>
                <w:rFonts w:hint="default" w:ascii="Times New Roman" w:hAnsi="Times New Roman" w:eastAsia="宋体" w:cs="Times New Roman"/>
                <w:color w:val="auto"/>
                <w:sz w:val="21"/>
                <w:szCs w:val="21"/>
                <w:lang w:val="en-US" w:eastAsia="zh-CN"/>
              </w:rPr>
              <w:t>选址符合《重庆市环境保护条例》（2022年修订）要求。</w:t>
            </w:r>
          </w:p>
          <w:p w14:paraId="10BE56A9">
            <w:pPr>
              <w:adjustRightInd w:val="0"/>
              <w:snapToGrid w:val="0"/>
              <w:spacing w:line="360" w:lineRule="auto"/>
              <w:ind w:firstLine="0" w:firstLineChars="0"/>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七、</w:t>
            </w:r>
            <w:r>
              <w:rPr>
                <w:rFonts w:hint="default" w:ascii="Times New Roman" w:hAnsi="Times New Roman" w:eastAsia="宋体" w:cs="Times New Roman"/>
                <w:b/>
                <w:bCs/>
                <w:color w:val="auto"/>
                <w:sz w:val="21"/>
                <w:szCs w:val="21"/>
              </w:rPr>
              <w:t>与《挥发性有机物（VOCs）污染防治技术政策》《重点行业挥发性有机物综合治理方案》（环大气</w:t>
            </w:r>
            <w:r>
              <w:rPr>
                <w:rFonts w:hint="eastAsia" w:ascii="Times New Roman" w:hAnsi="Times New Roman" w:cs="Times New Roman"/>
                <w:b/>
                <w:bCs/>
                <w:color w:val="auto"/>
                <w:sz w:val="21"/>
                <w:szCs w:val="21"/>
                <w:lang w:eastAsia="zh-CN"/>
              </w:rPr>
              <w:t>〔2019〕53号</w:t>
            </w:r>
            <w:r>
              <w:rPr>
                <w:rFonts w:hint="default" w:ascii="Times New Roman" w:hAnsi="Times New Roman" w:eastAsia="宋体" w:cs="Times New Roman"/>
                <w:b/>
                <w:bCs/>
                <w:color w:val="auto"/>
                <w:sz w:val="21"/>
                <w:szCs w:val="21"/>
              </w:rPr>
              <w:t>）符合性分析</w:t>
            </w:r>
          </w:p>
          <w:p w14:paraId="551F9410">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行业类别为C3670汽车零部件及配件制造、C2929塑料零件及其他塑料制品制造</w:t>
            </w:r>
            <w:r>
              <w:rPr>
                <w:rFonts w:hint="default" w:ascii="Times New Roman" w:hAnsi="Times New Roman" w:eastAsia="宋体" w:cs="Times New Roman"/>
                <w:color w:val="auto"/>
                <w:sz w:val="21"/>
                <w:szCs w:val="21"/>
              </w:rPr>
              <w:t>，根据《挥发性有机物（VOCs）污染防治技术政策》《重点行业挥发性有机物综合治理方案》（环大气</w:t>
            </w:r>
            <w:r>
              <w:rPr>
                <w:rFonts w:hint="eastAsia" w:ascii="Times New Roman" w:hAnsi="Times New Roman" w:cs="Times New Roman"/>
                <w:color w:val="auto"/>
                <w:sz w:val="21"/>
                <w:szCs w:val="21"/>
                <w:lang w:eastAsia="zh-CN"/>
              </w:rPr>
              <w:t>〔2019〕53号</w:t>
            </w:r>
            <w:r>
              <w:rPr>
                <w:rFonts w:hint="default" w:ascii="Times New Roman" w:hAnsi="Times New Roman" w:eastAsia="宋体" w:cs="Times New Roman"/>
                <w:color w:val="auto"/>
                <w:sz w:val="21"/>
                <w:szCs w:val="21"/>
              </w:rPr>
              <w:t>），所涉及挥发性有机物污染防治要求及其符合性分析详见下表。</w:t>
            </w:r>
          </w:p>
          <w:p w14:paraId="750635FA">
            <w:pPr>
              <w:adjustRightInd w:val="0"/>
              <w:snapToGrid w:val="0"/>
              <w:spacing w:line="36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default" w:ascii="Times New Roman" w:hAnsi="Times New Roman" w:cs="Times New Roman"/>
                <w:b/>
                <w:color w:val="auto"/>
                <w:sz w:val="21"/>
                <w:szCs w:val="21"/>
                <w:lang w:val="en-US" w:eastAsia="zh-CN"/>
              </w:rPr>
              <w:t>9</w:t>
            </w:r>
            <w:r>
              <w:rPr>
                <w:rFonts w:hint="default" w:ascii="Times New Roman" w:hAnsi="Times New Roman" w:eastAsia="宋体" w:cs="Times New Roman"/>
                <w:b/>
                <w:color w:val="auto"/>
                <w:sz w:val="21"/>
                <w:szCs w:val="21"/>
              </w:rPr>
              <w:t xml:space="preserve">  本项目涉及挥发性有机物污染防治要求及其符合性分析一览表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1"/>
              <w:gridCol w:w="1575"/>
            </w:tblGrid>
            <w:tr w14:paraId="698A0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2B0B8310">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挥发性有机物（VOCs）污染防治技术政策</w:t>
                  </w:r>
                </w:p>
              </w:tc>
              <w:tc>
                <w:tcPr>
                  <w:tcW w:w="969" w:type="pct"/>
                  <w:tcBorders>
                    <w:tl2br w:val="nil"/>
                    <w:tr2bl w:val="nil"/>
                  </w:tcBorders>
                  <w:noWrap w:val="0"/>
                  <w:vAlign w:val="center"/>
                </w:tcPr>
                <w:p w14:paraId="621F7BEA">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符合性分析</w:t>
                  </w:r>
                </w:p>
              </w:tc>
            </w:tr>
            <w:tr w14:paraId="44676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24FD449C">
                  <w:pPr>
                    <w:adjustRightInd w:val="0"/>
                    <w:snapToGrid w:val="0"/>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二、源头和过程控制</w:t>
                  </w:r>
                </w:p>
                <w:p w14:paraId="155A755A">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2.对生产装置排放的含VOCs工艺排气宜优先回收利用，不能（或不能完全）回收利用的经处理后达标排放；</w:t>
                  </w:r>
                </w:p>
                <w:p w14:paraId="5DD9D3B5">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p w14:paraId="5788DC74">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6.含VOCs产品的使用过程中，应采取废气收集措施，提高废气收集效率，减少废气的无组织排放与逸散，并对收集后的废气进行回收或处理后达标排放</w:t>
                  </w:r>
                </w:p>
              </w:tc>
              <w:tc>
                <w:tcPr>
                  <w:tcW w:w="969" w:type="pct"/>
                  <w:vMerge w:val="restart"/>
                  <w:tcBorders>
                    <w:tl2br w:val="nil"/>
                    <w:tr2bl w:val="nil"/>
                  </w:tcBorders>
                  <w:noWrap w:val="0"/>
                  <w:vAlign w:val="center"/>
                </w:tcPr>
                <w:p w14:paraId="2E6717CD">
                  <w:pPr>
                    <w:widowControl w:val="0"/>
                    <w:spacing w:line="240" w:lineRule="auto"/>
                    <w:ind w:left="0" w:leftChars="0" w:firstLine="0" w:firstLineChars="0"/>
                    <w:jc w:val="both"/>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本项目属于</w:t>
                  </w:r>
                  <w:r>
                    <w:rPr>
                      <w:rFonts w:hint="default" w:ascii="Times New Roman" w:hAnsi="Times New Roman" w:cs="Times New Roman"/>
                      <w:color w:val="auto"/>
                      <w:kern w:val="0"/>
                      <w:sz w:val="18"/>
                      <w:szCs w:val="18"/>
                      <w:lang w:val="en-US" w:eastAsia="zh-CN" w:bidi="ar-SA"/>
                    </w:rPr>
                    <w:t>合川区</w:t>
                  </w:r>
                  <w:r>
                    <w:rPr>
                      <w:rFonts w:hint="eastAsia" w:ascii="Times New Roman" w:hAnsi="Times New Roman" w:cs="Times New Roman"/>
                      <w:color w:val="auto"/>
                      <w:kern w:val="0"/>
                      <w:sz w:val="18"/>
                      <w:szCs w:val="18"/>
                      <w:lang w:val="en-US" w:eastAsia="zh-CN" w:bidi="ar-SA"/>
                    </w:rPr>
                    <w:t>南溪组团A区</w:t>
                  </w:r>
                  <w:r>
                    <w:rPr>
                      <w:rFonts w:hint="default" w:ascii="Times New Roman" w:hAnsi="Times New Roman" w:eastAsia="宋体" w:cs="Times New Roman"/>
                      <w:color w:val="auto"/>
                      <w:kern w:val="0"/>
                      <w:sz w:val="18"/>
                      <w:szCs w:val="18"/>
                      <w:lang w:val="en-US" w:eastAsia="zh-CN" w:bidi="ar-SA"/>
                    </w:rPr>
                    <w:t>，项目符合所在园区入园规划。本项目</w:t>
                  </w:r>
                  <w:r>
                    <w:rPr>
                      <w:rFonts w:hint="eastAsia" w:cs="Times New Roman"/>
                      <w:color w:val="auto"/>
                      <w:kern w:val="0"/>
                      <w:sz w:val="18"/>
                      <w:szCs w:val="18"/>
                      <w:lang w:val="en-US" w:eastAsia="zh-CN" w:bidi="ar-SA"/>
                    </w:rPr>
                    <w:t>行业类别为C3670汽车零部件及配件制造、C2929塑料零件及其他塑料制品制造</w:t>
                  </w:r>
                  <w:r>
                    <w:rPr>
                      <w:rFonts w:hint="default" w:ascii="Times New Roman" w:hAnsi="Times New Roman" w:eastAsia="宋体" w:cs="Times New Roman"/>
                      <w:color w:val="auto"/>
                      <w:kern w:val="0"/>
                      <w:sz w:val="18"/>
                      <w:szCs w:val="18"/>
                      <w:lang w:val="en-US" w:eastAsia="zh-CN" w:bidi="ar-SA"/>
                    </w:rPr>
                    <w:t>，</w:t>
                  </w:r>
                  <w:r>
                    <w:rPr>
                      <w:rFonts w:hint="eastAsia" w:ascii="Times New Roman" w:hAnsi="Times New Roman" w:cs="Times New Roman"/>
                      <w:color w:val="auto"/>
                      <w:kern w:val="0"/>
                      <w:sz w:val="18"/>
                      <w:szCs w:val="18"/>
                      <w:lang w:val="en-US" w:eastAsia="zh-CN" w:bidi="ar-SA"/>
                    </w:rPr>
                    <w:t>主要生产塑料汽车零部件</w:t>
                  </w:r>
                  <w:r>
                    <w:rPr>
                      <w:rFonts w:hint="default" w:ascii="Times New Roman" w:hAnsi="Times New Roman" w:eastAsia="宋体" w:cs="Times New Roman"/>
                      <w:color w:val="auto"/>
                      <w:kern w:val="0"/>
                      <w:sz w:val="18"/>
                      <w:szCs w:val="18"/>
                      <w:lang w:val="en-US" w:eastAsia="zh-CN" w:bidi="ar-SA"/>
                    </w:rPr>
                    <w:t>，本项目营运期</w:t>
                  </w:r>
                  <w:r>
                    <w:rPr>
                      <w:rFonts w:hint="default" w:ascii="Times New Roman" w:hAnsi="Times New Roman" w:cs="Times New Roman"/>
                      <w:color w:val="auto"/>
                      <w:kern w:val="0"/>
                      <w:sz w:val="18"/>
                      <w:szCs w:val="18"/>
                    </w:rPr>
                    <w:t>注塑时加热挤出</w:t>
                  </w:r>
                  <w:r>
                    <w:rPr>
                      <w:rFonts w:hint="default" w:ascii="Times New Roman" w:hAnsi="Times New Roman" w:cs="Times New Roman"/>
                      <w:color w:val="auto"/>
                      <w:sz w:val="18"/>
                      <w:szCs w:val="18"/>
                    </w:rPr>
                    <w:t>产生的有机废气经</w:t>
                  </w:r>
                  <w:r>
                    <w:rPr>
                      <w:rFonts w:hint="default" w:ascii="Times New Roman" w:hAnsi="Times New Roman" w:cs="Times New Roman"/>
                      <w:color w:val="auto"/>
                      <w:sz w:val="18"/>
                      <w:szCs w:val="18"/>
                      <w:lang w:eastAsia="zh-CN"/>
                    </w:rPr>
                    <w:t>过滤棉+两级活性炭</w:t>
                  </w:r>
                  <w:r>
                    <w:rPr>
                      <w:rFonts w:hint="default" w:ascii="Times New Roman" w:hAnsi="Times New Roman" w:cs="Times New Roman"/>
                      <w:color w:val="auto"/>
                      <w:sz w:val="18"/>
                      <w:szCs w:val="18"/>
                    </w:rPr>
                    <w:t>吸附装置处理后达标排放</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val="en-US" w:eastAsia="zh-CN"/>
                    </w:rPr>
                    <w:t>使用的</w:t>
                  </w:r>
                  <w:r>
                    <w:rPr>
                      <w:rFonts w:hint="default" w:ascii="Times New Roman" w:hAnsi="Times New Roman" w:cs="Times New Roman"/>
                      <w:color w:val="auto"/>
                      <w:sz w:val="18"/>
                      <w:szCs w:val="18"/>
                      <w:lang w:val="en-US" w:eastAsia="zh-CN"/>
                    </w:rPr>
                    <w:t>原材料</w:t>
                  </w:r>
                  <w:r>
                    <w:rPr>
                      <w:rFonts w:hint="default" w:ascii="Times New Roman" w:hAnsi="Times New Roman" w:eastAsia="宋体" w:cs="Times New Roman"/>
                      <w:color w:val="auto"/>
                      <w:sz w:val="18"/>
                      <w:szCs w:val="18"/>
                    </w:rPr>
                    <w:t>满足</w:t>
                  </w:r>
                  <w:r>
                    <w:rPr>
                      <w:rFonts w:hint="default" w:ascii="Times New Roman" w:hAnsi="Times New Roman" w:eastAsia="宋体" w:cs="Times New Roman"/>
                      <w:color w:val="auto"/>
                      <w:sz w:val="18"/>
                      <w:szCs w:val="18"/>
                      <w:lang w:val="en-US" w:eastAsia="zh-CN"/>
                    </w:rPr>
                    <w:t>国家</w:t>
                  </w:r>
                  <w:r>
                    <w:rPr>
                      <w:rFonts w:hint="default" w:ascii="Times New Roman" w:hAnsi="Times New Roman" w:eastAsia="宋体" w:cs="Times New Roman"/>
                      <w:color w:val="auto"/>
                      <w:sz w:val="18"/>
                      <w:szCs w:val="18"/>
                    </w:rPr>
                    <w:t>相关要求</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kern w:val="0"/>
                      <w:sz w:val="18"/>
                      <w:szCs w:val="18"/>
                      <w:lang w:val="en-US" w:eastAsia="zh-CN" w:bidi="ar-SA"/>
                    </w:rPr>
                    <w:t>且</w:t>
                  </w:r>
                  <w:r>
                    <w:rPr>
                      <w:rFonts w:hint="default" w:ascii="Times New Roman" w:hAnsi="Times New Roman" w:cs="Times New Roman"/>
                      <w:color w:val="auto"/>
                      <w:kern w:val="0"/>
                      <w:sz w:val="18"/>
                      <w:szCs w:val="18"/>
                      <w:lang w:val="en-US" w:eastAsia="zh-CN" w:bidi="ar-SA"/>
                    </w:rPr>
                    <w:t>废气处理设施的</w:t>
                  </w:r>
                  <w:r>
                    <w:rPr>
                      <w:rFonts w:hint="default" w:ascii="Times New Roman" w:hAnsi="Times New Roman" w:eastAsia="宋体" w:cs="Times New Roman"/>
                      <w:color w:val="auto"/>
                      <w:kern w:val="0"/>
                      <w:sz w:val="18"/>
                      <w:szCs w:val="18"/>
                      <w:lang w:val="en-US" w:eastAsia="zh-CN" w:bidi="ar-SA"/>
                    </w:rPr>
                    <w:t>活性炭定期更换按危废处理，项目营运期配备环保管理人员，建立健全VOCs治理设施的运行维护规程和日常管理制度，并对废气治理设施进行维护管理。</w:t>
                  </w:r>
                </w:p>
              </w:tc>
            </w:tr>
            <w:tr w14:paraId="49953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774A91A7">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三、末端治理与综合利用</w:t>
                  </w:r>
                </w:p>
                <w:p w14:paraId="399F9D03">
                  <w:pPr>
                    <w:adjustRightInd w:val="0"/>
                    <w:snapToGrid w:val="0"/>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（十三）对于含高浓度VOCs的废气，宜优先采用冷凝回收、吸附回收技术进行回收利用，并辅助以其他治理技术实现达标排放</w:t>
                  </w:r>
                </w:p>
                <w:p w14:paraId="5EE565A5">
                  <w:pPr>
                    <w:adjustRightInd w:val="0"/>
                    <w:snapToGrid w:val="0"/>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（十四）对于含中等浓度VOCs的废气，可采用吸附技术回收挥发</w:t>
                  </w:r>
                  <w:r>
                    <w:rPr>
                      <w:rFonts w:hint="eastAsia" w:ascii="Times New Roman" w:hAnsi="Times New Roman" w:cs="Times New Roman"/>
                      <w:color w:val="auto"/>
                      <w:sz w:val="18"/>
                      <w:szCs w:val="18"/>
                      <w:lang w:eastAsia="zh-CN"/>
                    </w:rPr>
                    <w:t>分</w:t>
                  </w:r>
                  <w:r>
                    <w:rPr>
                      <w:rFonts w:hint="default" w:ascii="Times New Roman" w:hAnsi="Times New Roman" w:eastAsia="宋体" w:cs="Times New Roman"/>
                      <w:color w:val="auto"/>
                      <w:sz w:val="18"/>
                      <w:szCs w:val="18"/>
                    </w:rPr>
                    <w:t>，或采用催化燃烧和热力焚烧技术净化后达标排放。当采用催化燃烧和热力焚烧技术进行净化时，应进行余热回收利用</w:t>
                  </w:r>
                </w:p>
                <w:p w14:paraId="4E3F76D8">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十五）对于含低浓度VOCs的废气，有回收价值时可采用吸附技术、吸收技术对挥发份回收后达标排放；不宜回收时，可采用吸附浓缩燃烧技术、生物技术、吸收技术、等离子体技术或紫外光高级氧化技术等净化后达标排放</w:t>
                  </w:r>
                </w:p>
                <w:p w14:paraId="49E2B6CD">
                  <w:pPr>
                    <w:adjustRightInd w:val="0"/>
                    <w:snapToGrid w:val="0"/>
                    <w:spacing w:line="240" w:lineRule="auto"/>
                    <w:ind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（十九）严格控制VOCs处理过程中产生的二次污染，对于催化燃烧和热力焚烧过程中产生的含硫、氮、氯等无机废气，以及吸附、吸收、冷凝、生物等治理过程中所产生的含有机物废水，应处理后达标排放</w:t>
                  </w:r>
                </w:p>
                <w:p w14:paraId="0191548A">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（二十）对于不能再生的过滤材料、吸附剂及催化剂等净化材料，应按照国家固体废物管理的相关规定处理处置</w:t>
                  </w:r>
                </w:p>
              </w:tc>
              <w:tc>
                <w:tcPr>
                  <w:tcW w:w="969" w:type="pct"/>
                  <w:vMerge w:val="continue"/>
                  <w:tcBorders>
                    <w:tl2br w:val="nil"/>
                    <w:tr2bl w:val="nil"/>
                  </w:tcBorders>
                  <w:noWrap w:val="0"/>
                  <w:vAlign w:val="center"/>
                </w:tcPr>
                <w:p w14:paraId="256FF63E">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18659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4DF34561">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五、环境管理</w:t>
                  </w:r>
                </w:p>
                <w:p w14:paraId="45801D58">
                  <w:pPr>
                    <w:widowControl w:val="0"/>
                    <w:adjustRightInd w:val="0"/>
                    <w:snapToGrid w:val="0"/>
                    <w:spacing w:line="240" w:lineRule="auto"/>
                    <w:ind w:firstLine="360" w:firstLineChars="20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企业应建立健全VOCs治理设施的运行维护规程和台账等日常管理制度，并根据工艺要求定期对各类设备、电气、自控仪表等进行检修维护，确保设施的稳定运行。</w:t>
                  </w:r>
                </w:p>
              </w:tc>
              <w:tc>
                <w:tcPr>
                  <w:tcW w:w="969" w:type="pct"/>
                  <w:vMerge w:val="continue"/>
                  <w:tcBorders>
                    <w:tl2br w:val="nil"/>
                    <w:tr2bl w:val="nil"/>
                  </w:tcBorders>
                  <w:noWrap w:val="0"/>
                  <w:vAlign w:val="center"/>
                </w:tcPr>
                <w:p w14:paraId="18BEA9A2">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11A8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496089C2">
                  <w:pPr>
                    <w:widowControl w:val="0"/>
                    <w:adjustRightInd w:val="0"/>
                    <w:snapToGrid w:val="0"/>
                    <w:spacing w:line="240" w:lineRule="auto"/>
                    <w:ind w:firstLine="361" w:firstLineChars="20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重点行业挥发性有机物综合治理方案</w:t>
                  </w:r>
                </w:p>
              </w:tc>
              <w:tc>
                <w:tcPr>
                  <w:tcW w:w="969" w:type="pct"/>
                  <w:vMerge w:val="continue"/>
                  <w:tcBorders>
                    <w:tl2br w:val="nil"/>
                    <w:tr2bl w:val="nil"/>
                  </w:tcBorders>
                  <w:noWrap w:val="0"/>
                  <w:vAlign w:val="center"/>
                </w:tcPr>
                <w:p w14:paraId="0BE00828">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BA1E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0" w:type="pct"/>
                  <w:tcBorders>
                    <w:tl2br w:val="nil"/>
                    <w:tr2bl w:val="nil"/>
                  </w:tcBorders>
                  <w:noWrap w:val="0"/>
                  <w:vAlign w:val="center"/>
                </w:tcPr>
                <w:p w14:paraId="7858E24E">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5F381E03">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p w14:paraId="7FFB259C">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（四）工业涂装VOCs综合治理。加大汽车、家具、集装箱、电子产品、工程机械等行业VOCs治理力度，重点区域应结合本地产业特征，加快实施其他行业涂装VOCs综合治理。</w:t>
                  </w:r>
                </w:p>
                <w:p w14:paraId="26F33CB3">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强化源头控制，加快使用粉末、水性、高固体分、辐射固化等低VOCs含量的涂料替代溶剂型涂料。加快推广紧凑式涂装工艺、先进涂装技术和设备。</w:t>
                  </w:r>
                </w:p>
                <w:p w14:paraId="200BBD43">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2219CCD1">
                  <w:pPr>
                    <w:widowControl w:val="0"/>
                    <w:adjustRightInd w:val="0"/>
                    <w:snapToGrid w:val="0"/>
                    <w:spacing w:line="240" w:lineRule="auto"/>
                    <w:ind w:firstLine="0" w:firstLineChars="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969" w:type="pct"/>
                  <w:vMerge w:val="continue"/>
                  <w:tcBorders>
                    <w:tl2br w:val="nil"/>
                    <w:tr2bl w:val="nil"/>
                  </w:tcBorders>
                  <w:noWrap w:val="0"/>
                  <w:vAlign w:val="center"/>
                </w:tcPr>
                <w:p w14:paraId="031AA0B6">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bl>
          <w:p w14:paraId="6C875056">
            <w:pPr>
              <w:autoSpaceDE w:val="0"/>
              <w:autoSpaceDN w:val="0"/>
              <w:adjustRightInd w:val="0"/>
              <w:spacing w:line="360" w:lineRule="auto"/>
              <w:ind w:firstLine="0" w:firstLineChars="0"/>
              <w:jc w:val="lef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八</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与《挥发性有机物无组织排放控制标准》（</w:t>
            </w:r>
            <w:r>
              <w:rPr>
                <w:rFonts w:hint="eastAsia" w:cs="Times New Roman"/>
                <w:b/>
                <w:bCs/>
                <w:color w:val="auto"/>
                <w:sz w:val="21"/>
                <w:szCs w:val="21"/>
                <w:lang w:eastAsia="zh-CN"/>
              </w:rPr>
              <w:t>GB 37822-2019</w:t>
            </w:r>
            <w:r>
              <w:rPr>
                <w:rFonts w:hint="default" w:ascii="Times New Roman" w:hAnsi="Times New Roman" w:eastAsia="宋体" w:cs="Times New Roman"/>
                <w:b/>
                <w:bCs/>
                <w:color w:val="auto"/>
                <w:sz w:val="21"/>
                <w:szCs w:val="21"/>
              </w:rPr>
              <w:t>）符合性分析</w:t>
            </w:r>
          </w:p>
          <w:p w14:paraId="5AD0E03B">
            <w:pPr>
              <w:widowControl w:val="0"/>
              <w:autoSpaceDE w:val="0"/>
              <w:autoSpaceDN w:val="0"/>
              <w:adjustRightInd w:val="0"/>
              <w:spacing w:line="360" w:lineRule="auto"/>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表1-1</w:t>
            </w:r>
            <w:r>
              <w:rPr>
                <w:rFonts w:hint="default" w:ascii="Times New Roman" w:hAnsi="Times New Roman" w:cs="Times New Roman"/>
                <w:b/>
                <w:bCs/>
                <w:color w:val="auto"/>
                <w:kern w:val="2"/>
                <w:sz w:val="21"/>
                <w:szCs w:val="21"/>
                <w:lang w:val="en-US" w:eastAsia="zh-CN" w:bidi="ar-SA"/>
              </w:rPr>
              <w:t>0</w:t>
            </w:r>
            <w:r>
              <w:rPr>
                <w:rFonts w:hint="default" w:ascii="Times New Roman" w:hAnsi="Times New Roman" w:eastAsia="宋体" w:cs="Times New Roman"/>
                <w:b/>
                <w:bCs/>
                <w:color w:val="auto"/>
                <w:kern w:val="2"/>
                <w:sz w:val="21"/>
                <w:szCs w:val="21"/>
                <w:lang w:val="en-US" w:eastAsia="zh-CN" w:bidi="ar-SA"/>
              </w:rPr>
              <w:t xml:space="preserve">  与《挥发性有机物无组织排放控制标准》符合性分析</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91"/>
              <w:gridCol w:w="2588"/>
              <w:gridCol w:w="743"/>
            </w:tblGrid>
            <w:tr w14:paraId="05258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5A1A9B61">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相关要求</w:t>
                  </w:r>
                </w:p>
              </w:tc>
              <w:tc>
                <w:tcPr>
                  <w:tcW w:w="1593" w:type="pct"/>
                  <w:tcBorders>
                    <w:tl2br w:val="nil"/>
                    <w:tr2bl w:val="nil"/>
                  </w:tcBorders>
                  <w:noWrap w:val="0"/>
                  <w:vAlign w:val="center"/>
                </w:tcPr>
                <w:p w14:paraId="233CD91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项目情况</w:t>
                  </w:r>
                </w:p>
              </w:tc>
              <w:tc>
                <w:tcPr>
                  <w:tcW w:w="457" w:type="pct"/>
                  <w:tcBorders>
                    <w:tl2br w:val="nil"/>
                    <w:tr2bl w:val="nil"/>
                  </w:tcBorders>
                  <w:noWrap w:val="0"/>
                  <w:vAlign w:val="center"/>
                </w:tcPr>
                <w:p w14:paraId="4491A901">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36350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534EE7AF">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物料应储存于密闭的容器、包装袋、储罐、储库、料仓中。</w:t>
                  </w:r>
                </w:p>
              </w:tc>
              <w:tc>
                <w:tcPr>
                  <w:tcW w:w="1593" w:type="pct"/>
                  <w:vMerge w:val="restart"/>
                  <w:tcBorders>
                    <w:tl2br w:val="nil"/>
                    <w:tr2bl w:val="nil"/>
                  </w:tcBorders>
                  <w:noWrap w:val="0"/>
                  <w:vAlign w:val="center"/>
                </w:tcPr>
                <w:p w14:paraId="355F7922">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eastAsia" w:ascii="Times New Roman" w:hAnsi="Times New Roman" w:cs="Times New Roman"/>
                      <w:color w:val="auto"/>
                      <w:sz w:val="18"/>
                      <w:szCs w:val="18"/>
                      <w:lang w:eastAsia="zh-CN"/>
                    </w:rPr>
                    <w:t>原材料主要为</w:t>
                  </w:r>
                  <w:r>
                    <w:rPr>
                      <w:rFonts w:hint="eastAsia" w:ascii="Times New Roman" w:hAnsi="Times New Roman" w:cs="Times New Roman"/>
                      <w:color w:val="auto"/>
                      <w:sz w:val="18"/>
                      <w:szCs w:val="18"/>
                      <w:lang w:val="en-US" w:eastAsia="zh-CN"/>
                    </w:rPr>
                    <w:t>PP、ABS、</w:t>
                  </w:r>
                  <w:r>
                    <w:rPr>
                      <w:rFonts w:hint="default" w:ascii="Times New Roman" w:hAnsi="Times New Roman" w:eastAsia="宋体" w:cs="Times New Roman"/>
                      <w:color w:val="auto"/>
                      <w:spacing w:val="16"/>
                      <w:sz w:val="18"/>
                      <w:szCs w:val="18"/>
                      <w:lang w:val="en-US" w:eastAsia="zh-CN"/>
                    </w:rPr>
                    <w:t>PA塑料</w:t>
                  </w:r>
                  <w:r>
                    <w:rPr>
                      <w:rFonts w:hint="eastAsia" w:ascii="Times New Roman" w:hAnsi="Times New Roman" w:eastAsia="宋体" w:cs="Times New Roman"/>
                      <w:color w:val="auto"/>
                      <w:spacing w:val="16"/>
                      <w:sz w:val="18"/>
                      <w:szCs w:val="18"/>
                      <w:lang w:val="en-US" w:eastAsia="zh-CN"/>
                    </w:rPr>
                    <w:t>颗粒</w:t>
                  </w:r>
                  <w:r>
                    <w:rPr>
                      <w:rFonts w:hint="default" w:ascii="Times New Roman" w:hAnsi="Times New Roman" w:eastAsia="宋体" w:cs="Times New Roman"/>
                      <w:color w:val="auto"/>
                      <w:sz w:val="18"/>
                      <w:szCs w:val="18"/>
                    </w:rPr>
                    <w:t>，</w:t>
                  </w:r>
                  <w:r>
                    <w:rPr>
                      <w:rFonts w:hint="eastAsia" w:ascii="Times New Roman" w:hAnsi="Times New Roman" w:cs="Times New Roman"/>
                      <w:color w:val="auto"/>
                      <w:sz w:val="18"/>
                      <w:szCs w:val="18"/>
                      <w:lang w:eastAsia="zh-CN"/>
                    </w:rPr>
                    <w:t>在厂区内采用袋装储存，</w:t>
                  </w:r>
                  <w:r>
                    <w:rPr>
                      <w:rFonts w:hint="default" w:ascii="Times New Roman" w:hAnsi="Times New Roman" w:eastAsia="宋体" w:cs="Times New Roman"/>
                      <w:color w:val="auto"/>
                      <w:sz w:val="18"/>
                      <w:szCs w:val="18"/>
                    </w:rPr>
                    <w:t>储存过程中基本无VOC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产生。</w:t>
                  </w:r>
                </w:p>
              </w:tc>
              <w:tc>
                <w:tcPr>
                  <w:tcW w:w="457" w:type="pct"/>
                  <w:tcBorders>
                    <w:tl2br w:val="nil"/>
                    <w:tr2bl w:val="nil"/>
                  </w:tcBorders>
                  <w:noWrap w:val="0"/>
                  <w:vAlign w:val="center"/>
                </w:tcPr>
                <w:p w14:paraId="47ED623E">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0D5E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5AFB4E77">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盛装VOC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物料的容器或包装袋应存放于室内，或存放于设置有雨棚、遮阳和防渗设施的专用场地。盛装VOC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物料的容器或包装袋在非取用状态时应加盖、封口，保持密闭。</w:t>
                  </w:r>
                </w:p>
              </w:tc>
              <w:tc>
                <w:tcPr>
                  <w:tcW w:w="1593" w:type="pct"/>
                  <w:vMerge w:val="continue"/>
                  <w:tcBorders>
                    <w:tl2br w:val="nil"/>
                    <w:tr2bl w:val="nil"/>
                  </w:tcBorders>
                  <w:noWrap w:val="0"/>
                  <w:vAlign w:val="center"/>
                </w:tcPr>
                <w:p w14:paraId="157798FF">
                  <w:pPr>
                    <w:spacing w:line="240" w:lineRule="auto"/>
                    <w:ind w:firstLine="0" w:firstLineChars="0"/>
                    <w:rPr>
                      <w:rFonts w:hint="default" w:ascii="Times New Roman" w:hAnsi="Times New Roman" w:eastAsia="宋体" w:cs="Times New Roman"/>
                      <w:color w:val="auto"/>
                      <w:sz w:val="18"/>
                      <w:szCs w:val="18"/>
                    </w:rPr>
                  </w:pPr>
                </w:p>
              </w:tc>
              <w:tc>
                <w:tcPr>
                  <w:tcW w:w="457" w:type="pct"/>
                  <w:tcBorders>
                    <w:tl2br w:val="nil"/>
                    <w:tr2bl w:val="nil"/>
                  </w:tcBorders>
                  <w:noWrap w:val="0"/>
                  <w:vAlign w:val="center"/>
                </w:tcPr>
                <w:p w14:paraId="0BCA95D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772F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2F9F5E4F">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粉状、粒状VOC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物料应采用气力输送设备、管状带式输送机、螺旋输送机等密闭输送方式。或者采用密闭的包装袋、容器或罐车进行物料转移。</w:t>
                  </w:r>
                </w:p>
              </w:tc>
              <w:tc>
                <w:tcPr>
                  <w:tcW w:w="1593" w:type="pct"/>
                  <w:vMerge w:val="restart"/>
                  <w:tcBorders>
                    <w:tl2br w:val="nil"/>
                    <w:tr2bl w:val="nil"/>
                  </w:tcBorders>
                  <w:noWrap w:val="0"/>
                  <w:vAlign w:val="center"/>
                </w:tcPr>
                <w:p w14:paraId="698D469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eastAsia" w:ascii="Times New Roman" w:hAnsi="Times New Roman" w:cs="Times New Roman"/>
                      <w:color w:val="auto"/>
                      <w:sz w:val="18"/>
                      <w:szCs w:val="18"/>
                      <w:lang w:val="en-US" w:eastAsia="zh-CN"/>
                    </w:rPr>
                    <w:t>PP、ABS、</w:t>
                  </w:r>
                  <w:r>
                    <w:rPr>
                      <w:rFonts w:hint="default" w:ascii="Times New Roman" w:hAnsi="Times New Roman" w:eastAsia="宋体" w:cs="Times New Roman"/>
                      <w:color w:val="auto"/>
                      <w:spacing w:val="16"/>
                      <w:sz w:val="18"/>
                      <w:szCs w:val="18"/>
                      <w:lang w:val="en-US" w:eastAsia="zh-CN"/>
                    </w:rPr>
                    <w:t>PA塑料</w:t>
                  </w:r>
                  <w:r>
                    <w:rPr>
                      <w:rFonts w:hint="eastAsia" w:ascii="Times New Roman" w:hAnsi="Times New Roman" w:eastAsia="宋体" w:cs="Times New Roman"/>
                      <w:color w:val="auto"/>
                      <w:spacing w:val="16"/>
                      <w:sz w:val="18"/>
                      <w:szCs w:val="18"/>
                      <w:lang w:val="en-US" w:eastAsia="zh-CN"/>
                    </w:rPr>
                    <w:t>颗粒</w:t>
                  </w:r>
                  <w:r>
                    <w:rPr>
                      <w:rFonts w:hint="default" w:ascii="Times New Roman" w:hAnsi="Times New Roman" w:cs="Times New Roman"/>
                      <w:color w:val="auto"/>
                      <w:sz w:val="18"/>
                      <w:szCs w:val="18"/>
                    </w:rPr>
                    <w:t>使用时通过气力输送至</w:t>
                  </w:r>
                  <w:r>
                    <w:rPr>
                      <w:rFonts w:hint="default" w:ascii="Times New Roman" w:hAnsi="Times New Roman" w:cs="Times New Roman"/>
                      <w:color w:val="auto"/>
                      <w:sz w:val="18"/>
                      <w:szCs w:val="18"/>
                      <w:lang w:val="en-US" w:eastAsia="zh-CN"/>
                    </w:rPr>
                    <w:t>设备</w:t>
                  </w:r>
                  <w:r>
                    <w:rPr>
                      <w:rFonts w:hint="default" w:ascii="Times New Roman" w:hAnsi="Times New Roman" w:cs="Times New Roman"/>
                      <w:color w:val="auto"/>
                      <w:sz w:val="18"/>
                      <w:szCs w:val="18"/>
                      <w:lang w:eastAsia="zh-CN"/>
                    </w:rPr>
                    <w:t>内</w:t>
                  </w:r>
                  <w:r>
                    <w:rPr>
                      <w:rFonts w:hint="default" w:ascii="Times New Roman" w:hAnsi="Times New Roman" w:cs="Times New Roman"/>
                      <w:color w:val="auto"/>
                      <w:sz w:val="18"/>
                      <w:szCs w:val="18"/>
                    </w:rPr>
                    <w:t>进行使用</w:t>
                  </w:r>
                </w:p>
              </w:tc>
              <w:tc>
                <w:tcPr>
                  <w:tcW w:w="457" w:type="pct"/>
                  <w:vMerge w:val="restart"/>
                  <w:tcBorders>
                    <w:tl2br w:val="nil"/>
                    <w:tr2bl w:val="nil"/>
                  </w:tcBorders>
                  <w:noWrap w:val="0"/>
                  <w:vAlign w:val="center"/>
                </w:tcPr>
                <w:p w14:paraId="43292B55">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5B41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9" w:type="pct"/>
                  <w:tcBorders>
                    <w:tl2br w:val="nil"/>
                    <w:tr2bl w:val="nil"/>
                  </w:tcBorders>
                  <w:noWrap w:val="0"/>
                  <w:vAlign w:val="center"/>
                </w:tcPr>
                <w:p w14:paraId="7D289AB2">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粉状、粒状VOC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物料应采用气力输送方式或采用密闭固体投料器等给料方式密闭投加。无法密闭投加的，应在密闭空间内操作，或进行局部气体收集、废气应排至除尘设施、VOC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废气收集处理系统。</w:t>
                  </w:r>
                </w:p>
              </w:tc>
              <w:tc>
                <w:tcPr>
                  <w:tcW w:w="1593" w:type="pct"/>
                  <w:vMerge w:val="continue"/>
                  <w:tcBorders>
                    <w:tl2br w:val="nil"/>
                    <w:tr2bl w:val="nil"/>
                  </w:tcBorders>
                  <w:noWrap w:val="0"/>
                  <w:vAlign w:val="center"/>
                </w:tcPr>
                <w:p w14:paraId="5C253E26">
                  <w:pPr>
                    <w:spacing w:line="240" w:lineRule="auto"/>
                    <w:ind w:firstLine="0" w:firstLineChars="0"/>
                    <w:jc w:val="center"/>
                    <w:rPr>
                      <w:rFonts w:hint="default" w:ascii="Times New Roman" w:hAnsi="Times New Roman" w:eastAsia="宋体" w:cs="Times New Roman"/>
                      <w:color w:val="auto"/>
                      <w:sz w:val="18"/>
                      <w:szCs w:val="18"/>
                    </w:rPr>
                  </w:pPr>
                </w:p>
              </w:tc>
              <w:tc>
                <w:tcPr>
                  <w:tcW w:w="457" w:type="pct"/>
                  <w:vMerge w:val="continue"/>
                  <w:tcBorders>
                    <w:tl2br w:val="nil"/>
                    <w:tr2bl w:val="nil"/>
                  </w:tcBorders>
                  <w:noWrap w:val="0"/>
                  <w:vAlign w:val="center"/>
                </w:tcPr>
                <w:p w14:paraId="268B26D7">
                  <w:pPr>
                    <w:spacing w:line="240" w:lineRule="auto"/>
                    <w:ind w:firstLine="0" w:firstLineChars="0"/>
                    <w:jc w:val="center"/>
                    <w:rPr>
                      <w:rFonts w:hint="default" w:ascii="Times New Roman" w:hAnsi="Times New Roman" w:eastAsia="宋体" w:cs="Times New Roman"/>
                      <w:color w:val="auto"/>
                      <w:sz w:val="18"/>
                      <w:szCs w:val="18"/>
                    </w:rPr>
                  </w:pPr>
                </w:p>
              </w:tc>
            </w:tr>
            <w:tr w14:paraId="257CC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447721BB">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机聚合物产品用于制品生产的过程，在缓和/混炼、塑炼/塑化/熔化、加工成型等作业中应采用密闭设备或密闭空间内操作，废气应排放至VOCs废气收集处理系统；无法密闭的应采取局部气体收集措施，废气应排放至VOCs废气收集处理系统</w:t>
                  </w:r>
                </w:p>
              </w:tc>
              <w:tc>
                <w:tcPr>
                  <w:tcW w:w="1593" w:type="pct"/>
                  <w:tcBorders>
                    <w:tl2br w:val="nil"/>
                    <w:tr2bl w:val="nil"/>
                  </w:tcBorders>
                  <w:noWrap w:val="0"/>
                  <w:vAlign w:val="center"/>
                </w:tcPr>
                <w:p w14:paraId="48837F44">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本项目产生VOCs的工艺主要为</w:t>
                  </w:r>
                  <w:r>
                    <w:rPr>
                      <w:rFonts w:hint="default" w:ascii="Times New Roman" w:hAnsi="Times New Roman" w:cs="Times New Roman"/>
                      <w:color w:val="auto"/>
                      <w:sz w:val="18"/>
                      <w:szCs w:val="18"/>
                      <w:lang w:val="en-US" w:eastAsia="zh-CN"/>
                    </w:rPr>
                    <w:t>注塑</w:t>
                  </w:r>
                  <w:r>
                    <w:rPr>
                      <w:rFonts w:hint="default" w:ascii="Times New Roman" w:hAnsi="Times New Roman" w:eastAsia="宋体" w:cs="Times New Roman"/>
                      <w:color w:val="auto"/>
                      <w:sz w:val="18"/>
                      <w:szCs w:val="18"/>
                      <w:lang w:eastAsia="zh-CN"/>
                    </w:rPr>
                    <w:t>过程中产生的有机废气</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kern w:val="0"/>
                      <w:sz w:val="18"/>
                      <w:szCs w:val="18"/>
                    </w:rPr>
                    <w:t>注塑时加热挤出</w:t>
                  </w:r>
                  <w:r>
                    <w:rPr>
                      <w:rFonts w:hint="default" w:ascii="Times New Roman" w:hAnsi="Times New Roman" w:cs="Times New Roman"/>
                      <w:color w:val="auto"/>
                      <w:sz w:val="18"/>
                      <w:szCs w:val="18"/>
                    </w:rPr>
                    <w:t>产生的有机废气经</w:t>
                  </w:r>
                  <w:r>
                    <w:rPr>
                      <w:rFonts w:hint="default" w:ascii="Times New Roman" w:hAnsi="Times New Roman" w:cs="Times New Roman"/>
                      <w:color w:val="auto"/>
                      <w:sz w:val="18"/>
                      <w:szCs w:val="18"/>
                      <w:lang w:eastAsia="zh-CN"/>
                    </w:rPr>
                    <w:t>过滤棉+两级活性炭</w:t>
                  </w:r>
                  <w:r>
                    <w:rPr>
                      <w:rFonts w:hint="default" w:ascii="Times New Roman" w:hAnsi="Times New Roman" w:cs="Times New Roman"/>
                      <w:color w:val="auto"/>
                      <w:sz w:val="18"/>
                      <w:szCs w:val="18"/>
                    </w:rPr>
                    <w:t>吸附装置处理后达标排放</w:t>
                  </w:r>
                </w:p>
              </w:tc>
              <w:tc>
                <w:tcPr>
                  <w:tcW w:w="457" w:type="pct"/>
                  <w:tcBorders>
                    <w:tl2br w:val="nil"/>
                    <w:tr2bl w:val="nil"/>
                  </w:tcBorders>
                  <w:noWrap w:val="0"/>
                  <w:vAlign w:val="center"/>
                </w:tcPr>
                <w:p w14:paraId="3A04FA37">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518D0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54C881EF">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废气收集处理系统应与生产工艺设备同步运行。VOC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废气收集处理系统发生故障或检修时，对应的生产工艺设备应停止运行，待检修完毕后同步投入使用；生产工艺设备不能停止运行或不能及时停止</w:t>
                  </w:r>
                  <w:r>
                    <w:rPr>
                      <w:rFonts w:hint="default" w:ascii="Times New Roman" w:hAnsi="Times New Roman" w:eastAsia="宋体" w:cs="Times New Roman"/>
                      <w:color w:val="auto"/>
                      <w:sz w:val="18"/>
                      <w:szCs w:val="18"/>
                      <w:lang w:eastAsia="zh-CN"/>
                    </w:rPr>
                    <w:t>运行</w:t>
                  </w:r>
                  <w:r>
                    <w:rPr>
                      <w:rFonts w:hint="default" w:ascii="Times New Roman" w:hAnsi="Times New Roman" w:eastAsia="宋体" w:cs="Times New Roman"/>
                      <w:color w:val="auto"/>
                      <w:sz w:val="18"/>
                      <w:szCs w:val="18"/>
                    </w:rPr>
                    <w:t>的，应设置废气应急处理设施或采用其他替代措施。</w:t>
                  </w:r>
                </w:p>
              </w:tc>
              <w:tc>
                <w:tcPr>
                  <w:tcW w:w="1593" w:type="pct"/>
                  <w:tcBorders>
                    <w:tl2br w:val="nil"/>
                    <w:tr2bl w:val="nil"/>
                  </w:tcBorders>
                  <w:noWrap w:val="0"/>
                  <w:vAlign w:val="center"/>
                </w:tcPr>
                <w:p w14:paraId="73A337B9">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按要求执行</w:t>
                  </w:r>
                </w:p>
              </w:tc>
              <w:tc>
                <w:tcPr>
                  <w:tcW w:w="457" w:type="pct"/>
                  <w:tcBorders>
                    <w:tl2br w:val="nil"/>
                    <w:tr2bl w:val="nil"/>
                  </w:tcBorders>
                  <w:noWrap w:val="0"/>
                  <w:vAlign w:val="center"/>
                </w:tcPr>
                <w:p w14:paraId="26B59B19">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CDA0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0373BAEA">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排气筒高度不低于15m（因安全考虑或有特殊工艺要求的除外），具体高度以及与周围建筑物的相对高度关系应根据环境影响评价文件确定。</w:t>
                  </w:r>
                </w:p>
              </w:tc>
              <w:tc>
                <w:tcPr>
                  <w:tcW w:w="1593" w:type="pct"/>
                  <w:tcBorders>
                    <w:tl2br w:val="nil"/>
                    <w:tr2bl w:val="nil"/>
                  </w:tcBorders>
                  <w:noWrap w:val="0"/>
                  <w:vAlign w:val="center"/>
                </w:tcPr>
                <w:p w14:paraId="404A9A71">
                  <w:pPr>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本项排气筒为</w:t>
                  </w:r>
                  <w:r>
                    <w:rPr>
                      <w:rFonts w:hint="eastAsia" w:ascii="Times New Roman" w:hAnsi="Times New Roman" w:cs="Times New Roman"/>
                      <w:color w:val="auto"/>
                      <w:sz w:val="18"/>
                      <w:szCs w:val="18"/>
                      <w:lang w:val="en-US" w:eastAsia="zh-CN"/>
                    </w:rPr>
                    <w:t>25</w:t>
                  </w:r>
                  <w:r>
                    <w:rPr>
                      <w:rFonts w:hint="default" w:ascii="Times New Roman" w:hAnsi="Times New Roman" w:cs="Times New Roman"/>
                      <w:color w:val="auto"/>
                      <w:sz w:val="18"/>
                      <w:szCs w:val="18"/>
                      <w:lang w:val="en-US" w:eastAsia="zh-CN"/>
                    </w:rPr>
                    <w:t>m</w:t>
                  </w:r>
                </w:p>
              </w:tc>
              <w:tc>
                <w:tcPr>
                  <w:tcW w:w="457" w:type="pct"/>
                  <w:tcBorders>
                    <w:tl2br w:val="nil"/>
                    <w:tr2bl w:val="nil"/>
                  </w:tcBorders>
                  <w:noWrap w:val="0"/>
                  <w:vAlign w:val="center"/>
                </w:tcPr>
                <w:p w14:paraId="4B23A92D">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3B1FF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9" w:type="pct"/>
                  <w:tcBorders>
                    <w:tl2br w:val="nil"/>
                    <w:tr2bl w:val="nil"/>
                  </w:tcBorders>
                  <w:noWrap w:val="0"/>
                  <w:vAlign w:val="center"/>
                </w:tcPr>
                <w:p w14:paraId="50EC52BA">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记录要求企业应建立台账，记录废气收集系统、VOC</w:t>
                  </w:r>
                  <w:r>
                    <w:rPr>
                      <w:rFonts w:hint="default" w:ascii="Times New Roman" w:hAnsi="Times New Roman" w:eastAsia="宋体" w:cs="Times New Roman"/>
                      <w:color w:val="auto"/>
                      <w:sz w:val="18"/>
                      <w:szCs w:val="18"/>
                      <w:vertAlign w:val="subscript"/>
                    </w:rPr>
                    <w:t>S</w:t>
                  </w:r>
                  <w:r>
                    <w:rPr>
                      <w:rFonts w:hint="default" w:ascii="Times New Roman" w:hAnsi="Times New Roman" w:eastAsia="宋体" w:cs="Times New Roman"/>
                      <w:color w:val="auto"/>
                      <w:sz w:val="18"/>
                      <w:szCs w:val="18"/>
                    </w:rPr>
                    <w:t>处理设施的主要运行和维护信息，如运行时间，废气处理量、操作温度、停留时间、吸附剂再生/更换周期和更换量、催化剂更换周期和更换量、吸收液pH值等关键运行参数。台账保存期限不少于3年。</w:t>
                  </w:r>
                </w:p>
              </w:tc>
              <w:tc>
                <w:tcPr>
                  <w:tcW w:w="1593" w:type="pct"/>
                  <w:tcBorders>
                    <w:tl2br w:val="nil"/>
                    <w:tr2bl w:val="nil"/>
                  </w:tcBorders>
                  <w:noWrap w:val="0"/>
                  <w:vAlign w:val="center"/>
                </w:tcPr>
                <w:p w14:paraId="2DB1A135">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本项目按要求执行</w:t>
                  </w:r>
                </w:p>
              </w:tc>
              <w:tc>
                <w:tcPr>
                  <w:tcW w:w="457" w:type="pct"/>
                  <w:tcBorders>
                    <w:tl2br w:val="nil"/>
                    <w:tr2bl w:val="nil"/>
                  </w:tcBorders>
                  <w:noWrap w:val="0"/>
                  <w:vAlign w:val="center"/>
                </w:tcPr>
                <w:p w14:paraId="7993D622">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5944E307">
            <w:pPr>
              <w:keepNext w:val="0"/>
              <w:keepLines w:val="0"/>
              <w:pageBreakBefore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color w:val="auto"/>
                <w:sz w:val="21"/>
                <w:szCs w:val="21"/>
                <w:shd w:val="clear" w:color="auto" w:fill="auto"/>
                <w:lang w:val="en-US" w:eastAsia="zh-CN"/>
              </w:rPr>
            </w:pPr>
            <w:r>
              <w:rPr>
                <w:rFonts w:hint="eastAsia" w:cs="Times New Roman"/>
                <w:b/>
                <w:color w:val="auto"/>
                <w:spacing w:val="-6"/>
                <w:sz w:val="21"/>
                <w:szCs w:val="21"/>
                <w:lang w:val="en-US" w:eastAsia="zh-CN"/>
              </w:rPr>
              <w:t>九、</w:t>
            </w:r>
            <w:r>
              <w:rPr>
                <w:rFonts w:hint="default" w:ascii="Times New Roman" w:hAnsi="Times New Roman" w:eastAsia="宋体" w:cs="Times New Roman"/>
                <w:b/>
                <w:bCs/>
                <w:color w:val="auto"/>
                <w:sz w:val="21"/>
                <w:szCs w:val="21"/>
                <w:shd w:val="clear" w:color="auto" w:fill="auto"/>
                <w:lang w:val="en-US" w:eastAsia="zh-CN"/>
              </w:rPr>
              <w:t>与重庆市人民政府关于印发《重庆市生态环境保护“十四五”规划（2021—2025年）》（渝府发〔2022〕11号）符合性分析</w:t>
            </w:r>
          </w:p>
          <w:p w14:paraId="6FBF1363">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shd w:val="clear" w:color="auto" w:fill="auto"/>
                <w:lang w:val="zh-CN" w:eastAsia="zh-CN"/>
              </w:rPr>
            </w:pPr>
            <w:r>
              <w:rPr>
                <w:rFonts w:hint="default" w:ascii="Times New Roman" w:hAnsi="Times New Roman" w:eastAsia="宋体" w:cs="Times New Roman"/>
                <w:color w:val="auto"/>
                <w:sz w:val="21"/>
                <w:szCs w:val="21"/>
                <w:shd w:val="clear" w:color="auto" w:fill="auto"/>
                <w:lang w:val="en-US" w:eastAsia="zh-CN"/>
              </w:rPr>
              <w:t>本项目</w:t>
            </w:r>
            <w:r>
              <w:rPr>
                <w:rFonts w:hint="eastAsia" w:ascii="Times New Roman" w:hAnsi="Times New Roman" w:cs="Times New Roman"/>
                <w:color w:val="auto"/>
                <w:sz w:val="21"/>
                <w:szCs w:val="21"/>
                <w:shd w:val="clear" w:color="auto" w:fill="auto"/>
                <w:lang w:val="en-US" w:eastAsia="zh-CN"/>
              </w:rPr>
              <w:t>主要生产塑料汽车零部件</w:t>
            </w:r>
            <w:r>
              <w:rPr>
                <w:rFonts w:hint="default" w:ascii="Times New Roman" w:hAnsi="Times New Roman" w:eastAsia="宋体" w:cs="Times New Roman"/>
                <w:color w:val="auto"/>
                <w:sz w:val="21"/>
                <w:szCs w:val="21"/>
                <w:shd w:val="clear" w:color="auto" w:fill="auto"/>
                <w:lang w:val="en-US" w:eastAsia="zh-CN"/>
              </w:rPr>
              <w:t>，</w:t>
            </w:r>
            <w:r>
              <w:rPr>
                <w:rFonts w:hint="eastAsia" w:cs="Times New Roman"/>
                <w:color w:val="auto"/>
                <w:sz w:val="21"/>
                <w:szCs w:val="21"/>
                <w:shd w:val="clear" w:color="auto" w:fill="auto"/>
                <w:lang w:val="en-US" w:eastAsia="zh-CN"/>
              </w:rPr>
              <w:t>行业类别为C3670汽车零部件及配件制造、C2929塑料零件及其他塑料制品制造</w:t>
            </w:r>
            <w:r>
              <w:rPr>
                <w:rFonts w:hint="default" w:ascii="Times New Roman" w:hAnsi="Times New Roman" w:eastAsia="宋体" w:cs="Times New Roman"/>
                <w:color w:val="auto"/>
                <w:sz w:val="21"/>
                <w:szCs w:val="21"/>
                <w:shd w:val="clear" w:color="auto" w:fill="auto"/>
                <w:lang w:val="en-US" w:eastAsia="zh-CN"/>
              </w:rPr>
              <w:t>，主要污染物为生活污水</w:t>
            </w:r>
            <w:r>
              <w:rPr>
                <w:rFonts w:hint="default" w:ascii="Times New Roman" w:hAnsi="Times New Roman" w:cs="Times New Roman"/>
                <w:color w:val="auto"/>
                <w:sz w:val="21"/>
                <w:szCs w:val="21"/>
                <w:shd w:val="clear" w:color="auto" w:fill="auto"/>
                <w:lang w:val="en-US" w:eastAsia="zh-CN"/>
              </w:rPr>
              <w:t>、</w:t>
            </w:r>
            <w:r>
              <w:rPr>
                <w:rFonts w:hint="eastAsia" w:ascii="Times New Roman" w:hAnsi="Times New Roman" w:cs="Times New Roman"/>
                <w:color w:val="auto"/>
                <w:sz w:val="21"/>
                <w:szCs w:val="21"/>
                <w:shd w:val="clear" w:color="auto" w:fill="auto"/>
                <w:lang w:val="en-US" w:eastAsia="zh-CN"/>
              </w:rPr>
              <w:t>地面清洁</w:t>
            </w:r>
            <w:r>
              <w:rPr>
                <w:rFonts w:hint="default" w:ascii="Times New Roman" w:hAnsi="Times New Roman" w:cs="Times New Roman"/>
                <w:color w:val="auto"/>
                <w:sz w:val="21"/>
                <w:szCs w:val="21"/>
                <w:shd w:val="clear" w:color="auto" w:fill="auto"/>
                <w:lang w:val="en-US" w:eastAsia="zh-CN"/>
              </w:rPr>
              <w:t>废水，废气主要为</w:t>
            </w:r>
            <w:r>
              <w:rPr>
                <w:rFonts w:hint="eastAsia" w:ascii="Times New Roman" w:hAnsi="Times New Roman" w:cs="Times New Roman"/>
                <w:color w:val="auto"/>
                <w:sz w:val="21"/>
                <w:szCs w:val="21"/>
                <w:shd w:val="clear" w:color="auto" w:fill="auto"/>
                <w:lang w:val="en-US" w:eastAsia="zh-CN"/>
              </w:rPr>
              <w:t>注塑</w:t>
            </w:r>
            <w:r>
              <w:rPr>
                <w:rFonts w:hint="default" w:ascii="Times New Roman" w:hAnsi="Times New Roman" w:cs="Times New Roman"/>
                <w:color w:val="auto"/>
                <w:sz w:val="21"/>
                <w:szCs w:val="21"/>
                <w:shd w:val="clear" w:color="auto" w:fill="auto"/>
                <w:lang w:val="en-US" w:eastAsia="zh-CN"/>
              </w:rPr>
              <w:t>废气</w:t>
            </w:r>
            <w:r>
              <w:rPr>
                <w:rFonts w:hint="default" w:ascii="Times New Roman" w:hAnsi="Times New Roman" w:eastAsia="宋体" w:cs="Times New Roman"/>
                <w:color w:val="auto"/>
                <w:sz w:val="21"/>
                <w:szCs w:val="21"/>
                <w:shd w:val="clear" w:color="auto" w:fill="auto"/>
                <w:lang w:val="zh-CN" w:eastAsia="zh-CN"/>
              </w:rPr>
              <w:t>。根据《重庆市生态环境保护“十四五”规划（2021—2025年）》，针对本项目主要建设情况进行符合性分析，详见</w:t>
            </w:r>
            <w:r>
              <w:rPr>
                <w:rFonts w:hint="default" w:ascii="Times New Roman" w:hAnsi="Times New Roman" w:eastAsia="宋体" w:cs="Times New Roman"/>
                <w:color w:val="auto"/>
                <w:sz w:val="21"/>
                <w:szCs w:val="21"/>
                <w:shd w:val="clear" w:color="auto" w:fill="auto"/>
                <w:lang w:val="en-US" w:eastAsia="zh-CN"/>
              </w:rPr>
              <w:t>下表</w:t>
            </w:r>
            <w:r>
              <w:rPr>
                <w:rFonts w:hint="default" w:ascii="Times New Roman" w:hAnsi="Times New Roman" w:eastAsia="宋体" w:cs="Times New Roman"/>
                <w:color w:val="auto"/>
                <w:sz w:val="21"/>
                <w:szCs w:val="21"/>
                <w:shd w:val="clear" w:color="auto" w:fill="auto"/>
                <w:lang w:val="zh-CN" w:eastAsia="zh-CN"/>
              </w:rPr>
              <w:t>。</w:t>
            </w:r>
          </w:p>
          <w:p w14:paraId="34DCFA1F">
            <w:pPr>
              <w:pStyle w:val="5"/>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表</w:t>
            </w:r>
            <w:r>
              <w:rPr>
                <w:rFonts w:hint="default"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xml:space="preserve">  项目与《重庆市生态环境保护“十四五”规划（2021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2025年）》符合性分析表</w:t>
            </w:r>
          </w:p>
          <w:tbl>
            <w:tblPr>
              <w:tblStyle w:val="30"/>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4746"/>
              <w:gridCol w:w="2460"/>
              <w:gridCol w:w="402"/>
            </w:tblGrid>
            <w:tr w14:paraId="3FA2A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tcBorders>
                    <w:tl2br w:val="nil"/>
                    <w:tr2bl w:val="nil"/>
                  </w:tcBorders>
                  <w:noWrap w:val="0"/>
                  <w:vAlign w:val="center"/>
                </w:tcPr>
                <w:p w14:paraId="1B595323">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2919" w:type="pct"/>
                  <w:tcBorders>
                    <w:tl2br w:val="nil"/>
                    <w:tr2bl w:val="nil"/>
                  </w:tcBorders>
                  <w:noWrap w:val="0"/>
                  <w:vAlign w:val="center"/>
                </w:tcPr>
                <w:p w14:paraId="7B44BCAB">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技术政策要求</w:t>
                  </w:r>
                </w:p>
              </w:tc>
              <w:tc>
                <w:tcPr>
                  <w:tcW w:w="1513" w:type="pct"/>
                  <w:tcBorders>
                    <w:tl2br w:val="nil"/>
                    <w:tr2bl w:val="nil"/>
                  </w:tcBorders>
                  <w:noWrap w:val="0"/>
                  <w:vAlign w:val="center"/>
                </w:tcPr>
                <w:p w14:paraId="6FA787D8">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本工程内容</w:t>
                  </w:r>
                </w:p>
              </w:tc>
              <w:tc>
                <w:tcPr>
                  <w:tcW w:w="247" w:type="pct"/>
                  <w:tcBorders>
                    <w:tl2br w:val="nil"/>
                    <w:tr2bl w:val="nil"/>
                  </w:tcBorders>
                  <w:noWrap w:val="0"/>
                  <w:vAlign w:val="center"/>
                </w:tcPr>
                <w:p w14:paraId="22A8BD49">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21B62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2263019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第五章以改善生态环境质量为核心，深入打好污染防治攻坚战</w:t>
                  </w:r>
                </w:p>
              </w:tc>
            </w:tr>
            <w:tr w14:paraId="4AC2F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restart"/>
                  <w:tcBorders>
                    <w:tl2br w:val="nil"/>
                    <w:tr2bl w:val="nil"/>
                  </w:tcBorders>
                  <w:noWrap w:val="0"/>
                  <w:vAlign w:val="center"/>
                </w:tcPr>
                <w:p w14:paraId="08E3D690">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第一节改善水环境质量</w:t>
                  </w:r>
                </w:p>
              </w:tc>
              <w:tc>
                <w:tcPr>
                  <w:tcW w:w="2919" w:type="pct"/>
                  <w:tcBorders>
                    <w:tl2br w:val="nil"/>
                    <w:tr2bl w:val="nil"/>
                  </w:tcBorders>
                  <w:noWrap w:val="0"/>
                  <w:vAlign w:val="center"/>
                </w:tcPr>
                <w:p w14:paraId="7F1EA95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强河流水质目标管理。将我市河湖划分为22个管控单元，将流域生态环境保护责任分解落实到各个断面、水体和行政区域，做深做实“一河一长”“一河一策”“一河一档”。将包含重要饮用水水源、具有重要生态功能以及水质达标压力较大的断面、水体列为优先控制对象，综合运用水资源调度、水生态保护、水环境治理等措施提高水环境质量。现状水质良好的断面、水体要防止发生退化，现状水质不达标的断面、水体要逐一制定达标方案，实施精准治理。开展流域水环境治理试点示范。保持长江干流重庆段水质总体优良。</w:t>
                  </w:r>
                </w:p>
              </w:tc>
              <w:tc>
                <w:tcPr>
                  <w:tcW w:w="1513" w:type="pct"/>
                  <w:tcBorders>
                    <w:tl2br w:val="nil"/>
                    <w:tr2bl w:val="nil"/>
                  </w:tcBorders>
                  <w:noWrap w:val="0"/>
                  <w:vAlign w:val="center"/>
                </w:tcPr>
                <w:p w14:paraId="0EDF512F">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本项目位于</w:t>
                  </w:r>
                  <w:r>
                    <w:rPr>
                      <w:rFonts w:hint="default" w:ascii="Times New Roman" w:hAnsi="Times New Roman" w:cs="Times New Roman"/>
                      <w:color w:val="auto"/>
                      <w:sz w:val="18"/>
                      <w:szCs w:val="18"/>
                      <w:lang w:eastAsia="zh-CN"/>
                    </w:rPr>
                    <w:t>合川区</w:t>
                  </w:r>
                  <w:r>
                    <w:rPr>
                      <w:rFonts w:hint="eastAsia" w:ascii="Times New Roman" w:hAnsi="Times New Roman" w:cs="Times New Roman"/>
                      <w:color w:val="auto"/>
                      <w:sz w:val="18"/>
                      <w:szCs w:val="18"/>
                      <w:lang w:eastAsia="zh-CN"/>
                    </w:rPr>
                    <w:t>南溪组团A区</w:t>
                  </w:r>
                  <w:r>
                    <w:rPr>
                      <w:rFonts w:hint="default" w:ascii="Times New Roman" w:hAnsi="Times New Roman" w:eastAsia="宋体" w:cs="Times New Roman"/>
                      <w:color w:val="auto"/>
                      <w:sz w:val="18"/>
                      <w:szCs w:val="18"/>
                    </w:rPr>
                    <w:t>，项目</w:t>
                  </w:r>
                  <w:r>
                    <w:rPr>
                      <w:rFonts w:hint="eastAsia" w:ascii="Times New Roman" w:hAnsi="Times New Roman" w:cs="Times New Roman"/>
                      <w:color w:val="auto"/>
                      <w:sz w:val="18"/>
                      <w:szCs w:val="18"/>
                      <w:lang w:eastAsia="zh-CN"/>
                    </w:rPr>
                    <w:t>距离建梁河距离约400m</w:t>
                  </w:r>
                  <w:r>
                    <w:rPr>
                      <w:rFonts w:hint="default" w:ascii="Times New Roman" w:hAnsi="Times New Roman" w:eastAsia="宋体" w:cs="Times New Roman"/>
                      <w:color w:val="auto"/>
                      <w:sz w:val="18"/>
                      <w:szCs w:val="18"/>
                    </w:rPr>
                    <w:t>；不涉及重要饮用水水源、具有重要生态功能以及水质达标压力较大的断面；现状水质良好；本项目废水达标排放对</w:t>
                  </w:r>
                  <w:r>
                    <w:rPr>
                      <w:rFonts w:hint="default" w:ascii="Times New Roman" w:hAnsi="Times New Roman" w:eastAsia="宋体" w:cs="Times New Roman"/>
                      <w:color w:val="auto"/>
                      <w:sz w:val="18"/>
                      <w:szCs w:val="18"/>
                      <w:lang w:eastAsia="zh-CN"/>
                    </w:rPr>
                    <w:t>长江</w:t>
                  </w:r>
                  <w:r>
                    <w:rPr>
                      <w:rFonts w:hint="default" w:ascii="Times New Roman" w:hAnsi="Times New Roman" w:eastAsia="宋体" w:cs="Times New Roman"/>
                      <w:color w:val="auto"/>
                      <w:sz w:val="18"/>
                      <w:szCs w:val="18"/>
                    </w:rPr>
                    <w:t>影响小。</w:t>
                  </w:r>
                </w:p>
              </w:tc>
              <w:tc>
                <w:tcPr>
                  <w:tcW w:w="247" w:type="pct"/>
                  <w:tcBorders>
                    <w:tl2br w:val="nil"/>
                    <w:tr2bl w:val="nil"/>
                  </w:tcBorders>
                  <w:noWrap w:val="0"/>
                  <w:vAlign w:val="center"/>
                </w:tcPr>
                <w:p w14:paraId="195145B6">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F163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noWrap w:val="0"/>
                  <w:vAlign w:val="center"/>
                </w:tcPr>
                <w:p w14:paraId="2F4BF615">
                  <w:pPr>
                    <w:pStyle w:val="112"/>
                    <w:spacing w:line="240" w:lineRule="auto"/>
                    <w:rPr>
                      <w:rFonts w:hint="default" w:ascii="Times New Roman" w:hAnsi="Times New Roman" w:eastAsia="宋体" w:cs="Times New Roman"/>
                      <w:color w:val="auto"/>
                      <w:sz w:val="18"/>
                      <w:szCs w:val="18"/>
                    </w:rPr>
                  </w:pPr>
                </w:p>
              </w:tc>
              <w:tc>
                <w:tcPr>
                  <w:tcW w:w="2919" w:type="pct"/>
                  <w:tcBorders>
                    <w:tl2br w:val="nil"/>
                    <w:tr2bl w:val="nil"/>
                  </w:tcBorders>
                  <w:noWrap w:val="0"/>
                  <w:vAlign w:val="center"/>
                </w:tcPr>
                <w:p w14:paraId="44616D53">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强重点水环境综合治理。推进生活污水集中处理设施新、改、扩建，补齐城镇污水收集管网短板，实施错接、漏接、老旧破损管网的更新修复，对进水生化需氧量浓度低于100mg/L的污水厂实施“一厂一策”改造。到2025年，全市城市生活污水集中处理率达到98%以上，建成区城市污水基本实现全收集、全处理，建制镇污水处理实现全达标排放，城市生活污水厂污泥无害化处理处置率达到98%以上。完善工业园区污水集中处理设施建设及配套管网，升级改造工业园区污水处理设施。推进到港船舶污染物接收设施建设，实现港口码头船舶污水垃圾接收设施全覆盖。全面摸清长江、嘉陵江、乌江干流重庆段入河排污口底数，结合排污口类型、监测结果、主要污染源类型等现状，逐个制定入河排污口“一口一策”方案，明确规范整治责任、路线图和时间表。到2025年，基本完成长江入河排污口整治工作，并建立治理长效机制。对企业、园区、污水集中处理设施、畜禽养殖场、医疗机构、餐饮、洗车场和建筑工地等场所进行排查，深入查找污水偷排直排乱排问题源头，建立问题清单，持续推进整改。</w:t>
                  </w:r>
                </w:p>
              </w:tc>
              <w:tc>
                <w:tcPr>
                  <w:tcW w:w="1513" w:type="pct"/>
                  <w:tcBorders>
                    <w:tl2br w:val="nil"/>
                    <w:tr2bl w:val="nil"/>
                  </w:tcBorders>
                  <w:noWrap w:val="0"/>
                  <w:vAlign w:val="center"/>
                </w:tcPr>
                <w:p w14:paraId="7636D81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项目产生的生活污水</w:t>
                  </w:r>
                  <w:r>
                    <w:rPr>
                      <w:rFonts w:hint="eastAsia" w:ascii="Times New Roman" w:hAnsi="Times New Roman" w:cs="Times New Roman"/>
                      <w:color w:val="auto"/>
                      <w:sz w:val="18"/>
                      <w:szCs w:val="18"/>
                      <w:lang w:eastAsia="zh-CN"/>
                    </w:rPr>
                    <w:t>、地面清洁废水</w:t>
                  </w:r>
                  <w:r>
                    <w:rPr>
                      <w:rFonts w:hint="default" w:ascii="Times New Roman" w:hAnsi="Times New Roman" w:eastAsia="宋体" w:cs="Times New Roman"/>
                      <w:color w:val="auto"/>
                      <w:sz w:val="18"/>
                      <w:szCs w:val="18"/>
                      <w:lang w:val="en-US" w:eastAsia="zh-CN"/>
                    </w:rPr>
                    <w:t>依托现有</w:t>
                  </w:r>
                  <w:r>
                    <w:rPr>
                      <w:rFonts w:hint="default" w:ascii="Times New Roman" w:hAnsi="Times New Roman" w:eastAsia="宋体" w:cs="Times New Roman"/>
                      <w:color w:val="auto"/>
                      <w:sz w:val="18"/>
                      <w:szCs w:val="18"/>
                    </w:rPr>
                    <w:t>生化池处理后排入园区市政管网，进入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进行深度处理</w:t>
                  </w:r>
                  <w:r>
                    <w:rPr>
                      <w:rFonts w:hint="eastAsia" w:ascii="Times New Roman" w:hAnsi="Times New Roman" w:cs="Times New Roman"/>
                      <w:color w:val="auto"/>
                      <w:sz w:val="18"/>
                      <w:szCs w:val="18"/>
                      <w:lang w:eastAsia="zh-CN"/>
                    </w:rPr>
                    <w:t>后排入建梁河，最后汇入嘉陵江</w:t>
                  </w:r>
                </w:p>
              </w:tc>
              <w:tc>
                <w:tcPr>
                  <w:tcW w:w="247" w:type="pct"/>
                  <w:tcBorders>
                    <w:tl2br w:val="nil"/>
                    <w:tr2bl w:val="nil"/>
                  </w:tcBorders>
                  <w:noWrap w:val="0"/>
                  <w:vAlign w:val="center"/>
                </w:tcPr>
                <w:p w14:paraId="3E59CADC">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112F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noWrap w:val="0"/>
                  <w:vAlign w:val="center"/>
                </w:tcPr>
                <w:p w14:paraId="5C8721D9">
                  <w:pPr>
                    <w:pStyle w:val="112"/>
                    <w:spacing w:line="240" w:lineRule="auto"/>
                    <w:rPr>
                      <w:rFonts w:hint="default" w:ascii="Times New Roman" w:hAnsi="Times New Roman" w:eastAsia="宋体" w:cs="Times New Roman"/>
                      <w:color w:val="auto"/>
                      <w:sz w:val="18"/>
                      <w:szCs w:val="18"/>
                    </w:rPr>
                  </w:pPr>
                </w:p>
              </w:tc>
              <w:tc>
                <w:tcPr>
                  <w:tcW w:w="2919" w:type="pct"/>
                  <w:tcBorders>
                    <w:tl2br w:val="nil"/>
                    <w:tr2bl w:val="nil"/>
                  </w:tcBorders>
                  <w:noWrap w:val="0"/>
                  <w:vAlign w:val="center"/>
                </w:tcPr>
                <w:p w14:paraId="47968E0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修复水生态扩大水环境容量。强化水资源开发利用控制、用水效率控制、水功能区限制纳污“三条红线”，实施最严格的水资源管理制度，节约利用水资源。加快建设渝西水资源配置工程。科学确定河流生态流量，加强水库联合调度，强化小水电生态流量泄放监管，保障流域基本生态用水。以重点流域、城市河段及其他重要水体为重点推进滨水绿地等河湖生态缓冲带建设，加快实施“清水绿岸”治理提升工程。巩固城市黑臭水体治理成效，严防反弹。以重要河流源头和饮用水水源地为重点，开展水源涵养区建设。加强水生生物重要栖息地保护力度，科学实施受损生境修复和人工生境替代工程建设。严格落实长江流域重要水域十年禁渔政策，强化长江上游珍稀特有鱼类自然保护区建设。持续开展重点河流和水库富营养化监测预警及控制。</w:t>
                  </w:r>
                </w:p>
              </w:tc>
              <w:tc>
                <w:tcPr>
                  <w:tcW w:w="1513" w:type="pct"/>
                  <w:tcBorders>
                    <w:tl2br w:val="nil"/>
                    <w:tr2bl w:val="nil"/>
                  </w:tcBorders>
                  <w:noWrap w:val="0"/>
                  <w:vAlign w:val="center"/>
                </w:tcPr>
                <w:p w14:paraId="0D25CF70">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本项目不涉及生态用水工程</w:t>
                  </w:r>
                </w:p>
              </w:tc>
              <w:tc>
                <w:tcPr>
                  <w:tcW w:w="247" w:type="pct"/>
                  <w:tcBorders>
                    <w:tl2br w:val="nil"/>
                    <w:tr2bl w:val="nil"/>
                  </w:tcBorders>
                  <w:noWrap w:val="0"/>
                  <w:vAlign w:val="center"/>
                </w:tcPr>
                <w:p w14:paraId="0EE725C8">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E9E7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noWrap w:val="0"/>
                  <w:vAlign w:val="center"/>
                </w:tcPr>
                <w:p w14:paraId="137CF5AA">
                  <w:pPr>
                    <w:pStyle w:val="112"/>
                    <w:spacing w:line="240" w:lineRule="auto"/>
                    <w:rPr>
                      <w:rFonts w:hint="default" w:ascii="Times New Roman" w:hAnsi="Times New Roman" w:eastAsia="宋体" w:cs="Times New Roman"/>
                      <w:color w:val="auto"/>
                      <w:sz w:val="18"/>
                      <w:szCs w:val="18"/>
                    </w:rPr>
                  </w:pPr>
                </w:p>
              </w:tc>
              <w:tc>
                <w:tcPr>
                  <w:tcW w:w="2919" w:type="pct"/>
                  <w:tcBorders>
                    <w:tl2br w:val="nil"/>
                    <w:tr2bl w:val="nil"/>
                  </w:tcBorders>
                  <w:noWrap w:val="0"/>
                  <w:vAlign w:val="center"/>
                </w:tcPr>
                <w:p w14:paraId="163EA2F6">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保护饮用水水源地水质安全。加强城市集中式饮用水水源地信息化建设，进一步加大水源地保护区环境管理，保持水质100%达标。加快推进乡镇集中式饮用水水源地规范化建设，全面清理整治水源地保护区内的环境问题，确保水质达标率达到93%以上。逐步开展分散式农村饮用水水源水质监测。加强地下水型饮用水水源地环境保护，开展调查评估、规范化建设和综合整治。</w:t>
                  </w:r>
                </w:p>
              </w:tc>
              <w:tc>
                <w:tcPr>
                  <w:tcW w:w="1513" w:type="pct"/>
                  <w:tcBorders>
                    <w:tl2br w:val="nil"/>
                    <w:tr2bl w:val="nil"/>
                  </w:tcBorders>
                  <w:noWrap w:val="0"/>
                  <w:vAlign w:val="center"/>
                </w:tcPr>
                <w:p w14:paraId="600976C6">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项目用水由市政给水水源直接提供，项目不涉及饮用水源保护区等</w:t>
                  </w:r>
                </w:p>
              </w:tc>
              <w:tc>
                <w:tcPr>
                  <w:tcW w:w="247" w:type="pct"/>
                  <w:tcBorders>
                    <w:tl2br w:val="nil"/>
                    <w:tr2bl w:val="nil"/>
                  </w:tcBorders>
                  <w:noWrap w:val="0"/>
                  <w:vAlign w:val="center"/>
                </w:tcPr>
                <w:p w14:paraId="0DA91FF9">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84C4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restart"/>
                  <w:tcBorders>
                    <w:tl2br w:val="nil"/>
                    <w:tr2bl w:val="nil"/>
                  </w:tcBorders>
                  <w:noWrap w:val="0"/>
                  <w:vAlign w:val="center"/>
                </w:tcPr>
                <w:p w14:paraId="28202CF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第二节提升大气环境质量</w:t>
                  </w:r>
                </w:p>
              </w:tc>
              <w:tc>
                <w:tcPr>
                  <w:tcW w:w="2919" w:type="pct"/>
                  <w:tcBorders>
                    <w:tl2br w:val="nil"/>
                    <w:tr2bl w:val="nil"/>
                  </w:tcBorders>
                  <w:noWrap w:val="0"/>
                  <w:vAlign w:val="center"/>
                </w:tcPr>
                <w:p w14:paraId="0E2AF945">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513" w:type="pct"/>
                  <w:tcBorders>
                    <w:tl2br w:val="nil"/>
                    <w:tr2bl w:val="nil"/>
                  </w:tcBorders>
                  <w:noWrap w:val="0"/>
                  <w:vAlign w:val="center"/>
                </w:tcPr>
                <w:p w14:paraId="2D47F987">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val="en-US" w:eastAsia="zh-CN"/>
                    </w:rPr>
                    <w:t>使用的</w:t>
                  </w:r>
                  <w:r>
                    <w:rPr>
                      <w:rFonts w:hint="eastAsia" w:ascii="Times New Roman" w:hAnsi="Times New Roman" w:cs="Times New Roman"/>
                      <w:color w:val="auto"/>
                      <w:sz w:val="18"/>
                      <w:szCs w:val="18"/>
                      <w:lang w:val="en-US" w:eastAsia="zh-CN"/>
                    </w:rPr>
                    <w:t>原辅材料</w:t>
                  </w:r>
                  <w:r>
                    <w:rPr>
                      <w:rFonts w:hint="default" w:ascii="Times New Roman" w:hAnsi="Times New Roman" w:eastAsia="宋体" w:cs="Times New Roman"/>
                      <w:color w:val="auto"/>
                      <w:sz w:val="18"/>
                      <w:szCs w:val="18"/>
                    </w:rPr>
                    <w:t>满足</w:t>
                  </w:r>
                  <w:r>
                    <w:rPr>
                      <w:rFonts w:hint="default" w:ascii="Times New Roman" w:hAnsi="Times New Roman" w:eastAsia="宋体" w:cs="Times New Roman"/>
                      <w:color w:val="auto"/>
                      <w:sz w:val="18"/>
                      <w:szCs w:val="18"/>
                      <w:lang w:val="en-US" w:eastAsia="zh-CN"/>
                    </w:rPr>
                    <w:t>国家</w:t>
                  </w:r>
                  <w:r>
                    <w:rPr>
                      <w:rFonts w:hint="default" w:ascii="Times New Roman" w:hAnsi="Times New Roman" w:eastAsia="宋体" w:cs="Times New Roman"/>
                      <w:color w:val="auto"/>
                      <w:sz w:val="18"/>
                      <w:szCs w:val="18"/>
                    </w:rPr>
                    <w:t>相关要求</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且本项目的</w:t>
                  </w:r>
                  <w:r>
                    <w:rPr>
                      <w:rFonts w:hint="default" w:ascii="Times New Roman" w:hAnsi="Times New Roman" w:cs="Times New Roman"/>
                      <w:color w:val="auto"/>
                      <w:kern w:val="0"/>
                      <w:sz w:val="18"/>
                    </w:rPr>
                    <w:t>注塑时加热挤出</w:t>
                  </w:r>
                  <w:r>
                    <w:rPr>
                      <w:rFonts w:hint="default" w:ascii="Times New Roman" w:hAnsi="Times New Roman" w:cs="Times New Roman"/>
                      <w:color w:val="auto"/>
                      <w:sz w:val="18"/>
                    </w:rPr>
                    <w:t>产生的有机废气经</w:t>
                  </w:r>
                  <w:r>
                    <w:rPr>
                      <w:rFonts w:hint="default" w:ascii="Times New Roman" w:hAnsi="Times New Roman" w:cs="Times New Roman"/>
                      <w:color w:val="auto"/>
                      <w:sz w:val="18"/>
                      <w:lang w:eastAsia="zh-CN"/>
                    </w:rPr>
                    <w:t>过滤棉+两级活性炭</w:t>
                  </w:r>
                  <w:r>
                    <w:rPr>
                      <w:rFonts w:hint="default" w:ascii="Times New Roman" w:hAnsi="Times New Roman" w:cs="Times New Roman"/>
                      <w:color w:val="auto"/>
                      <w:sz w:val="18"/>
                    </w:rPr>
                    <w:t>吸附装置处理后达标排放</w:t>
                  </w:r>
                  <w:r>
                    <w:rPr>
                      <w:rFonts w:hint="default" w:ascii="Times New Roman" w:hAnsi="Times New Roman" w:cs="Times New Roman"/>
                      <w:color w:val="auto"/>
                      <w:sz w:val="18"/>
                      <w:lang w:eastAsia="zh-CN"/>
                    </w:rPr>
                    <w:t>；</w:t>
                  </w:r>
                </w:p>
              </w:tc>
              <w:tc>
                <w:tcPr>
                  <w:tcW w:w="247" w:type="pct"/>
                  <w:tcBorders>
                    <w:tl2br w:val="nil"/>
                    <w:tr2bl w:val="nil"/>
                  </w:tcBorders>
                  <w:noWrap w:val="0"/>
                  <w:vAlign w:val="center"/>
                </w:tcPr>
                <w:p w14:paraId="49330C86">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4A482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noWrap w:val="0"/>
                  <w:vAlign w:val="center"/>
                </w:tcPr>
                <w:p w14:paraId="4AA437E0">
                  <w:pPr>
                    <w:pStyle w:val="112"/>
                    <w:spacing w:line="240" w:lineRule="auto"/>
                    <w:rPr>
                      <w:rFonts w:hint="default" w:ascii="Times New Roman" w:hAnsi="Times New Roman" w:eastAsia="宋体" w:cs="Times New Roman"/>
                      <w:color w:val="auto"/>
                      <w:sz w:val="18"/>
                      <w:szCs w:val="18"/>
                    </w:rPr>
                  </w:pPr>
                </w:p>
              </w:tc>
              <w:tc>
                <w:tcPr>
                  <w:tcW w:w="2919" w:type="pct"/>
                  <w:tcBorders>
                    <w:tl2br w:val="nil"/>
                    <w:tr2bl w:val="nil"/>
                  </w:tcBorders>
                  <w:noWrap w:val="0"/>
                  <w:vAlign w:val="center"/>
                </w:tcPr>
                <w:p w14:paraId="6FFFA918">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柴油货车治理和纯电动车推广为重点深化交通污染控制。加快优化调整交通运输结构，提升全市铁路、水路货运比例，降低公路运输货物占比，推进大宗货物年运输量150万吨以上的园区和企业货物由公路运输转向铁路、水路运输。鼓励企业优先采用纯电动或者国五标准以上柴油货车、国三标准以上非道路移动机械。推进构建“车—油—路”绿色交通体系，完善并严格执行在用车I/M（检测与维护）制度，大力推广新能源车，推动公交车、出租车、网约车等公共领域用车纯电动化。严格执行汽、柴油质量标准，加强油品监管执法。进一步深化高排放车辆限行措施，对货运车辆（含运渣车）按排放标准、按时段、按路线精细化管控，加快淘汰老旧车辆。强化柴油货车、非道路移动机械、机动船舶等移动源污染治理。加快推进充换电设施和港口码头岸基供电设施建设，开展岸电智能监测试点。鼓励夜间错峰加油。</w:t>
                  </w:r>
                </w:p>
                <w:p w14:paraId="684DB003">
                  <w:pPr>
                    <w:pStyle w:val="112"/>
                    <w:spacing w:line="240" w:lineRule="auto"/>
                    <w:rPr>
                      <w:rFonts w:hint="default" w:ascii="Times New Roman" w:hAnsi="Times New Roman" w:eastAsia="宋体" w:cs="Times New Roman"/>
                      <w:color w:val="auto"/>
                      <w:sz w:val="18"/>
                      <w:szCs w:val="18"/>
                    </w:rPr>
                  </w:pPr>
                </w:p>
              </w:tc>
              <w:tc>
                <w:tcPr>
                  <w:tcW w:w="1513" w:type="pct"/>
                  <w:tcBorders>
                    <w:tl2br w:val="nil"/>
                    <w:tr2bl w:val="nil"/>
                  </w:tcBorders>
                  <w:noWrap w:val="0"/>
                  <w:vAlign w:val="center"/>
                </w:tcPr>
                <w:p w14:paraId="7E57AB55">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本项目原材料运输使用大货车运输，货车按照要求采用国五标准以上柴油货车。</w:t>
                  </w:r>
                </w:p>
              </w:tc>
              <w:tc>
                <w:tcPr>
                  <w:tcW w:w="247" w:type="pct"/>
                  <w:tcBorders>
                    <w:tl2br w:val="nil"/>
                    <w:tr2bl w:val="nil"/>
                  </w:tcBorders>
                  <w:noWrap w:val="0"/>
                  <w:vAlign w:val="center"/>
                </w:tcPr>
                <w:p w14:paraId="668DE472">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7D800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1" w:type="pct"/>
                  <w:vMerge w:val="continue"/>
                  <w:tcBorders>
                    <w:tl2br w:val="nil"/>
                    <w:tr2bl w:val="nil"/>
                  </w:tcBorders>
                  <w:noWrap w:val="0"/>
                  <w:vAlign w:val="center"/>
                </w:tcPr>
                <w:p w14:paraId="5DA60C20">
                  <w:pPr>
                    <w:pStyle w:val="112"/>
                    <w:spacing w:line="240" w:lineRule="auto"/>
                    <w:rPr>
                      <w:rFonts w:hint="default" w:ascii="Times New Roman" w:hAnsi="Times New Roman" w:eastAsia="宋体" w:cs="Times New Roman"/>
                      <w:color w:val="auto"/>
                      <w:sz w:val="18"/>
                      <w:szCs w:val="18"/>
                    </w:rPr>
                  </w:pPr>
                </w:p>
              </w:tc>
              <w:tc>
                <w:tcPr>
                  <w:tcW w:w="2919" w:type="pct"/>
                  <w:tcBorders>
                    <w:tl2br w:val="nil"/>
                    <w:tr2bl w:val="nil"/>
                  </w:tcBorders>
                  <w:noWrap w:val="0"/>
                  <w:vAlign w:val="center"/>
                </w:tcPr>
                <w:p w14:paraId="470FC85B">
                  <w:pPr>
                    <w:pStyle w:val="112"/>
                    <w:spacing w:line="240" w:lineRule="auto"/>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以绿色示范创建和智能监管为重点深化扬尘污染控制。出台并实施建筑施工现场扬尘控制管理标准，持续推行“红黄绿”名单分级管控制度，建设扬尘控制示范工地。开展建筑施工扬尘排放标准和控尘技术规范研究。提高城市道路机械化清扫率，持续开展道路冲洗、洒水，完善质量标准考评，建设扬尘控制示范道路。严格落实“定车辆、定线路、定渣场”要求，加大渣土密闭运输联合执法监管力度。加强企业堆煤、堆料、建筑渣土消纳场和混凝土搅拌站粉尘排放监管。加强城市裸露地块和坡坎崖整治。</w:t>
                  </w:r>
                </w:p>
              </w:tc>
              <w:tc>
                <w:tcPr>
                  <w:tcW w:w="1513" w:type="pct"/>
                  <w:tcBorders>
                    <w:tl2br w:val="nil"/>
                    <w:tr2bl w:val="nil"/>
                  </w:tcBorders>
                  <w:noWrap w:val="0"/>
                  <w:vAlign w:val="center"/>
                </w:tcPr>
                <w:p w14:paraId="34CE7384">
                  <w:pPr>
                    <w:pStyle w:val="112"/>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本项目</w:t>
                  </w:r>
                  <w:r>
                    <w:rPr>
                      <w:rFonts w:hint="eastAsia" w:ascii="Times New Roman" w:hAnsi="Times New Roman" w:cs="Times New Roman"/>
                      <w:color w:val="auto"/>
                      <w:sz w:val="18"/>
                      <w:szCs w:val="18"/>
                      <w:lang w:val="en-US" w:eastAsia="zh-CN"/>
                    </w:rPr>
                    <w:t>租赁</w:t>
                  </w:r>
                  <w:r>
                    <w:rPr>
                      <w:rFonts w:hint="default" w:ascii="Times New Roman" w:hAnsi="Times New Roman" w:eastAsia="宋体" w:cs="Times New Roman"/>
                      <w:color w:val="auto"/>
                      <w:sz w:val="18"/>
                      <w:szCs w:val="18"/>
                      <w:lang w:val="en-US" w:eastAsia="zh-CN"/>
                    </w:rPr>
                    <w:t>已建成厂房进行建设，不涉及土建</w:t>
                  </w:r>
                </w:p>
              </w:tc>
              <w:tc>
                <w:tcPr>
                  <w:tcW w:w="247" w:type="pct"/>
                  <w:tcBorders>
                    <w:tl2br w:val="nil"/>
                    <w:tr2bl w:val="nil"/>
                  </w:tcBorders>
                  <w:noWrap w:val="0"/>
                  <w:vAlign w:val="center"/>
                </w:tcPr>
                <w:p w14:paraId="2A73E253">
                  <w:pPr>
                    <w:pStyle w:val="112"/>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54F62522">
            <w:pPr>
              <w:spacing w:line="360" w:lineRule="auto"/>
              <w:ind w:firstLine="420" w:firstLineChars="200"/>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根据上表分析可知，项目符合《重庆市生态环境保护“十四五”规划（2021—2025年）》（渝府发〔2022〕11号）中相关要求。</w:t>
            </w:r>
          </w:p>
          <w:p w14:paraId="3BC84B8F">
            <w:pPr>
              <w:autoSpaceDE w:val="0"/>
              <w:autoSpaceDN w:val="0"/>
              <w:adjustRightInd w:val="0"/>
              <w:snapToGrid w:val="0"/>
              <w:spacing w:line="360" w:lineRule="auto"/>
              <w:ind w:firstLine="0" w:firstLineChars="0"/>
              <w:jc w:val="left"/>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十、</w:t>
            </w:r>
            <w:r>
              <w:rPr>
                <w:rFonts w:hint="default" w:ascii="Times New Roman" w:hAnsi="Times New Roman" w:eastAsia="宋体" w:cs="Times New Roman"/>
                <w:b/>
                <w:bCs/>
                <w:color w:val="auto"/>
                <w:kern w:val="0"/>
                <w:sz w:val="21"/>
                <w:szCs w:val="21"/>
              </w:rPr>
              <w:t>与《2020年挥发性有机物治理攻坚方案》（环大气〔2020〕33号）的符合性分析</w:t>
            </w:r>
          </w:p>
          <w:p w14:paraId="26F3368C">
            <w:pPr>
              <w:autoSpaceDE w:val="0"/>
              <w:autoSpaceDN w:val="0"/>
              <w:adjustRightInd w:val="0"/>
              <w:snapToGrid w:val="0"/>
              <w:spacing w:line="36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表1-1</w:t>
            </w:r>
            <w:r>
              <w:rPr>
                <w:rFonts w:hint="default" w:ascii="Times New Roman" w:hAnsi="Times New Roman"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与《2020年挥发性有机物治理攻坚方案》符合性分析</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4359"/>
              <w:gridCol w:w="2602"/>
              <w:gridCol w:w="664"/>
            </w:tblGrid>
            <w:tr w14:paraId="2B0FD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07" w:type="pct"/>
                  <w:tcBorders>
                    <w:tl2br w:val="nil"/>
                    <w:tr2bl w:val="nil"/>
                  </w:tcBorders>
                  <w:noWrap w:val="0"/>
                  <w:vAlign w:val="center"/>
                </w:tcPr>
                <w:p w14:paraId="26AD7784">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2682" w:type="pct"/>
                  <w:tcBorders>
                    <w:tl2br w:val="nil"/>
                    <w:tr2bl w:val="nil"/>
                  </w:tcBorders>
                  <w:noWrap w:val="0"/>
                  <w:vAlign w:val="center"/>
                </w:tcPr>
                <w:p w14:paraId="7A113A75">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相关要求</w:t>
                  </w:r>
                </w:p>
              </w:tc>
              <w:tc>
                <w:tcPr>
                  <w:tcW w:w="1601" w:type="pct"/>
                  <w:tcBorders>
                    <w:tl2br w:val="nil"/>
                    <w:tr2bl w:val="nil"/>
                  </w:tcBorders>
                  <w:noWrap w:val="0"/>
                  <w:vAlign w:val="center"/>
                </w:tcPr>
                <w:p w14:paraId="26E3FB22">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p>
              </w:tc>
              <w:tc>
                <w:tcPr>
                  <w:tcW w:w="408" w:type="pct"/>
                  <w:tcBorders>
                    <w:tl2br w:val="nil"/>
                    <w:tr2bl w:val="nil"/>
                  </w:tcBorders>
                  <w:noWrap w:val="0"/>
                  <w:vAlign w:val="center"/>
                </w:tcPr>
                <w:p w14:paraId="3B8AA4B4">
                  <w:pPr>
                    <w:spacing w:line="240" w:lineRule="auto"/>
                    <w:ind w:left="-57" w:right="-57"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496F8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07" w:type="pct"/>
                  <w:tcBorders>
                    <w:tl2br w:val="nil"/>
                    <w:tr2bl w:val="nil"/>
                  </w:tcBorders>
                  <w:noWrap w:val="0"/>
                  <w:vAlign w:val="center"/>
                </w:tcPr>
                <w:p w14:paraId="082C4CFF">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682" w:type="pct"/>
                  <w:tcBorders>
                    <w:tl2br w:val="nil"/>
                    <w:tr2bl w:val="nil"/>
                  </w:tcBorders>
                  <w:noWrap w:val="0"/>
                  <w:vAlign w:val="center"/>
                </w:tcPr>
                <w:p w14:paraId="3018E811">
                  <w:pPr>
                    <w:spacing w:line="240" w:lineRule="auto"/>
                    <w:ind w:firstLine="0" w:firstLineChars="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一、大力推进源头替代，有效减少VOCs产生。</w:t>
                  </w:r>
                </w:p>
                <w:p w14:paraId="1A0FF70E">
                  <w:pPr>
                    <w:spacing w:line="240" w:lineRule="auto"/>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601" w:type="pct"/>
                  <w:tcBorders>
                    <w:tl2br w:val="nil"/>
                    <w:tr2bl w:val="nil"/>
                  </w:tcBorders>
                  <w:noWrap w:val="0"/>
                  <w:vAlign w:val="center"/>
                </w:tcPr>
                <w:p w14:paraId="72572E01">
                  <w:pPr>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val="en-US" w:eastAsia="zh-CN"/>
                    </w:rPr>
                    <w:t>使用的</w:t>
                  </w:r>
                  <w:r>
                    <w:rPr>
                      <w:rFonts w:hint="eastAsia" w:ascii="Times New Roman" w:hAnsi="Times New Roman" w:cs="Times New Roman"/>
                      <w:color w:val="auto"/>
                      <w:sz w:val="18"/>
                      <w:szCs w:val="18"/>
                      <w:lang w:val="en-US" w:eastAsia="zh-CN"/>
                    </w:rPr>
                    <w:t>原辅材料</w:t>
                  </w:r>
                  <w:r>
                    <w:rPr>
                      <w:rFonts w:hint="default" w:ascii="Times New Roman" w:hAnsi="Times New Roman" w:eastAsia="宋体" w:cs="Times New Roman"/>
                      <w:color w:val="auto"/>
                      <w:sz w:val="18"/>
                      <w:szCs w:val="18"/>
                    </w:rPr>
                    <w:t>满足</w:t>
                  </w:r>
                  <w:r>
                    <w:rPr>
                      <w:rFonts w:hint="default" w:ascii="Times New Roman" w:hAnsi="Times New Roman" w:eastAsia="宋体" w:cs="Times New Roman"/>
                      <w:color w:val="auto"/>
                      <w:sz w:val="18"/>
                      <w:szCs w:val="18"/>
                      <w:lang w:val="en-US" w:eastAsia="zh-CN"/>
                    </w:rPr>
                    <w:t>国家</w:t>
                  </w:r>
                  <w:r>
                    <w:rPr>
                      <w:rFonts w:hint="default" w:ascii="Times New Roman" w:hAnsi="Times New Roman" w:eastAsia="宋体" w:cs="Times New Roman"/>
                      <w:color w:val="auto"/>
                      <w:sz w:val="18"/>
                      <w:szCs w:val="18"/>
                    </w:rPr>
                    <w:t>相关要求；同时，本项目按要求建立原辅材料台账，记录VOCs原辅材料名称、成分、VOCs含量、采购量、使用量、库存量、回收方式、回收量等信息，并保存相关证明材料；</w:t>
                  </w:r>
                  <w:r>
                    <w:rPr>
                      <w:rFonts w:hint="default" w:ascii="Times New Roman" w:hAnsi="Times New Roman" w:eastAsia="宋体" w:cs="Times New Roman"/>
                      <w:color w:val="auto"/>
                      <w:sz w:val="18"/>
                      <w:szCs w:val="18"/>
                      <w:lang w:val="en-US" w:eastAsia="zh-CN"/>
                    </w:rPr>
                    <w:t>且根据核算</w:t>
                  </w:r>
                  <w:r>
                    <w:rPr>
                      <w:rFonts w:hint="default" w:ascii="Times New Roman" w:hAnsi="Times New Roman" w:eastAsia="宋体" w:cs="Times New Roman"/>
                      <w:color w:val="auto"/>
                      <w:sz w:val="18"/>
                      <w:szCs w:val="18"/>
                    </w:rPr>
                    <w:t>本项目有机废气排放浓度稳定达标且排放速率满足标准</w:t>
                  </w:r>
                  <w:r>
                    <w:rPr>
                      <w:rFonts w:hint="eastAsia" w:cs="Times New Roman"/>
                      <w:color w:val="auto"/>
                      <w:sz w:val="18"/>
                      <w:szCs w:val="18"/>
                      <w:lang w:val="en-US" w:eastAsia="zh-CN"/>
                    </w:rPr>
                    <w:t>要求。</w:t>
                  </w:r>
                </w:p>
              </w:tc>
              <w:tc>
                <w:tcPr>
                  <w:tcW w:w="408" w:type="pct"/>
                  <w:tcBorders>
                    <w:tl2br w:val="nil"/>
                    <w:tr2bl w:val="nil"/>
                  </w:tcBorders>
                  <w:noWrap w:val="0"/>
                  <w:vAlign w:val="center"/>
                </w:tcPr>
                <w:p w14:paraId="5701D0D1">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111C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07" w:type="pct"/>
                  <w:tcBorders>
                    <w:tl2br w:val="nil"/>
                    <w:tr2bl w:val="nil"/>
                  </w:tcBorders>
                  <w:noWrap w:val="0"/>
                  <w:vAlign w:val="center"/>
                </w:tcPr>
                <w:p w14:paraId="31B3F1DA">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682" w:type="pct"/>
                  <w:tcBorders>
                    <w:tl2br w:val="nil"/>
                    <w:tr2bl w:val="nil"/>
                  </w:tcBorders>
                  <w:noWrap w:val="0"/>
                  <w:vAlign w:val="center"/>
                </w:tcPr>
                <w:p w14:paraId="6F533A32">
                  <w:pPr>
                    <w:spacing w:line="240" w:lineRule="auto"/>
                    <w:ind w:firstLine="0" w:firstLineChars="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二、全面落实标准要求，强化无组织排放控制</w:t>
                  </w:r>
                </w:p>
                <w:p w14:paraId="5418C952">
                  <w:pPr>
                    <w:widowControl/>
                    <w:shd w:val="clear" w:color="auto" w:fill="FFFFFF"/>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2020年7月1日起，全面执行《挥发性有机物无组织排放控制标准》，重点区域应落实无组织排放特别控制要求。···。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1601" w:type="pct"/>
                  <w:tcBorders>
                    <w:tl2br w:val="nil"/>
                    <w:tr2bl w:val="nil"/>
                  </w:tcBorders>
                  <w:noWrap w:val="0"/>
                  <w:vAlign w:val="center"/>
                </w:tcPr>
                <w:p w14:paraId="495F0A25">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val="en-US" w:eastAsia="zh-CN"/>
                    </w:rPr>
                    <w:t>使用的</w:t>
                  </w:r>
                  <w:r>
                    <w:rPr>
                      <w:rFonts w:hint="eastAsia" w:ascii="Times New Roman" w:hAnsi="Times New Roman" w:cs="Times New Roman"/>
                      <w:color w:val="auto"/>
                      <w:sz w:val="18"/>
                      <w:szCs w:val="18"/>
                      <w:lang w:val="en-US" w:eastAsia="zh-CN"/>
                    </w:rPr>
                    <w:t>原辅材料</w:t>
                  </w:r>
                  <w:r>
                    <w:rPr>
                      <w:rFonts w:hint="default" w:ascii="Times New Roman" w:hAnsi="Times New Roman" w:eastAsia="宋体" w:cs="Times New Roman"/>
                      <w:color w:val="auto"/>
                      <w:sz w:val="18"/>
                      <w:szCs w:val="18"/>
                    </w:rPr>
                    <w:t>满足</w:t>
                  </w:r>
                  <w:r>
                    <w:rPr>
                      <w:rFonts w:hint="default" w:ascii="Times New Roman" w:hAnsi="Times New Roman" w:eastAsia="宋体" w:cs="Times New Roman"/>
                      <w:color w:val="auto"/>
                      <w:sz w:val="18"/>
                      <w:szCs w:val="18"/>
                      <w:lang w:val="en-US" w:eastAsia="zh-CN"/>
                    </w:rPr>
                    <w:t>国家</w:t>
                  </w:r>
                  <w:r>
                    <w:rPr>
                      <w:rFonts w:hint="default" w:ascii="Times New Roman" w:hAnsi="Times New Roman" w:eastAsia="宋体" w:cs="Times New Roman"/>
                      <w:color w:val="auto"/>
                      <w:sz w:val="18"/>
                      <w:szCs w:val="18"/>
                    </w:rPr>
                    <w:t>相关要求。本项目含VOCs废料（废活性炭等）桶装加盖密闭存储，定期交由有危废处理资质单位处理。</w:t>
                  </w:r>
                </w:p>
              </w:tc>
              <w:tc>
                <w:tcPr>
                  <w:tcW w:w="408" w:type="pct"/>
                  <w:tcBorders>
                    <w:tl2br w:val="nil"/>
                    <w:tr2bl w:val="nil"/>
                  </w:tcBorders>
                  <w:noWrap w:val="0"/>
                  <w:vAlign w:val="center"/>
                </w:tcPr>
                <w:p w14:paraId="661D0D5D">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3729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07" w:type="pct"/>
                  <w:tcBorders>
                    <w:tl2br w:val="nil"/>
                    <w:tr2bl w:val="nil"/>
                  </w:tcBorders>
                  <w:noWrap w:val="0"/>
                  <w:vAlign w:val="center"/>
                </w:tcPr>
                <w:p w14:paraId="252C29AF">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2682" w:type="pct"/>
                  <w:tcBorders>
                    <w:tl2br w:val="nil"/>
                    <w:tr2bl w:val="nil"/>
                  </w:tcBorders>
                  <w:noWrap w:val="0"/>
                  <w:vAlign w:val="center"/>
                </w:tcPr>
                <w:p w14:paraId="145C33EA">
                  <w:pPr>
                    <w:spacing w:line="240" w:lineRule="auto"/>
                    <w:ind w:firstLine="0" w:firstLineChars="0"/>
                    <w:jc w:val="left"/>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三、聚焦治污设施“三率”，提升综合治理效率</w:t>
                  </w:r>
                </w:p>
                <w:p w14:paraId="5559DF48">
                  <w:pPr>
                    <w:spacing w:line="240" w:lineRule="auto"/>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601" w:type="pct"/>
                  <w:tcBorders>
                    <w:tl2br w:val="nil"/>
                    <w:tr2bl w:val="nil"/>
                  </w:tcBorders>
                  <w:noWrap w:val="0"/>
                  <w:vAlign w:val="center"/>
                </w:tcPr>
                <w:p w14:paraId="2A746E06">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本项目活性炭吸附装置选择碘值不低于800毫克/克的活性炭，并按设计要求足量添加、及时更换</w:t>
                  </w:r>
                </w:p>
              </w:tc>
              <w:tc>
                <w:tcPr>
                  <w:tcW w:w="408" w:type="pct"/>
                  <w:tcBorders>
                    <w:tl2br w:val="nil"/>
                    <w:tr2bl w:val="nil"/>
                  </w:tcBorders>
                  <w:noWrap w:val="0"/>
                  <w:vAlign w:val="center"/>
                </w:tcPr>
                <w:p w14:paraId="78A78C3E">
                  <w:pPr>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14:paraId="5C6A7D45">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shd w:val="clear" w:color="auto" w:fill="auto"/>
                <w:lang w:val="en-US" w:eastAsia="zh-CN"/>
              </w:rPr>
              <w:t>综上所述，本项目符合《2020年挥发性有机物治理攻坚方案》（环大气〔2020〕33号）中的相关要求。</w:t>
            </w:r>
          </w:p>
          <w:p w14:paraId="08109CDC">
            <w:pPr>
              <w:spacing w:line="360" w:lineRule="auto"/>
              <w:rPr>
                <w:rFonts w:hint="default" w:ascii="Times New Roman" w:hAnsi="Times New Roman" w:cs="Times New Roman"/>
                <w:b/>
                <w:color w:val="auto"/>
                <w:szCs w:val="21"/>
              </w:rPr>
            </w:pPr>
          </w:p>
          <w:p w14:paraId="65EEBF77">
            <w:pPr>
              <w:spacing w:line="360" w:lineRule="auto"/>
              <w:rPr>
                <w:rFonts w:hint="default" w:ascii="Times New Roman" w:hAnsi="Times New Roman" w:cs="Times New Roman"/>
                <w:b/>
                <w:color w:val="auto"/>
                <w:szCs w:val="21"/>
              </w:rPr>
            </w:pPr>
          </w:p>
          <w:p w14:paraId="4FA015E9">
            <w:pPr>
              <w:spacing w:line="360" w:lineRule="auto"/>
              <w:rPr>
                <w:rFonts w:hint="default" w:ascii="Times New Roman" w:hAnsi="Times New Roman" w:cs="Times New Roman"/>
                <w:b/>
                <w:color w:val="auto"/>
                <w:szCs w:val="21"/>
              </w:rPr>
            </w:pPr>
          </w:p>
          <w:p w14:paraId="5B569564">
            <w:pPr>
              <w:pStyle w:val="3"/>
              <w:spacing w:before="0" w:after="0" w:line="360" w:lineRule="auto"/>
              <w:ind w:left="0" w:firstLine="340" w:firstLineChars="200"/>
              <w:rPr>
                <w:rFonts w:hint="default" w:ascii="Times New Roman" w:hAnsi="Times New Roman" w:eastAsia="宋体" w:cs="Times New Roman"/>
                <w:b w:val="0"/>
                <w:bCs w:val="0"/>
                <w:color w:val="auto"/>
                <w:sz w:val="17"/>
                <w:szCs w:val="17"/>
              </w:rPr>
            </w:pPr>
          </w:p>
        </w:tc>
      </w:tr>
    </w:tbl>
    <w:p w14:paraId="71D680EC">
      <w:pPr>
        <w:pStyle w:val="26"/>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br w:type="page"/>
      </w:r>
      <w:r>
        <w:rPr>
          <w:rFonts w:hint="default" w:ascii="Times New Roman" w:hAnsi="Times New Roman" w:cs="Times New Roman"/>
          <w:snapToGrid w:val="0"/>
          <w:color w:val="auto"/>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420"/>
      </w:tblGrid>
      <w:tr w14:paraId="77FED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40" w:type="dxa"/>
            <w:noWrap w:val="0"/>
            <w:vAlign w:val="center"/>
          </w:tcPr>
          <w:p w14:paraId="0C525DCA">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420" w:type="dxa"/>
            <w:noWrap w:val="0"/>
            <w:vAlign w:val="center"/>
          </w:tcPr>
          <w:p w14:paraId="29A46B3C">
            <w:pPr>
              <w:pStyle w:val="26"/>
              <w:adjustRightInd w:val="0"/>
              <w:snapToGrid w:val="0"/>
              <w:spacing w:before="0" w:beforeAutospacing="0" w:after="0" w:afterAutospacing="0" w:line="360" w:lineRule="auto"/>
              <w:jc w:val="both"/>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2.1项目由来</w:t>
            </w:r>
            <w:bookmarkStart w:id="2" w:name="_Toc34493449"/>
            <w:bookmarkStart w:id="3" w:name="_Toc34491688"/>
            <w:bookmarkStart w:id="4" w:name="_Toc34490603"/>
            <w:bookmarkStart w:id="5" w:name="_Toc34493740"/>
            <w:bookmarkStart w:id="6" w:name="_Toc34494933"/>
          </w:p>
          <w:bookmarkEnd w:id="2"/>
          <w:bookmarkEnd w:id="3"/>
          <w:bookmarkEnd w:id="4"/>
          <w:bookmarkEnd w:id="5"/>
          <w:bookmarkEnd w:id="6"/>
          <w:p w14:paraId="6DB6F9ED">
            <w:pPr>
              <w:spacing w:line="360" w:lineRule="auto"/>
              <w:ind w:firstLine="420" w:firstLineChars="200"/>
              <w:rPr>
                <w:rFonts w:hint="default" w:ascii="Times New Roman" w:hAnsi="Times New Roman" w:eastAsia="宋体" w:cs="Times New Roman"/>
                <w:b w:val="0"/>
                <w:bCs w:val="0"/>
                <w:color w:val="auto"/>
                <w:sz w:val="24"/>
              </w:rPr>
            </w:pPr>
            <w:r>
              <w:rPr>
                <w:rFonts w:hint="default" w:ascii="Times New Roman" w:hAnsi="Times New Roman" w:cs="Times New Roman"/>
                <w:color w:val="auto"/>
                <w:szCs w:val="21"/>
                <w:lang w:eastAsia="zh-CN"/>
              </w:rPr>
              <w:t>重庆焱熔烁美塑胶科技有限责任公司</w:t>
            </w:r>
            <w:r>
              <w:rPr>
                <w:rFonts w:hint="default" w:ascii="Times New Roman" w:hAnsi="Times New Roman" w:cs="Times New Roman"/>
                <w:color w:val="auto"/>
                <w:szCs w:val="21"/>
              </w:rPr>
              <w:t>（以下简称公司）成立于20</w:t>
            </w:r>
            <w:r>
              <w:rPr>
                <w:rFonts w:hint="eastAsia" w:ascii="Times New Roman" w:hAnsi="Times New Roman" w:cs="Times New Roman"/>
                <w:color w:val="auto"/>
                <w:szCs w:val="21"/>
                <w:lang w:val="en-US" w:eastAsia="zh-CN"/>
              </w:rPr>
              <w:t>25</w:t>
            </w:r>
            <w:r>
              <w:rPr>
                <w:rFonts w:hint="default" w:ascii="Times New Roman" w:hAnsi="Times New Roman" w:cs="Times New Roman"/>
                <w:color w:val="auto"/>
                <w:szCs w:val="21"/>
              </w:rPr>
              <w:t>年</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月，主要</w:t>
            </w:r>
            <w:r>
              <w:rPr>
                <w:rFonts w:hint="default" w:ascii="Times New Roman" w:hAnsi="Times New Roman" w:cs="Times New Roman"/>
                <w:color w:val="auto"/>
                <w:szCs w:val="21"/>
                <w:lang w:val="en-US" w:eastAsia="zh-CN"/>
              </w:rPr>
              <w:t>从事塑料产品的</w:t>
            </w:r>
            <w:r>
              <w:rPr>
                <w:rFonts w:hint="default" w:ascii="Times New Roman" w:hAnsi="Times New Roman" w:cs="Times New Roman"/>
                <w:color w:val="auto"/>
                <w:szCs w:val="21"/>
              </w:rPr>
              <w:t>生产，</w:t>
            </w:r>
            <w:r>
              <w:rPr>
                <w:rFonts w:hint="default" w:ascii="Times New Roman" w:hAnsi="Times New Roman" w:eastAsia="宋体" w:cs="Times New Roman"/>
                <w:color w:val="auto"/>
                <w:szCs w:val="21"/>
                <w:lang w:eastAsia="zh-CN"/>
              </w:rPr>
              <w:t>为满足市场需求，</w:t>
            </w:r>
            <w:bookmarkStart w:id="7" w:name="_Toc34493451"/>
            <w:bookmarkStart w:id="8" w:name="_Toc34490605"/>
            <w:bookmarkStart w:id="9" w:name="_Toc34493742"/>
            <w:bookmarkStart w:id="10" w:name="_Toc34491690"/>
            <w:bookmarkStart w:id="11" w:name="_Toc34494935"/>
            <w:r>
              <w:rPr>
                <w:rFonts w:hint="default" w:ascii="Times New Roman" w:hAnsi="Times New Roman" w:eastAsia="宋体" w:cs="Times New Roman"/>
                <w:color w:val="auto"/>
                <w:szCs w:val="21"/>
                <w:lang w:val="en-US" w:eastAsia="zh-CN"/>
              </w:rPr>
              <w:t>公司</w:t>
            </w:r>
            <w:r>
              <w:rPr>
                <w:rFonts w:hint="default" w:ascii="Times New Roman" w:hAnsi="Times New Roman" w:eastAsia="宋体" w:cs="Times New Roman"/>
                <w:color w:val="auto"/>
                <w:szCs w:val="21"/>
                <w:lang w:eastAsia="zh-CN"/>
              </w:rPr>
              <w:t>拟</w:t>
            </w:r>
            <w:r>
              <w:rPr>
                <w:rFonts w:hint="eastAsia" w:ascii="Times New Roman" w:hAnsi="Times New Roman" w:cs="Times New Roman"/>
                <w:color w:val="auto"/>
                <w:szCs w:val="21"/>
                <w:lang w:val="en-US" w:eastAsia="zh-CN"/>
              </w:rPr>
              <w:t>租赁重庆三花门业有限公司位于</w:t>
            </w:r>
            <w:r>
              <w:rPr>
                <w:rFonts w:hint="eastAsia" w:cs="Times New Roman"/>
                <w:color w:val="auto"/>
                <w:szCs w:val="21"/>
                <w:lang w:eastAsia="zh-CN"/>
              </w:rPr>
              <w:t>重庆市合川区南津街街道龙阳路10号1楼B区、C区厂房（南溪组团A区）</w:t>
            </w:r>
            <w:r>
              <w:rPr>
                <w:rFonts w:hint="eastAsia" w:ascii="Times New Roman" w:hAnsi="Times New Roman" w:cs="Times New Roman"/>
                <w:color w:val="auto"/>
                <w:szCs w:val="21"/>
                <w:lang w:eastAsia="zh-CN"/>
              </w:rPr>
              <w:t>投资</w:t>
            </w:r>
            <w:r>
              <w:rPr>
                <w:rFonts w:hint="eastAsia" w:ascii="Times New Roman" w:hAnsi="Times New Roman" w:cs="Times New Roman"/>
                <w:color w:val="auto"/>
                <w:szCs w:val="21"/>
                <w:lang w:val="en-US" w:eastAsia="zh-CN"/>
              </w:rPr>
              <w:t>1200万元</w:t>
            </w:r>
            <w:r>
              <w:rPr>
                <w:rFonts w:hint="eastAsia" w:ascii="Times New Roman" w:hAnsi="Times New Roman" w:cs="Times New Roman"/>
                <w:color w:val="auto"/>
                <w:szCs w:val="21"/>
                <w:lang w:eastAsia="zh-CN"/>
              </w:rPr>
              <w:t>建设“</w:t>
            </w:r>
            <w:r>
              <w:rPr>
                <w:rFonts w:hint="default" w:ascii="Times New Roman" w:hAnsi="Times New Roman" w:cs="Times New Roman"/>
                <w:color w:val="auto"/>
                <w:szCs w:val="21"/>
                <w:lang w:eastAsia="zh-CN"/>
              </w:rPr>
              <w:t>焱熔烁美塑料制品生产项目</w:t>
            </w:r>
            <w:r>
              <w:rPr>
                <w:rFonts w:hint="eastAsia" w:ascii="Times New Roman" w:hAnsi="Times New Roman" w:cs="Times New Roman"/>
                <w:color w:val="auto"/>
                <w:szCs w:val="21"/>
                <w:lang w:eastAsia="zh-CN"/>
              </w:rPr>
              <w:t>”主要设置</w:t>
            </w:r>
            <w:r>
              <w:rPr>
                <w:rFonts w:hint="eastAsia" w:ascii="Times New Roman" w:hAnsi="Times New Roman" w:cs="Times New Roman"/>
                <w:color w:val="auto"/>
                <w:szCs w:val="21"/>
                <w:lang w:val="en-US" w:eastAsia="zh-CN"/>
              </w:rPr>
              <w:t>19台注塑机</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台</w:t>
            </w:r>
            <w:r>
              <w:rPr>
                <w:rFonts w:hint="eastAsia" w:ascii="Times New Roman" w:hAnsi="Times New Roman" w:cs="Times New Roman"/>
                <w:color w:val="auto"/>
                <w:szCs w:val="21"/>
                <w:lang w:val="en-US" w:eastAsia="zh-CN"/>
              </w:rPr>
              <w:t>破碎机</w:t>
            </w:r>
            <w:r>
              <w:rPr>
                <w:rFonts w:hint="default" w:ascii="Times New Roman" w:hAnsi="Times New Roman" w:cs="Times New Roman"/>
                <w:color w:val="auto"/>
                <w:szCs w:val="21"/>
                <w:lang w:val="en-US" w:eastAsia="zh-CN"/>
              </w:rPr>
              <w:t>等设备</w:t>
            </w:r>
            <w:r>
              <w:rPr>
                <w:rFonts w:hint="default" w:ascii="Times New Roman" w:hAnsi="Times New Roman" w:cs="Times New Roman"/>
                <w:color w:val="auto"/>
                <w:lang w:val="en-US" w:eastAsia="zh-CN"/>
              </w:rPr>
              <w:t>，塑料颗粒经过</w:t>
            </w:r>
            <w:r>
              <w:rPr>
                <w:rFonts w:hint="eastAsia" w:ascii="Times New Roman" w:hAnsi="Times New Roman" w:cs="Times New Roman"/>
                <w:color w:val="auto"/>
                <w:lang w:val="en-US" w:eastAsia="zh-CN"/>
              </w:rPr>
              <w:t>注塑成型、修边、检验</w:t>
            </w:r>
            <w:r>
              <w:rPr>
                <w:rFonts w:hint="default" w:ascii="Times New Roman" w:hAnsi="Times New Roman" w:cs="Times New Roman"/>
                <w:color w:val="auto"/>
                <w:lang w:val="en-US" w:eastAsia="zh-CN"/>
              </w:rPr>
              <w:t>等工序得到最终的产品，项目建成后年产</w:t>
            </w:r>
            <w:r>
              <w:rPr>
                <w:rFonts w:hint="eastAsia" w:ascii="Times New Roman" w:hAnsi="Times New Roman" w:cs="Times New Roman"/>
                <w:color w:val="auto"/>
                <w:lang w:val="en-US" w:eastAsia="zh-CN"/>
              </w:rPr>
              <w:t>塑料汽车零部件</w:t>
            </w:r>
            <w:r>
              <w:rPr>
                <w:rFonts w:hint="default" w:ascii="Times New Roman" w:hAnsi="Times New Roman" w:cs="Times New Roman"/>
                <w:color w:val="auto"/>
                <w:lang w:val="en-US" w:eastAsia="zh-CN"/>
              </w:rPr>
              <w:t>共计</w:t>
            </w:r>
            <w:r>
              <w:rPr>
                <w:rFonts w:hint="eastAsia" w:ascii="Times New Roman" w:hAnsi="Times New Roman" w:cs="Times New Roman"/>
                <w:color w:val="auto"/>
                <w:lang w:val="en-US" w:eastAsia="zh-CN"/>
              </w:rPr>
              <w:t>200万件</w:t>
            </w:r>
            <w:r>
              <w:rPr>
                <w:rFonts w:hint="default" w:ascii="Times New Roman" w:hAnsi="Times New Roman" w:cs="Times New Roman"/>
                <w:color w:val="auto"/>
                <w:lang w:val="en-US" w:eastAsia="zh-CN"/>
              </w:rPr>
              <w:t>。</w:t>
            </w:r>
          </w:p>
          <w:p w14:paraId="1339F560">
            <w:pPr>
              <w:spacing w:line="360" w:lineRule="auto"/>
              <w:ind w:firstLine="420" w:firstLineChars="200"/>
              <w:outlineLvl w:val="1"/>
              <w:rPr>
                <w:rFonts w:hint="default" w:ascii="Times New Roman" w:hAnsi="Times New Roman" w:cs="Times New Roman"/>
                <w:color w:val="auto"/>
                <w:szCs w:val="21"/>
              </w:rPr>
            </w:pPr>
            <w:r>
              <w:rPr>
                <w:rFonts w:hint="eastAsia" w:ascii="Times New Roman" w:hAnsi="Times New Roman" w:cs="Times New Roman"/>
                <w:color w:val="auto"/>
                <w:szCs w:val="21"/>
                <w:lang w:eastAsia="zh-CN"/>
              </w:rPr>
              <w:t>本项目主要通过注塑生产塑料汽车零部件，</w:t>
            </w:r>
            <w:r>
              <w:rPr>
                <w:rFonts w:hint="default" w:ascii="Times New Roman" w:hAnsi="Times New Roman" w:cs="Times New Roman"/>
                <w:color w:val="auto"/>
                <w:szCs w:val="21"/>
              </w:rPr>
              <w:t>根据《中华人民共和国环境保护法</w:t>
            </w:r>
            <w:r>
              <w:rPr>
                <w:rFonts w:hint="default" w:ascii="Times New Roman" w:hAnsi="Times New Roman" w:cs="Times New Roman"/>
                <w:color w:val="auto"/>
                <w:szCs w:val="21"/>
                <w:lang w:eastAsia="zh-CN"/>
              </w:rPr>
              <w:t>》</w:t>
            </w:r>
            <w:r>
              <w:rPr>
                <w:rFonts w:hint="eastAsia" w:cs="Times New Roman"/>
                <w:color w:val="auto"/>
                <w:szCs w:val="21"/>
                <w:lang w:eastAsia="zh-CN"/>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中华人民共和国环境影响评价法</w:t>
            </w:r>
            <w:r>
              <w:rPr>
                <w:rFonts w:hint="default" w:ascii="Times New Roman" w:hAnsi="Times New Roman" w:cs="Times New Roman"/>
                <w:color w:val="auto"/>
                <w:szCs w:val="21"/>
                <w:lang w:eastAsia="zh-CN"/>
              </w:rPr>
              <w:t>》</w:t>
            </w:r>
            <w:r>
              <w:rPr>
                <w:rFonts w:hint="eastAsia" w:cs="Times New Roman"/>
                <w:color w:val="auto"/>
                <w:szCs w:val="21"/>
                <w:lang w:eastAsia="zh-CN"/>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建设项目环境保护管理条例》，项目应开展环境影响评价，对照《建设项目分类管理名录》（2021年版）：本项目属于</w:t>
            </w:r>
            <w:r>
              <w:rPr>
                <w:rFonts w:ascii="Times New Roman" w:hAnsi="Times New Roman"/>
                <w:color w:val="auto"/>
                <w:kern w:val="0"/>
                <w:szCs w:val="21"/>
              </w:rPr>
              <w:t>三十三、</w:t>
            </w:r>
            <w:r>
              <w:rPr>
                <w:rFonts w:hint="eastAsia"/>
                <w:color w:val="auto"/>
                <w:kern w:val="0"/>
                <w:szCs w:val="21"/>
                <w:lang w:eastAsia="zh-CN"/>
              </w:rPr>
              <w:t>汽车制造业36</w:t>
            </w:r>
            <w:r>
              <w:rPr>
                <w:rFonts w:ascii="Times New Roman" w:hAnsi="Times New Roman"/>
                <w:color w:val="auto"/>
                <w:kern w:val="0"/>
                <w:szCs w:val="21"/>
              </w:rPr>
              <w:t>汽车零部件及配件制造367；</w:t>
            </w:r>
            <w:r>
              <w:rPr>
                <w:rFonts w:hint="eastAsia" w:ascii="Times New Roman" w:hAnsi="Times New Roman"/>
                <w:color w:val="auto"/>
                <w:kern w:val="0"/>
                <w:szCs w:val="21"/>
                <w:lang w:eastAsia="zh-CN"/>
              </w:rPr>
              <w:t>也属于</w:t>
            </w:r>
            <w:r>
              <w:rPr>
                <w:rFonts w:ascii="Times New Roman" w:hAnsi="Times New Roman"/>
                <w:color w:val="auto"/>
                <w:kern w:val="0"/>
                <w:szCs w:val="21"/>
              </w:rPr>
              <w:t>二十六、橡胶和塑料制品业29其他（年用非溶剂型低VOCs含量涂料10吨以下的除外）</w:t>
            </w:r>
            <w:r>
              <w:rPr>
                <w:rFonts w:hint="default" w:ascii="Times New Roman" w:hAnsi="Times New Roman" w:cs="Times New Roman"/>
                <w:color w:val="auto"/>
                <w:szCs w:val="21"/>
              </w:rPr>
              <w:t>，故本项目应编制环境影响报告表。</w:t>
            </w:r>
            <w:bookmarkEnd w:id="7"/>
            <w:bookmarkEnd w:id="8"/>
            <w:bookmarkEnd w:id="9"/>
            <w:bookmarkEnd w:id="10"/>
            <w:bookmarkEnd w:id="11"/>
          </w:p>
          <w:p w14:paraId="5945591A">
            <w:pPr>
              <w:pStyle w:val="26"/>
              <w:adjustRightInd w:val="0"/>
              <w:snapToGrid w:val="0"/>
              <w:spacing w:before="0" w:beforeAutospacing="0" w:after="0" w:afterAutospacing="0" w:line="360" w:lineRule="auto"/>
              <w:jc w:val="both"/>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2.2项目工程内容及建设概况</w:t>
            </w:r>
          </w:p>
          <w:p w14:paraId="4287515F">
            <w:pPr>
              <w:pStyle w:val="26"/>
              <w:adjustRightInd w:val="0"/>
              <w:snapToGrid w:val="0"/>
              <w:spacing w:before="0" w:beforeAutospacing="0" w:after="0" w:afterAutospacing="0" w:line="360" w:lineRule="auto"/>
              <w:jc w:val="both"/>
              <w:rPr>
                <w:rFonts w:hint="default" w:ascii="Times New Roman" w:hAnsi="Times New Roman" w:cs="Times New Roman"/>
                <w:b/>
                <w:color w:val="auto"/>
                <w:sz w:val="21"/>
                <w:szCs w:val="21"/>
              </w:rPr>
            </w:pPr>
            <w:bookmarkStart w:id="12" w:name="_Toc34490615"/>
            <w:bookmarkStart w:id="13" w:name="_Toc34491700"/>
            <w:bookmarkStart w:id="14" w:name="_Toc34494945"/>
            <w:bookmarkStart w:id="15" w:name="_Toc34493752"/>
            <w:r>
              <w:rPr>
                <w:rFonts w:hint="default" w:ascii="Times New Roman" w:hAnsi="Times New Roman" w:cs="Times New Roman"/>
                <w:b/>
                <w:color w:val="auto"/>
                <w:sz w:val="21"/>
                <w:szCs w:val="21"/>
              </w:rPr>
              <w:t>2.2.1项目建设概况</w:t>
            </w:r>
          </w:p>
          <w:p w14:paraId="76A8FE15">
            <w:pPr>
              <w:spacing w:line="360" w:lineRule="auto"/>
              <w:ind w:firstLine="422" w:firstLineChars="200"/>
              <w:outlineLvl w:val="1"/>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项目名称：</w:t>
            </w:r>
            <w:bookmarkEnd w:id="12"/>
            <w:bookmarkEnd w:id="13"/>
            <w:bookmarkEnd w:id="14"/>
            <w:bookmarkEnd w:id="15"/>
            <w:bookmarkStart w:id="16" w:name="_Toc34490616"/>
            <w:bookmarkStart w:id="17" w:name="_Toc34493753"/>
            <w:bookmarkStart w:id="18" w:name="_Toc34491701"/>
            <w:bookmarkStart w:id="19" w:name="_Toc34494946"/>
            <w:r>
              <w:rPr>
                <w:rFonts w:hint="default" w:ascii="Times New Roman" w:hAnsi="Times New Roman" w:cs="Times New Roman"/>
                <w:color w:val="auto"/>
                <w:szCs w:val="21"/>
                <w:lang w:eastAsia="zh-CN"/>
              </w:rPr>
              <w:t>焱熔烁美塑料制品生产项目</w:t>
            </w:r>
          </w:p>
          <w:p w14:paraId="72BD5AC7">
            <w:pPr>
              <w:spacing w:line="360" w:lineRule="auto"/>
              <w:ind w:firstLine="422" w:firstLineChars="200"/>
              <w:outlineLvl w:val="1"/>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建设单位：</w:t>
            </w:r>
            <w:bookmarkEnd w:id="16"/>
            <w:bookmarkEnd w:id="17"/>
            <w:bookmarkEnd w:id="18"/>
            <w:bookmarkEnd w:id="19"/>
            <w:r>
              <w:rPr>
                <w:rFonts w:hint="default" w:ascii="Times New Roman" w:hAnsi="Times New Roman" w:cs="Times New Roman"/>
                <w:color w:val="auto"/>
                <w:szCs w:val="21"/>
                <w:lang w:eastAsia="zh-CN"/>
              </w:rPr>
              <w:t>重庆焱熔烁美塑胶科技有限责任公司</w:t>
            </w:r>
          </w:p>
          <w:p w14:paraId="7CE58315">
            <w:pPr>
              <w:spacing w:line="360" w:lineRule="auto"/>
              <w:ind w:firstLine="422" w:firstLineChars="200"/>
              <w:outlineLvl w:val="1"/>
              <w:rPr>
                <w:rFonts w:hint="default" w:ascii="Times New Roman" w:hAnsi="Times New Roman" w:eastAsia="宋体" w:cs="Times New Roman"/>
                <w:b/>
                <w:color w:val="auto"/>
                <w:szCs w:val="21"/>
                <w:lang w:eastAsia="zh-CN"/>
              </w:rPr>
            </w:pPr>
            <w:bookmarkStart w:id="20" w:name="_Toc34493754"/>
            <w:bookmarkStart w:id="21" w:name="_Toc34490617"/>
            <w:bookmarkStart w:id="22" w:name="_Toc34491702"/>
            <w:bookmarkStart w:id="23" w:name="_Toc34494947"/>
            <w:r>
              <w:rPr>
                <w:rFonts w:hint="default" w:ascii="Times New Roman" w:hAnsi="Times New Roman" w:cs="Times New Roman"/>
                <w:b/>
                <w:color w:val="auto"/>
                <w:szCs w:val="21"/>
              </w:rPr>
              <w:t>建设性质：</w:t>
            </w:r>
            <w:bookmarkEnd w:id="20"/>
            <w:bookmarkEnd w:id="21"/>
            <w:bookmarkEnd w:id="22"/>
            <w:bookmarkEnd w:id="23"/>
            <w:r>
              <w:rPr>
                <w:rFonts w:hint="default" w:ascii="Times New Roman" w:hAnsi="Times New Roman" w:cs="Times New Roman"/>
                <w:color w:val="auto"/>
                <w:szCs w:val="21"/>
              </w:rPr>
              <w:t>新建</w:t>
            </w:r>
          </w:p>
          <w:p w14:paraId="663E752E">
            <w:pPr>
              <w:spacing w:line="360" w:lineRule="auto"/>
              <w:ind w:firstLine="422" w:firstLineChars="200"/>
              <w:outlineLvl w:val="1"/>
              <w:rPr>
                <w:rFonts w:hint="default" w:ascii="Times New Roman" w:hAnsi="Times New Roman" w:eastAsia="宋体" w:cs="Times New Roman"/>
                <w:color w:val="auto"/>
                <w:szCs w:val="21"/>
                <w:lang w:eastAsia="zh-CN"/>
              </w:rPr>
            </w:pPr>
            <w:bookmarkStart w:id="24" w:name="_Toc34490618"/>
            <w:bookmarkStart w:id="25" w:name="_Toc34494948"/>
            <w:bookmarkStart w:id="26" w:name="_Toc34491703"/>
            <w:bookmarkStart w:id="27" w:name="_Toc34493755"/>
            <w:r>
              <w:rPr>
                <w:rFonts w:hint="default" w:ascii="Times New Roman" w:hAnsi="Times New Roman" w:cs="Times New Roman"/>
                <w:b/>
                <w:color w:val="auto"/>
                <w:szCs w:val="21"/>
              </w:rPr>
              <w:t>建设地点：</w:t>
            </w:r>
            <w:bookmarkEnd w:id="24"/>
            <w:bookmarkEnd w:id="25"/>
            <w:bookmarkEnd w:id="26"/>
            <w:bookmarkEnd w:id="27"/>
            <w:bookmarkStart w:id="28" w:name="_Toc34493756"/>
            <w:bookmarkStart w:id="29" w:name="_Toc34490619"/>
            <w:bookmarkStart w:id="30" w:name="_Toc34494949"/>
            <w:bookmarkStart w:id="31" w:name="_Toc34491704"/>
            <w:r>
              <w:rPr>
                <w:rFonts w:hint="eastAsia" w:cs="Times New Roman"/>
                <w:color w:val="auto"/>
                <w:szCs w:val="21"/>
                <w:lang w:eastAsia="zh-CN"/>
              </w:rPr>
              <w:t>重庆市合川区南津街街道龙阳路10号1楼B区、C区厂房（南溪组团A区）</w:t>
            </w:r>
          </w:p>
          <w:p w14:paraId="0F9D1879">
            <w:pPr>
              <w:spacing w:line="360" w:lineRule="auto"/>
              <w:ind w:firstLine="422" w:firstLineChars="200"/>
              <w:outlineLvl w:val="1"/>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国民经济行业类别：</w:t>
            </w:r>
            <w:bookmarkEnd w:id="28"/>
            <w:bookmarkEnd w:id="29"/>
            <w:bookmarkEnd w:id="30"/>
            <w:bookmarkEnd w:id="31"/>
            <w:bookmarkStart w:id="32" w:name="_Toc34494950"/>
            <w:bookmarkStart w:id="33" w:name="_Toc34493757"/>
            <w:bookmarkStart w:id="34" w:name="_Toc34490620"/>
            <w:bookmarkStart w:id="35" w:name="_Toc34491705"/>
            <w:r>
              <w:rPr>
                <w:rFonts w:hint="default" w:ascii="Times New Roman" w:hAnsi="Times New Roman" w:cs="Times New Roman"/>
                <w:color w:val="auto"/>
                <w:spacing w:val="-6"/>
                <w:szCs w:val="21"/>
                <w:lang w:eastAsia="zh-CN"/>
              </w:rPr>
              <w:t>C3670汽车零部件及配件制造、C2929塑料零件及其他塑料制品制造</w:t>
            </w:r>
          </w:p>
          <w:p w14:paraId="7672C6D5">
            <w:pPr>
              <w:spacing w:line="360" w:lineRule="auto"/>
              <w:ind w:firstLine="422" w:firstLineChars="200"/>
              <w:outlineLvl w:val="1"/>
              <w:rPr>
                <w:rFonts w:hint="default" w:ascii="Times New Roman" w:hAnsi="Times New Roman" w:cs="Times New Roman"/>
                <w:b w:val="0"/>
                <w:bCs/>
                <w:color w:val="auto"/>
                <w:szCs w:val="21"/>
              </w:rPr>
            </w:pPr>
            <w:r>
              <w:rPr>
                <w:rFonts w:hint="default" w:ascii="Times New Roman" w:hAnsi="Times New Roman" w:cs="Times New Roman"/>
                <w:b/>
                <w:color w:val="auto"/>
                <w:szCs w:val="21"/>
              </w:rPr>
              <w:t>建设项目行业类别：</w:t>
            </w:r>
            <w:r>
              <w:rPr>
                <w:rFonts w:hint="default" w:ascii="Times New Roman" w:hAnsi="Times New Roman" w:cs="Times New Roman"/>
                <w:b w:val="0"/>
                <w:bCs/>
                <w:color w:val="auto"/>
                <w:szCs w:val="21"/>
              </w:rPr>
              <w:t>三十三、</w:t>
            </w:r>
            <w:r>
              <w:rPr>
                <w:rFonts w:hint="eastAsia" w:cs="Times New Roman"/>
                <w:b w:val="0"/>
                <w:bCs/>
                <w:color w:val="auto"/>
                <w:szCs w:val="21"/>
                <w:lang w:eastAsia="zh-CN"/>
              </w:rPr>
              <w:t>汽车制造业36</w:t>
            </w:r>
            <w:r>
              <w:rPr>
                <w:rFonts w:hint="default" w:ascii="Times New Roman" w:hAnsi="Times New Roman" w:cs="Times New Roman"/>
                <w:b w:val="0"/>
                <w:bCs/>
                <w:color w:val="auto"/>
                <w:szCs w:val="21"/>
              </w:rPr>
              <w:t>汽车零部件及配件制造367</w:t>
            </w:r>
            <w:r>
              <w:rPr>
                <w:rFonts w:hint="eastAsia"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二十六、橡胶和塑料制品业29其他（年用非溶剂型低VOCs含量涂料10吨以下的除外）</w:t>
            </w:r>
          </w:p>
          <w:p w14:paraId="738D9FB6">
            <w:pPr>
              <w:spacing w:line="360" w:lineRule="auto"/>
              <w:ind w:firstLine="422" w:firstLineChars="200"/>
              <w:outlineLvl w:val="1"/>
              <w:rPr>
                <w:rFonts w:hint="default" w:ascii="Times New Roman" w:hAnsi="Times New Roman" w:cs="Times New Roman"/>
                <w:bCs/>
                <w:color w:val="auto"/>
                <w:szCs w:val="21"/>
                <w:lang w:val="en-US" w:eastAsia="zh-CN"/>
              </w:rPr>
            </w:pPr>
            <w:r>
              <w:rPr>
                <w:rFonts w:hint="default" w:ascii="Times New Roman" w:hAnsi="Times New Roman" w:cs="Times New Roman"/>
                <w:b/>
                <w:color w:val="auto"/>
                <w:szCs w:val="21"/>
              </w:rPr>
              <w:t>建设内容及生产规模：</w:t>
            </w:r>
            <w:r>
              <w:rPr>
                <w:rFonts w:hint="eastAsia" w:ascii="Times New Roman" w:hAnsi="Times New Roman" w:cs="Times New Roman"/>
                <w:b w:val="0"/>
                <w:bCs/>
                <w:color w:val="auto"/>
                <w:szCs w:val="21"/>
                <w:lang w:val="en-US" w:eastAsia="zh-CN"/>
              </w:rPr>
              <w:t>项目租赁重庆三花门业有限公司位于</w:t>
            </w:r>
            <w:r>
              <w:rPr>
                <w:rFonts w:hint="eastAsia" w:cs="Times New Roman"/>
                <w:b w:val="0"/>
                <w:bCs/>
                <w:color w:val="auto"/>
                <w:szCs w:val="21"/>
                <w:lang w:val="en-US" w:eastAsia="zh-CN"/>
              </w:rPr>
              <w:t>重庆市合川区南津街街道龙阳路10号1楼B区、C区厂房</w:t>
            </w:r>
            <w:bookmarkStart w:id="64" w:name="_GoBack"/>
            <w:bookmarkEnd w:id="64"/>
            <w:r>
              <w:rPr>
                <w:rFonts w:hint="eastAsia" w:cs="Times New Roman"/>
                <w:b w:val="0"/>
                <w:bCs/>
                <w:color w:val="auto"/>
                <w:szCs w:val="21"/>
                <w:lang w:val="en-US" w:eastAsia="zh-CN"/>
              </w:rPr>
              <w:t>（南溪组团A区）</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租赁面积2500m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vertAlign w:val="baseline"/>
                <w:lang w:val="en-US" w:eastAsia="zh-CN"/>
              </w:rPr>
              <w:t>，主</w:t>
            </w:r>
            <w:r>
              <w:rPr>
                <w:rFonts w:hint="eastAsia" w:ascii="Times New Roman" w:hAnsi="Times New Roman" w:cs="Times New Roman"/>
                <w:color w:val="auto"/>
                <w:szCs w:val="21"/>
                <w:lang w:val="en-US" w:eastAsia="zh-CN"/>
              </w:rPr>
              <w:t>要设置19台注塑机</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台</w:t>
            </w:r>
            <w:r>
              <w:rPr>
                <w:rFonts w:hint="eastAsia" w:ascii="Times New Roman" w:hAnsi="Times New Roman" w:cs="Times New Roman"/>
                <w:color w:val="auto"/>
                <w:szCs w:val="21"/>
                <w:lang w:val="en-US" w:eastAsia="zh-CN"/>
              </w:rPr>
              <w:t>破碎机</w:t>
            </w:r>
            <w:r>
              <w:rPr>
                <w:rFonts w:hint="default" w:ascii="Times New Roman" w:hAnsi="Times New Roman" w:cs="Times New Roman"/>
                <w:color w:val="auto"/>
                <w:szCs w:val="21"/>
                <w:lang w:val="en-US" w:eastAsia="zh-CN"/>
              </w:rPr>
              <w:t>等设备，</w:t>
            </w:r>
            <w:bookmarkEnd w:id="32"/>
            <w:bookmarkEnd w:id="33"/>
            <w:bookmarkEnd w:id="34"/>
            <w:bookmarkEnd w:id="35"/>
            <w:bookmarkStart w:id="36" w:name="_Toc34491706"/>
            <w:bookmarkStart w:id="37" w:name="_Toc34493758"/>
            <w:bookmarkStart w:id="38" w:name="_Toc34494951"/>
            <w:bookmarkStart w:id="39" w:name="_Toc34490621"/>
            <w:r>
              <w:rPr>
                <w:rFonts w:hint="default" w:ascii="Times New Roman" w:hAnsi="Times New Roman" w:cs="Times New Roman"/>
                <w:color w:val="auto"/>
                <w:lang w:val="en-US" w:eastAsia="zh-CN"/>
              </w:rPr>
              <w:t>塑料颗粒经过</w:t>
            </w:r>
            <w:r>
              <w:rPr>
                <w:rFonts w:hint="eastAsia" w:ascii="Times New Roman" w:hAnsi="Times New Roman" w:cs="Times New Roman"/>
                <w:color w:val="auto"/>
                <w:lang w:val="en-US" w:eastAsia="zh-CN"/>
              </w:rPr>
              <w:t>注塑成型、修边、检验</w:t>
            </w:r>
            <w:r>
              <w:rPr>
                <w:rFonts w:hint="default" w:ascii="Times New Roman" w:hAnsi="Times New Roman" w:cs="Times New Roman"/>
                <w:color w:val="auto"/>
                <w:lang w:val="en-US" w:eastAsia="zh-CN"/>
              </w:rPr>
              <w:t>等工序得到最终的产品，项目建成后年产</w:t>
            </w:r>
            <w:r>
              <w:rPr>
                <w:rFonts w:hint="eastAsia" w:ascii="Times New Roman" w:hAnsi="Times New Roman" w:cs="Times New Roman"/>
                <w:color w:val="auto"/>
                <w:lang w:val="en-US" w:eastAsia="zh-CN"/>
              </w:rPr>
              <w:t>塑料汽车零部件</w:t>
            </w:r>
            <w:r>
              <w:rPr>
                <w:rFonts w:hint="default" w:ascii="Times New Roman" w:hAnsi="Times New Roman" w:cs="Times New Roman"/>
                <w:color w:val="auto"/>
                <w:lang w:val="en-US" w:eastAsia="zh-CN"/>
              </w:rPr>
              <w:t>共计</w:t>
            </w:r>
            <w:r>
              <w:rPr>
                <w:rFonts w:hint="eastAsia" w:ascii="Times New Roman" w:hAnsi="Times New Roman" w:cs="Times New Roman"/>
                <w:color w:val="auto"/>
                <w:lang w:val="en-US" w:eastAsia="zh-CN"/>
              </w:rPr>
              <w:t>200万件</w:t>
            </w:r>
            <w:r>
              <w:rPr>
                <w:rFonts w:hint="default" w:ascii="Times New Roman" w:hAnsi="Times New Roman" w:cs="Times New Roman"/>
                <w:color w:val="auto"/>
                <w:lang w:val="en-US" w:eastAsia="zh-CN"/>
              </w:rPr>
              <w:t>。</w:t>
            </w:r>
          </w:p>
          <w:p w14:paraId="7706802C">
            <w:pPr>
              <w:spacing w:line="360" w:lineRule="auto"/>
              <w:ind w:firstLine="422" w:firstLineChars="200"/>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项目投资</w:t>
            </w:r>
            <w:r>
              <w:rPr>
                <w:rFonts w:hint="default" w:ascii="Times New Roman" w:hAnsi="Times New Roman" w:cs="Times New Roman"/>
                <w:color w:val="auto"/>
                <w:szCs w:val="21"/>
              </w:rPr>
              <w:t>：总投资1</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00万元，其中环保投资50万元，占总投资的</w:t>
            </w:r>
            <w:r>
              <w:rPr>
                <w:rFonts w:hint="eastAsia" w:ascii="Times New Roman" w:hAnsi="Times New Roman" w:cs="Times New Roman"/>
                <w:color w:val="auto"/>
                <w:szCs w:val="21"/>
                <w:lang w:val="en-US" w:eastAsia="zh-CN"/>
              </w:rPr>
              <w:t>4.2</w:t>
            </w:r>
            <w:r>
              <w:rPr>
                <w:rFonts w:hint="default" w:ascii="Times New Roman" w:hAnsi="Times New Roman" w:cs="Times New Roman"/>
                <w:color w:val="auto"/>
                <w:szCs w:val="21"/>
              </w:rPr>
              <w:t>%</w:t>
            </w:r>
            <w:bookmarkEnd w:id="36"/>
            <w:bookmarkEnd w:id="37"/>
            <w:bookmarkEnd w:id="38"/>
            <w:bookmarkEnd w:id="39"/>
          </w:p>
          <w:p w14:paraId="3B4A304B">
            <w:pPr>
              <w:spacing w:line="360" w:lineRule="auto"/>
              <w:ind w:firstLine="422" w:firstLineChars="200"/>
              <w:outlineLvl w:val="1"/>
              <w:rPr>
                <w:rFonts w:hint="default" w:ascii="Times New Roman" w:hAnsi="Times New Roman" w:cs="Times New Roman"/>
                <w:color w:val="auto"/>
                <w:kern w:val="0"/>
                <w:szCs w:val="21"/>
              </w:rPr>
            </w:pPr>
            <w:bookmarkStart w:id="40" w:name="_Toc34493761"/>
            <w:bookmarkStart w:id="41" w:name="_Toc34494954"/>
            <w:bookmarkStart w:id="42" w:name="_Toc34490624"/>
            <w:bookmarkStart w:id="43" w:name="_Toc34491709"/>
            <w:r>
              <w:rPr>
                <w:rFonts w:hint="default" w:ascii="Times New Roman" w:hAnsi="Times New Roman" w:cs="Times New Roman"/>
                <w:b/>
                <w:color w:val="auto"/>
                <w:szCs w:val="21"/>
              </w:rPr>
              <w:t>建设工期：</w:t>
            </w:r>
            <w:r>
              <w:rPr>
                <w:rFonts w:hint="default" w:ascii="Times New Roman" w:hAnsi="Times New Roman" w:cs="Times New Roman"/>
                <w:color w:val="auto"/>
                <w:kern w:val="0"/>
                <w:szCs w:val="21"/>
              </w:rPr>
              <w:t>3个月。</w:t>
            </w:r>
            <w:bookmarkEnd w:id="40"/>
            <w:bookmarkEnd w:id="41"/>
            <w:bookmarkEnd w:id="42"/>
            <w:bookmarkEnd w:id="43"/>
            <w:bookmarkStart w:id="44" w:name="_Toc34490625"/>
            <w:bookmarkStart w:id="45" w:name="_Toc34491710"/>
            <w:bookmarkStart w:id="46" w:name="_Toc34494955"/>
            <w:bookmarkStart w:id="47" w:name="_Toc34493762"/>
          </w:p>
          <w:p w14:paraId="10BE5AED">
            <w:pPr>
              <w:spacing w:line="360" w:lineRule="auto"/>
              <w:ind w:firstLine="422" w:firstLineChars="200"/>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项目产品及产能：</w:t>
            </w:r>
          </w:p>
          <w:p w14:paraId="3132CDC1">
            <w:pPr>
              <w:adjustRightInd w:val="0"/>
              <w:snapToGrid w:val="0"/>
              <w:ind w:firstLine="422" w:firstLineChars="200"/>
              <w:jc w:val="center"/>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表2-1  产品方案及产能情况一览表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887"/>
              <w:gridCol w:w="877"/>
              <w:gridCol w:w="961"/>
              <w:gridCol w:w="1060"/>
              <w:gridCol w:w="1096"/>
              <w:gridCol w:w="2651"/>
            </w:tblGrid>
            <w:tr w14:paraId="67EE8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88" w:type="pct"/>
                  <w:tcBorders>
                    <w:tl2br w:val="nil"/>
                    <w:tr2bl w:val="nil"/>
                  </w:tcBorders>
                  <w:noWrap w:val="0"/>
                  <w:vAlign w:val="center"/>
                </w:tcPr>
                <w:p w14:paraId="2751590A">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543" w:type="pct"/>
                  <w:tcBorders>
                    <w:tl2br w:val="nil"/>
                    <w:tr2bl w:val="nil"/>
                  </w:tcBorders>
                  <w:noWrap w:val="0"/>
                  <w:vAlign w:val="center"/>
                </w:tcPr>
                <w:p w14:paraId="3C7A2092">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产品原料</w:t>
                  </w:r>
                </w:p>
              </w:tc>
              <w:tc>
                <w:tcPr>
                  <w:tcW w:w="537" w:type="pct"/>
                  <w:tcBorders>
                    <w:tl2br w:val="nil"/>
                    <w:tr2bl w:val="nil"/>
                  </w:tcBorders>
                  <w:noWrap w:val="0"/>
                  <w:vAlign w:val="center"/>
                </w:tcPr>
                <w:p w14:paraId="12FC93B6">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规格型号（mm）</w:t>
                  </w:r>
                </w:p>
              </w:tc>
              <w:tc>
                <w:tcPr>
                  <w:tcW w:w="587" w:type="pct"/>
                  <w:tcBorders>
                    <w:tl2br w:val="nil"/>
                    <w:tr2bl w:val="nil"/>
                  </w:tcBorders>
                  <w:noWrap w:val="0"/>
                  <w:vAlign w:val="center"/>
                </w:tcPr>
                <w:p w14:paraId="350E3115">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单件产品重量（kg/件）</w:t>
                  </w:r>
                </w:p>
              </w:tc>
              <w:tc>
                <w:tcPr>
                  <w:tcW w:w="649" w:type="pct"/>
                  <w:tcBorders>
                    <w:tl2br w:val="nil"/>
                    <w:tr2bl w:val="nil"/>
                  </w:tcBorders>
                  <w:noWrap w:val="0"/>
                  <w:vAlign w:val="center"/>
                </w:tcPr>
                <w:p w14:paraId="24C08F6C">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年产量（万件/a）</w:t>
                  </w:r>
                </w:p>
              </w:tc>
              <w:tc>
                <w:tcPr>
                  <w:tcW w:w="671" w:type="pct"/>
                  <w:tcBorders>
                    <w:tl2br w:val="nil"/>
                    <w:tr2bl w:val="nil"/>
                  </w:tcBorders>
                  <w:noWrap w:val="0"/>
                  <w:vAlign w:val="center"/>
                </w:tcPr>
                <w:p w14:paraId="6060BCEC">
                  <w:pPr>
                    <w:tabs>
                      <w:tab w:val="left" w:pos="612"/>
                    </w:tabs>
                    <w:adjustRightInd w:val="0"/>
                    <w:snapToGrid w:val="0"/>
                    <w:jc w:val="center"/>
                    <w:outlineLvl w:val="1"/>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lang w:val="en-US" w:eastAsia="zh-CN"/>
                    </w:rPr>
                    <w:t>原料用量（t/a）</w:t>
                  </w:r>
                </w:p>
              </w:tc>
              <w:tc>
                <w:tcPr>
                  <w:tcW w:w="1623" w:type="pct"/>
                  <w:tcBorders>
                    <w:tl2br w:val="nil"/>
                    <w:tr2bl w:val="nil"/>
                  </w:tcBorders>
                  <w:noWrap w:val="0"/>
                  <w:vAlign w:val="center"/>
                </w:tcPr>
                <w:p w14:paraId="3443BE96">
                  <w:pPr>
                    <w:tabs>
                      <w:tab w:val="left" w:pos="612"/>
                    </w:tabs>
                    <w:adjustRightInd w:val="0"/>
                    <w:snapToGrid w:val="0"/>
                    <w:jc w:val="center"/>
                    <w:outlineLvl w:val="1"/>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lang w:val="en-US" w:eastAsia="zh-CN"/>
                    </w:rPr>
                    <w:t>产品照片</w:t>
                  </w:r>
                </w:p>
              </w:tc>
            </w:tr>
            <w:tr w14:paraId="4013F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8" w:type="pct"/>
                  <w:tcBorders>
                    <w:tl2br w:val="nil"/>
                    <w:tr2bl w:val="nil"/>
                  </w:tcBorders>
                  <w:noWrap w:val="0"/>
                  <w:vAlign w:val="center"/>
                </w:tcPr>
                <w:p w14:paraId="6675854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pacing w:val="-5"/>
                      <w:kern w:val="2"/>
                      <w:sz w:val="18"/>
                      <w:szCs w:val="18"/>
                      <w:lang w:val="en-US" w:eastAsia="zh-CN" w:bidi="ar-SA"/>
                    </w:rPr>
                  </w:pPr>
                  <w:r>
                    <w:rPr>
                      <w:rFonts w:hint="default" w:ascii="Times New Roman" w:hAnsi="Times New Roman" w:eastAsia="宋体" w:cs="Times New Roman"/>
                      <w:b w:val="0"/>
                      <w:bCs/>
                      <w:color w:val="auto"/>
                      <w:sz w:val="18"/>
                      <w:szCs w:val="18"/>
                    </w:rPr>
                    <w:t>扰流板</w:t>
                  </w:r>
                </w:p>
              </w:tc>
              <w:tc>
                <w:tcPr>
                  <w:tcW w:w="543" w:type="pct"/>
                  <w:vMerge w:val="restart"/>
                  <w:tcBorders>
                    <w:tl2br w:val="nil"/>
                    <w:tr2bl w:val="nil"/>
                  </w:tcBorders>
                  <w:noWrap w:val="0"/>
                  <w:vAlign w:val="center"/>
                </w:tcPr>
                <w:p w14:paraId="0C55ECC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ABS</w:t>
                  </w:r>
                </w:p>
              </w:tc>
              <w:tc>
                <w:tcPr>
                  <w:tcW w:w="537" w:type="pct"/>
                  <w:tcBorders>
                    <w:tl2br w:val="nil"/>
                    <w:tr2bl w:val="nil"/>
                  </w:tcBorders>
                  <w:noWrap w:val="0"/>
                  <w:vAlign w:val="center"/>
                </w:tcPr>
                <w:p w14:paraId="2AC5498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580*100</w:t>
                  </w:r>
                </w:p>
              </w:tc>
              <w:tc>
                <w:tcPr>
                  <w:tcW w:w="587" w:type="pct"/>
                  <w:tcBorders>
                    <w:tl2br w:val="nil"/>
                    <w:tr2bl w:val="nil"/>
                  </w:tcBorders>
                  <w:noWrap w:val="0"/>
                  <w:vAlign w:val="center"/>
                </w:tcPr>
                <w:p w14:paraId="24D9DFC0">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0.35</w:t>
                  </w:r>
                </w:p>
              </w:tc>
              <w:tc>
                <w:tcPr>
                  <w:tcW w:w="649" w:type="pct"/>
                  <w:tcBorders>
                    <w:tl2br w:val="nil"/>
                    <w:tr2bl w:val="nil"/>
                  </w:tcBorders>
                  <w:noWrap w:val="0"/>
                  <w:vAlign w:val="center"/>
                </w:tcPr>
                <w:p w14:paraId="0C10C900">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671" w:type="pct"/>
                  <w:tcBorders>
                    <w:tl2br w:val="nil"/>
                    <w:tr2bl w:val="nil"/>
                  </w:tcBorders>
                  <w:noWrap w:val="0"/>
                  <w:vAlign w:val="center"/>
                </w:tcPr>
                <w:p w14:paraId="5E7641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245</w:t>
                  </w:r>
                </w:p>
              </w:tc>
              <w:tc>
                <w:tcPr>
                  <w:tcW w:w="1623" w:type="pct"/>
                  <w:tcBorders>
                    <w:tl2br w:val="nil"/>
                    <w:tr2bl w:val="nil"/>
                  </w:tcBorders>
                  <w:noWrap w:val="0"/>
                  <w:vAlign w:val="center"/>
                </w:tcPr>
                <w:p w14:paraId="20344E5E">
                  <w:pPr>
                    <w:adjustRightInd w:val="0"/>
                    <w:snapToGrid w:val="0"/>
                    <w:jc w:val="center"/>
                    <w:outlineLvl w:val="1"/>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color w:val="auto"/>
                      <w:sz w:val="18"/>
                      <w:szCs w:val="18"/>
                    </w:rPr>
                    <w:drawing>
                      <wp:inline distT="0" distB="0" distL="114300" distR="114300">
                        <wp:extent cx="1057910" cy="91059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057910" cy="910590"/>
                                </a:xfrm>
                                <a:prstGeom prst="rect">
                                  <a:avLst/>
                                </a:prstGeom>
                                <a:noFill/>
                                <a:ln>
                                  <a:noFill/>
                                </a:ln>
                              </pic:spPr>
                            </pic:pic>
                          </a:graphicData>
                        </a:graphic>
                      </wp:inline>
                    </w:drawing>
                  </w:r>
                </w:p>
              </w:tc>
            </w:tr>
            <w:tr w14:paraId="1281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8" w:type="pct"/>
                  <w:tcBorders>
                    <w:tl2br w:val="nil"/>
                    <w:tr2bl w:val="nil"/>
                  </w:tcBorders>
                  <w:noWrap w:val="0"/>
                  <w:vAlign w:val="center"/>
                </w:tcPr>
                <w:p w14:paraId="6B2EF71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kern w:val="2"/>
                      <w:sz w:val="18"/>
                      <w:szCs w:val="18"/>
                      <w:lang w:val="en-US" w:eastAsia="zh-CN" w:bidi="ar-SA"/>
                    </w:rPr>
                    <w:t>护板</w:t>
                  </w:r>
                </w:p>
              </w:tc>
              <w:tc>
                <w:tcPr>
                  <w:tcW w:w="543" w:type="pct"/>
                  <w:vMerge w:val="continue"/>
                  <w:tcBorders>
                    <w:tl2br w:val="nil"/>
                    <w:tr2bl w:val="nil"/>
                  </w:tcBorders>
                  <w:noWrap w:val="0"/>
                  <w:vAlign w:val="center"/>
                </w:tcPr>
                <w:p w14:paraId="0524CCF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18"/>
                      <w:szCs w:val="18"/>
                      <w:lang w:val="en-US" w:eastAsia="zh-CN"/>
                    </w:rPr>
                  </w:pPr>
                </w:p>
              </w:tc>
              <w:tc>
                <w:tcPr>
                  <w:tcW w:w="537" w:type="pct"/>
                  <w:tcBorders>
                    <w:tl2br w:val="nil"/>
                    <w:tr2bl w:val="nil"/>
                  </w:tcBorders>
                  <w:noWrap w:val="0"/>
                  <w:vAlign w:val="center"/>
                </w:tcPr>
                <w:p w14:paraId="71CAFC4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600×400</w:t>
                  </w:r>
                </w:p>
              </w:tc>
              <w:tc>
                <w:tcPr>
                  <w:tcW w:w="587" w:type="pct"/>
                  <w:tcBorders>
                    <w:tl2br w:val="nil"/>
                    <w:tr2bl w:val="nil"/>
                  </w:tcBorders>
                  <w:noWrap w:val="0"/>
                  <w:vAlign w:val="center"/>
                </w:tcPr>
                <w:p w14:paraId="3EEFAD95">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0.85</w:t>
                  </w:r>
                </w:p>
              </w:tc>
              <w:tc>
                <w:tcPr>
                  <w:tcW w:w="649" w:type="pct"/>
                  <w:tcBorders>
                    <w:tl2br w:val="nil"/>
                    <w:tr2bl w:val="nil"/>
                  </w:tcBorders>
                  <w:noWrap w:val="0"/>
                  <w:vAlign w:val="center"/>
                </w:tcPr>
                <w:p w14:paraId="4E192C55">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671" w:type="pct"/>
                  <w:tcBorders>
                    <w:tl2br w:val="nil"/>
                    <w:tr2bl w:val="nil"/>
                  </w:tcBorders>
                  <w:noWrap w:val="0"/>
                  <w:vAlign w:val="center"/>
                </w:tcPr>
                <w:p w14:paraId="28FFA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255</w:t>
                  </w:r>
                </w:p>
              </w:tc>
              <w:tc>
                <w:tcPr>
                  <w:tcW w:w="1623" w:type="pct"/>
                  <w:tcBorders>
                    <w:tl2br w:val="nil"/>
                    <w:tr2bl w:val="nil"/>
                  </w:tcBorders>
                  <w:noWrap w:val="0"/>
                  <w:vAlign w:val="center"/>
                </w:tcPr>
                <w:p w14:paraId="2EC49FC3">
                  <w:pPr>
                    <w:adjustRightInd w:val="0"/>
                    <w:snapToGrid w:val="0"/>
                    <w:jc w:val="center"/>
                    <w:outlineLvl w:val="1"/>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drawing>
                      <wp:inline distT="0" distB="0" distL="114300" distR="114300">
                        <wp:extent cx="473710" cy="131445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rot="-5400000">
                                  <a:off x="0" y="0"/>
                                  <a:ext cx="473710" cy="1314450"/>
                                </a:xfrm>
                                <a:prstGeom prst="rect">
                                  <a:avLst/>
                                </a:prstGeom>
                                <a:noFill/>
                                <a:ln>
                                  <a:noFill/>
                                </a:ln>
                              </pic:spPr>
                            </pic:pic>
                          </a:graphicData>
                        </a:graphic>
                      </wp:inline>
                    </w:drawing>
                  </w:r>
                </w:p>
              </w:tc>
            </w:tr>
            <w:tr w14:paraId="28A93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8" w:type="pct"/>
                  <w:tcBorders>
                    <w:tl2br w:val="nil"/>
                    <w:tr2bl w:val="nil"/>
                  </w:tcBorders>
                  <w:noWrap w:val="0"/>
                  <w:vAlign w:val="center"/>
                </w:tcPr>
                <w:p w14:paraId="068B50B4">
                  <w:pPr>
                    <w:jc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sz w:val="18"/>
                      <w:szCs w:val="18"/>
                    </w:rPr>
                    <w:t>装饰板</w:t>
                  </w:r>
                </w:p>
              </w:tc>
              <w:tc>
                <w:tcPr>
                  <w:tcW w:w="543" w:type="pct"/>
                  <w:tcBorders>
                    <w:tl2br w:val="nil"/>
                    <w:tr2bl w:val="nil"/>
                  </w:tcBorders>
                  <w:noWrap w:val="0"/>
                  <w:vAlign w:val="center"/>
                </w:tcPr>
                <w:p w14:paraId="660B23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PP</w:t>
                  </w:r>
                </w:p>
              </w:tc>
              <w:tc>
                <w:tcPr>
                  <w:tcW w:w="537" w:type="pct"/>
                  <w:tcBorders>
                    <w:tl2br w:val="nil"/>
                    <w:tr2bl w:val="nil"/>
                  </w:tcBorders>
                  <w:noWrap w:val="0"/>
                  <w:vAlign w:val="center"/>
                </w:tcPr>
                <w:p w14:paraId="5716DDB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550*350</w:t>
                  </w:r>
                </w:p>
              </w:tc>
              <w:tc>
                <w:tcPr>
                  <w:tcW w:w="587" w:type="pct"/>
                  <w:tcBorders>
                    <w:tl2br w:val="nil"/>
                    <w:tr2bl w:val="nil"/>
                  </w:tcBorders>
                  <w:noWrap w:val="0"/>
                  <w:vAlign w:val="center"/>
                </w:tcPr>
                <w:p w14:paraId="66DA52DF">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0.8</w:t>
                  </w:r>
                </w:p>
              </w:tc>
              <w:tc>
                <w:tcPr>
                  <w:tcW w:w="649" w:type="pct"/>
                  <w:tcBorders>
                    <w:tl2br w:val="nil"/>
                    <w:tr2bl w:val="nil"/>
                  </w:tcBorders>
                  <w:noWrap w:val="0"/>
                  <w:vAlign w:val="center"/>
                </w:tcPr>
                <w:p w14:paraId="0250F213">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671" w:type="pct"/>
                  <w:tcBorders>
                    <w:tl2br w:val="nil"/>
                    <w:tr2bl w:val="nil"/>
                  </w:tcBorders>
                  <w:noWrap w:val="0"/>
                  <w:vAlign w:val="center"/>
                </w:tcPr>
                <w:p w14:paraId="250DC0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1623" w:type="pct"/>
                  <w:tcBorders>
                    <w:tl2br w:val="nil"/>
                    <w:tr2bl w:val="nil"/>
                  </w:tcBorders>
                  <w:noWrap w:val="0"/>
                  <w:vAlign w:val="center"/>
                </w:tcPr>
                <w:p w14:paraId="0724F9A6">
                  <w:pPr>
                    <w:adjustRightInd w:val="0"/>
                    <w:snapToGrid w:val="0"/>
                    <w:jc w:val="center"/>
                    <w:outlineLvl w:val="1"/>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drawing>
                      <wp:inline distT="0" distB="0" distL="114300" distR="114300">
                        <wp:extent cx="1310640" cy="88900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310640" cy="889000"/>
                                </a:xfrm>
                                <a:prstGeom prst="rect">
                                  <a:avLst/>
                                </a:prstGeom>
                                <a:noFill/>
                                <a:ln>
                                  <a:noFill/>
                                </a:ln>
                              </pic:spPr>
                            </pic:pic>
                          </a:graphicData>
                        </a:graphic>
                      </wp:inline>
                    </w:drawing>
                  </w:r>
                </w:p>
              </w:tc>
            </w:tr>
            <w:tr w14:paraId="71327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8" w:type="pct"/>
                  <w:tcBorders>
                    <w:tl2br w:val="nil"/>
                    <w:tr2bl w:val="nil"/>
                  </w:tcBorders>
                  <w:noWrap w:val="0"/>
                  <w:vAlign w:val="center"/>
                </w:tcPr>
                <w:p w14:paraId="436CAA53">
                  <w:pPr>
                    <w:jc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sz w:val="18"/>
                      <w:szCs w:val="18"/>
                    </w:rPr>
                    <w:t>盖板</w:t>
                  </w:r>
                </w:p>
              </w:tc>
              <w:tc>
                <w:tcPr>
                  <w:tcW w:w="543" w:type="pct"/>
                  <w:tcBorders>
                    <w:tl2br w:val="nil"/>
                    <w:tr2bl w:val="nil"/>
                  </w:tcBorders>
                  <w:noWrap w:val="0"/>
                  <w:vAlign w:val="center"/>
                </w:tcPr>
                <w:p w14:paraId="5FF4F26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PA</w:t>
                  </w:r>
                </w:p>
              </w:tc>
              <w:tc>
                <w:tcPr>
                  <w:tcW w:w="537" w:type="pct"/>
                  <w:tcBorders>
                    <w:tl2br w:val="nil"/>
                    <w:tr2bl w:val="nil"/>
                  </w:tcBorders>
                  <w:noWrap w:val="0"/>
                  <w:vAlign w:val="center"/>
                </w:tcPr>
                <w:p w14:paraId="390C213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280*155</w:t>
                  </w:r>
                </w:p>
              </w:tc>
              <w:tc>
                <w:tcPr>
                  <w:tcW w:w="587" w:type="pct"/>
                  <w:tcBorders>
                    <w:tl2br w:val="nil"/>
                    <w:tr2bl w:val="nil"/>
                  </w:tcBorders>
                  <w:noWrap w:val="0"/>
                  <w:vAlign w:val="center"/>
                </w:tcPr>
                <w:p w14:paraId="36678904">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w:t>
                  </w:r>
                </w:p>
              </w:tc>
              <w:tc>
                <w:tcPr>
                  <w:tcW w:w="649" w:type="pct"/>
                  <w:tcBorders>
                    <w:tl2br w:val="nil"/>
                    <w:tr2bl w:val="nil"/>
                  </w:tcBorders>
                  <w:noWrap w:val="0"/>
                  <w:vAlign w:val="center"/>
                </w:tcPr>
                <w:p w14:paraId="1B6F8BF6">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671" w:type="pct"/>
                  <w:tcBorders>
                    <w:tl2br w:val="nil"/>
                    <w:tr2bl w:val="nil"/>
                  </w:tcBorders>
                  <w:noWrap w:val="0"/>
                  <w:vAlign w:val="center"/>
                </w:tcPr>
                <w:p w14:paraId="2CF8F9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1623" w:type="pct"/>
                  <w:tcBorders>
                    <w:tl2br w:val="nil"/>
                    <w:tr2bl w:val="nil"/>
                  </w:tcBorders>
                  <w:noWrap w:val="0"/>
                  <w:vAlign w:val="center"/>
                </w:tcPr>
                <w:p w14:paraId="28EAB55C">
                  <w:pPr>
                    <w:adjustRightInd w:val="0"/>
                    <w:snapToGrid w:val="0"/>
                    <w:jc w:val="center"/>
                    <w:outlineLvl w:val="1"/>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drawing>
                      <wp:inline distT="0" distB="0" distL="114300" distR="114300">
                        <wp:extent cx="1278255" cy="698500"/>
                        <wp:effectExtent l="0" t="0" r="171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278255" cy="698500"/>
                                </a:xfrm>
                                <a:prstGeom prst="rect">
                                  <a:avLst/>
                                </a:prstGeom>
                                <a:noFill/>
                                <a:ln>
                                  <a:noFill/>
                                </a:ln>
                              </pic:spPr>
                            </pic:pic>
                          </a:graphicData>
                        </a:graphic>
                      </wp:inline>
                    </w:drawing>
                  </w:r>
                </w:p>
              </w:tc>
            </w:tr>
            <w:tr w14:paraId="07093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056" w:type="pct"/>
                  <w:gridSpan w:val="4"/>
                  <w:tcBorders>
                    <w:tl2br w:val="nil"/>
                    <w:tr2bl w:val="nil"/>
                  </w:tcBorders>
                  <w:noWrap w:val="0"/>
                  <w:vAlign w:val="center"/>
                </w:tcPr>
                <w:p w14:paraId="43451FC7">
                  <w:pPr>
                    <w:keepNext w:val="0"/>
                    <w:keepLines w:val="0"/>
                    <w:widowControl/>
                    <w:suppressLineNumbers w:val="0"/>
                    <w:jc w:val="center"/>
                    <w:textAlignment w:val="center"/>
                    <w:rPr>
                      <w:rFonts w:hint="default" w:ascii="Times New Roman" w:hAnsi="Times New Roman" w:eastAsia="宋体" w:cs="Times New Roman"/>
                      <w:b/>
                      <w:bCs w:val="0"/>
                      <w:i w:val="0"/>
                      <w:iCs w:val="0"/>
                      <w:color w:val="auto"/>
                      <w:kern w:val="0"/>
                      <w:sz w:val="18"/>
                      <w:szCs w:val="18"/>
                      <w:u w:val="none"/>
                      <w:lang w:val="en-US" w:eastAsia="zh-CN" w:bidi="ar"/>
                    </w:rPr>
                  </w:pPr>
                  <w:r>
                    <w:rPr>
                      <w:rFonts w:hint="default" w:ascii="Times New Roman" w:hAnsi="Times New Roman" w:eastAsia="宋体" w:cs="Times New Roman"/>
                      <w:b/>
                      <w:bCs w:val="0"/>
                      <w:color w:val="auto"/>
                      <w:sz w:val="18"/>
                      <w:szCs w:val="18"/>
                      <w:lang w:eastAsia="zh-CN"/>
                    </w:rPr>
                    <w:t>合计</w:t>
                  </w:r>
                </w:p>
              </w:tc>
              <w:tc>
                <w:tcPr>
                  <w:tcW w:w="649" w:type="pct"/>
                  <w:tcBorders>
                    <w:tl2br w:val="nil"/>
                    <w:tr2bl w:val="nil"/>
                  </w:tcBorders>
                  <w:noWrap w:val="0"/>
                  <w:vAlign w:val="center"/>
                </w:tcPr>
                <w:p w14:paraId="1C2305F6">
                  <w:pPr>
                    <w:keepNext w:val="0"/>
                    <w:keepLines w:val="0"/>
                    <w:widowControl/>
                    <w:suppressLineNumbers w:val="0"/>
                    <w:jc w:val="center"/>
                    <w:textAlignment w:val="center"/>
                    <w:rPr>
                      <w:rFonts w:hint="default" w:ascii="Times New Roman" w:hAnsi="Times New Roman" w:eastAsia="宋体" w:cs="Times New Roman"/>
                      <w:b/>
                      <w:bCs w:val="0"/>
                      <w:i w:val="0"/>
                      <w:iCs w:val="0"/>
                      <w:color w:val="auto"/>
                      <w:kern w:val="0"/>
                      <w:sz w:val="18"/>
                      <w:szCs w:val="18"/>
                      <w:u w:val="none"/>
                      <w:lang w:val="en-US" w:eastAsia="zh-CN" w:bidi="ar"/>
                    </w:rPr>
                  </w:pPr>
                  <w:r>
                    <w:rPr>
                      <w:rFonts w:hint="default" w:ascii="Times New Roman" w:hAnsi="Times New Roman" w:eastAsia="宋体" w:cs="Times New Roman"/>
                      <w:b/>
                      <w:bCs w:val="0"/>
                      <w:i w:val="0"/>
                      <w:iCs w:val="0"/>
                      <w:color w:val="auto"/>
                      <w:kern w:val="0"/>
                      <w:sz w:val="18"/>
                      <w:szCs w:val="18"/>
                      <w:u w:val="none"/>
                      <w:lang w:val="en-US" w:eastAsia="zh-CN" w:bidi="ar"/>
                    </w:rPr>
                    <w:t>200</w:t>
                  </w:r>
                </w:p>
              </w:tc>
              <w:tc>
                <w:tcPr>
                  <w:tcW w:w="671" w:type="pct"/>
                  <w:tcBorders>
                    <w:tl2br w:val="nil"/>
                    <w:tr2bl w:val="nil"/>
                  </w:tcBorders>
                  <w:noWrap w:val="0"/>
                  <w:vAlign w:val="center"/>
                </w:tcPr>
                <w:p w14:paraId="4ED84688">
                  <w:pPr>
                    <w:adjustRightInd w:val="0"/>
                    <w:snapToGrid w:val="0"/>
                    <w:jc w:val="center"/>
                    <w:outlineLvl w:val="1"/>
                    <w:rPr>
                      <w:rFonts w:hint="default" w:ascii="Times New Roman" w:hAnsi="Times New Roman" w:eastAsia="宋体" w:cs="Times New Roman"/>
                      <w:b/>
                      <w:bCs w:val="0"/>
                      <w:color w:val="auto"/>
                      <w:sz w:val="18"/>
                      <w:szCs w:val="18"/>
                      <w:lang w:val="en-US" w:eastAsia="zh-CN"/>
                    </w:rPr>
                  </w:pPr>
                  <w:r>
                    <w:rPr>
                      <w:rFonts w:hint="eastAsia" w:cs="Times New Roman"/>
                      <w:b/>
                      <w:bCs w:val="0"/>
                      <w:color w:val="auto"/>
                      <w:sz w:val="18"/>
                      <w:szCs w:val="18"/>
                      <w:lang w:val="en-US" w:eastAsia="zh-CN"/>
                    </w:rPr>
                    <w:t>1000</w:t>
                  </w:r>
                </w:p>
              </w:tc>
              <w:tc>
                <w:tcPr>
                  <w:tcW w:w="1623" w:type="pct"/>
                  <w:tcBorders>
                    <w:tl2br w:val="nil"/>
                    <w:tr2bl w:val="nil"/>
                  </w:tcBorders>
                  <w:noWrap w:val="0"/>
                  <w:vAlign w:val="center"/>
                </w:tcPr>
                <w:p w14:paraId="400EACAB">
                  <w:pPr>
                    <w:adjustRightInd w:val="0"/>
                    <w:snapToGrid w:val="0"/>
                    <w:jc w:val="both"/>
                    <w:outlineLvl w:val="1"/>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w:t>
                  </w:r>
                </w:p>
              </w:tc>
            </w:tr>
          </w:tbl>
          <w:p w14:paraId="4DCD3A68">
            <w:pPr>
              <w:adjustRightInd w:val="0"/>
              <w:snapToGrid w:val="0"/>
              <w:ind w:firstLine="422" w:firstLineChars="200"/>
              <w:jc w:val="center"/>
              <w:outlineLvl w:val="1"/>
              <w:rPr>
                <w:rFonts w:hint="default" w:ascii="Times New Roman" w:hAnsi="Times New Roman" w:cs="Times New Roman"/>
                <w:b/>
                <w:color w:val="auto"/>
                <w:szCs w:val="21"/>
              </w:rPr>
            </w:pPr>
          </w:p>
          <w:p w14:paraId="4A9FD786">
            <w:pPr>
              <w:spacing w:line="360" w:lineRule="auto"/>
              <w:outlineLvl w:val="1"/>
              <w:rPr>
                <w:rFonts w:hint="default" w:ascii="Times New Roman" w:hAnsi="Times New Roman" w:cs="Times New Roman"/>
                <w:b/>
                <w:color w:val="auto"/>
                <w:kern w:val="0"/>
                <w:szCs w:val="21"/>
              </w:rPr>
            </w:pPr>
            <w:r>
              <w:rPr>
                <w:rFonts w:hint="default" w:ascii="Times New Roman" w:hAnsi="Times New Roman" w:cs="Times New Roman"/>
                <w:b/>
                <w:color w:val="auto"/>
                <w:szCs w:val="21"/>
              </w:rPr>
              <w:t>2.2.2工程内容</w:t>
            </w:r>
          </w:p>
          <w:p w14:paraId="0AC63979">
            <w:pPr>
              <w:spacing w:line="360" w:lineRule="auto"/>
              <w:ind w:firstLine="420" w:firstLineChars="200"/>
              <w:outlineLvl w:val="1"/>
              <w:rPr>
                <w:rFonts w:hint="default" w:ascii="Times New Roman" w:hAnsi="Times New Roman" w:cs="Times New Roman"/>
                <w:color w:val="auto"/>
                <w:szCs w:val="21"/>
              </w:rPr>
            </w:pPr>
            <w:r>
              <w:rPr>
                <w:rFonts w:hint="default" w:ascii="Times New Roman" w:hAnsi="Times New Roman" w:cs="Times New Roman"/>
                <w:color w:val="auto"/>
                <w:szCs w:val="21"/>
              </w:rPr>
              <w:t>项目主要组成见下表。</w:t>
            </w:r>
          </w:p>
          <w:p w14:paraId="35A08489">
            <w:pPr>
              <w:adjustRightInd w:val="0"/>
              <w:snapToGrid w:val="0"/>
              <w:ind w:firstLine="422" w:firstLineChars="200"/>
              <w:jc w:val="center"/>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表2-2  项目组成一览表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5"/>
              <w:gridCol w:w="1277"/>
              <w:gridCol w:w="5095"/>
              <w:gridCol w:w="1154"/>
            </w:tblGrid>
            <w:tr w14:paraId="1B5B20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6" w:hRule="atLeast"/>
                <w:jc w:val="center"/>
              </w:trPr>
              <w:tc>
                <w:tcPr>
                  <w:tcW w:w="395" w:type="pct"/>
                  <w:noWrap w:val="0"/>
                  <w:vAlign w:val="center"/>
                </w:tcPr>
                <w:p w14:paraId="4A6DA3FA">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781" w:type="pct"/>
                  <w:noWrap w:val="0"/>
                  <w:vAlign w:val="center"/>
                </w:tcPr>
                <w:p w14:paraId="3D516C19">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项目分类</w:t>
                  </w:r>
                </w:p>
              </w:tc>
              <w:tc>
                <w:tcPr>
                  <w:tcW w:w="3117" w:type="pct"/>
                  <w:noWrap w:val="0"/>
                  <w:vAlign w:val="center"/>
                </w:tcPr>
                <w:p w14:paraId="5DA15F62">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工程内容</w:t>
                  </w:r>
                </w:p>
              </w:tc>
              <w:tc>
                <w:tcPr>
                  <w:tcW w:w="704" w:type="pct"/>
                  <w:noWrap w:val="0"/>
                  <w:vAlign w:val="center"/>
                </w:tcPr>
                <w:p w14:paraId="31A4C903">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备注</w:t>
                  </w:r>
                </w:p>
              </w:tc>
            </w:tr>
            <w:tr w14:paraId="1C543A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395" w:type="pct"/>
                  <w:noWrap w:val="0"/>
                  <w:vAlign w:val="center"/>
                </w:tcPr>
                <w:p w14:paraId="788131B9">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1</w:t>
                  </w:r>
                </w:p>
              </w:tc>
              <w:tc>
                <w:tcPr>
                  <w:tcW w:w="4604" w:type="pct"/>
                  <w:gridSpan w:val="3"/>
                  <w:noWrap w:val="0"/>
                  <w:vAlign w:val="center"/>
                </w:tcPr>
                <w:p w14:paraId="583C0DBD">
                  <w:pPr>
                    <w:spacing w:line="300" w:lineRule="exact"/>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主体工程</w:t>
                  </w:r>
                </w:p>
              </w:tc>
            </w:tr>
            <w:tr w14:paraId="58D9A2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4D2D8379">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781" w:type="pct"/>
                  <w:noWrap w:val="0"/>
                  <w:vAlign w:val="center"/>
                </w:tcPr>
                <w:p w14:paraId="579EFA0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3117" w:type="pct"/>
                  <w:noWrap w:val="0"/>
                  <w:vAlign w:val="center"/>
                </w:tcPr>
                <w:p w14:paraId="25F1566D">
                  <w:pPr>
                    <w:spacing w:line="240" w:lineRule="auto"/>
                    <w:outlineLvl w:val="1"/>
                    <w:rPr>
                      <w:rFonts w:hint="default" w:ascii="Times New Roman" w:hAnsi="Times New Roman" w:cs="Times New Roman"/>
                      <w:b/>
                      <w:color w:val="auto"/>
                      <w:sz w:val="18"/>
                      <w:szCs w:val="18"/>
                    </w:rPr>
                  </w:pPr>
                  <w:r>
                    <w:rPr>
                      <w:rFonts w:hint="default" w:ascii="Times New Roman" w:hAnsi="Times New Roman" w:cs="Times New Roman"/>
                      <w:color w:val="auto"/>
                      <w:sz w:val="18"/>
                      <w:szCs w:val="18"/>
                      <w:lang w:val="en-US" w:eastAsia="zh-CN"/>
                    </w:rPr>
                    <w:t>项目</w:t>
                  </w:r>
                  <w:r>
                    <w:rPr>
                      <w:rFonts w:hint="eastAsia" w:ascii="Times New Roman" w:hAnsi="Times New Roman" w:cs="Times New Roman"/>
                      <w:color w:val="auto"/>
                      <w:sz w:val="18"/>
                      <w:szCs w:val="18"/>
                      <w:lang w:val="en-US" w:eastAsia="zh-CN"/>
                    </w:rPr>
                    <w:t>租赁重庆三花门业有限公司位于</w:t>
                  </w:r>
                  <w:r>
                    <w:rPr>
                      <w:rFonts w:hint="eastAsia" w:cs="Times New Roman"/>
                      <w:color w:val="auto"/>
                      <w:sz w:val="18"/>
                      <w:szCs w:val="18"/>
                      <w:lang w:val="en-US" w:eastAsia="zh-CN"/>
                    </w:rPr>
                    <w:t>重庆市合川区南津街街道龙阳路10号1楼B区、C区厂房（南溪组团A区）</w:t>
                  </w:r>
                  <w:r>
                    <w:rPr>
                      <w:rFonts w:hint="default" w:ascii="Times New Roman" w:hAnsi="Times New Roman" w:cs="Times New Roman"/>
                      <w:color w:val="auto"/>
                      <w:sz w:val="18"/>
                      <w:szCs w:val="18"/>
                      <w:lang w:val="en-US" w:eastAsia="zh-CN"/>
                    </w:rPr>
                    <w:t>，厂房建筑面积</w:t>
                  </w:r>
                  <w:r>
                    <w:rPr>
                      <w:rFonts w:hint="eastAsia" w:ascii="Times New Roman" w:hAnsi="Times New Roman" w:cs="Times New Roman"/>
                      <w:color w:val="auto"/>
                      <w:sz w:val="18"/>
                      <w:szCs w:val="18"/>
                      <w:lang w:val="en-US" w:eastAsia="zh-CN"/>
                    </w:rPr>
                    <w:t>2500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vertAlign w:val="baseline"/>
                      <w:lang w:eastAsia="zh-CN"/>
                    </w:rPr>
                    <w:t>，</w:t>
                  </w:r>
                  <w:r>
                    <w:rPr>
                      <w:rFonts w:hint="default" w:ascii="Times New Roman" w:hAnsi="Times New Roman" w:cs="Times New Roman"/>
                      <w:color w:val="auto"/>
                      <w:sz w:val="18"/>
                      <w:szCs w:val="18"/>
                      <w:vertAlign w:val="baseline"/>
                      <w:lang w:val="en-US" w:eastAsia="zh-CN"/>
                    </w:rPr>
                    <w:t>H=</w:t>
                  </w:r>
                  <w:r>
                    <w:rPr>
                      <w:rFonts w:hint="eastAsia" w:ascii="Times New Roman" w:hAnsi="Times New Roman" w:cs="Times New Roman"/>
                      <w:color w:val="auto"/>
                      <w:sz w:val="18"/>
                      <w:szCs w:val="18"/>
                      <w:vertAlign w:val="baseline"/>
                      <w:lang w:val="en-US" w:eastAsia="zh-CN"/>
                    </w:rPr>
                    <w:t>21</w:t>
                  </w:r>
                  <w:r>
                    <w:rPr>
                      <w:rFonts w:hint="default" w:ascii="Times New Roman" w:hAnsi="Times New Roman" w:cs="Times New Roman"/>
                      <w:color w:val="auto"/>
                      <w:sz w:val="18"/>
                      <w:szCs w:val="18"/>
                      <w:vertAlign w:val="baseline"/>
                      <w:lang w:val="en-US" w:eastAsia="zh-CN"/>
                    </w:rPr>
                    <w:t>m，主要设置19台注塑机、1台破碎机等设备，塑料颗粒经过</w:t>
                  </w:r>
                  <w:r>
                    <w:rPr>
                      <w:rFonts w:hint="eastAsia" w:ascii="Times New Roman" w:hAnsi="Times New Roman" w:cs="Times New Roman"/>
                      <w:color w:val="auto"/>
                      <w:sz w:val="18"/>
                      <w:szCs w:val="18"/>
                      <w:vertAlign w:val="baseline"/>
                      <w:lang w:val="en-US" w:eastAsia="zh-CN"/>
                    </w:rPr>
                    <w:t>注塑成型、修边、检验</w:t>
                  </w:r>
                  <w:r>
                    <w:rPr>
                      <w:rFonts w:hint="default" w:ascii="Times New Roman" w:hAnsi="Times New Roman" w:cs="Times New Roman"/>
                      <w:color w:val="auto"/>
                      <w:sz w:val="18"/>
                      <w:szCs w:val="18"/>
                      <w:vertAlign w:val="baseline"/>
                      <w:lang w:val="en-US" w:eastAsia="zh-CN"/>
                    </w:rPr>
                    <w:t>等工序得到最终的产品，项目建成后年产塑料汽车零部件共计</w:t>
                  </w:r>
                  <w:r>
                    <w:rPr>
                      <w:rFonts w:hint="eastAsia" w:ascii="Times New Roman" w:hAnsi="Times New Roman" w:cs="Times New Roman"/>
                      <w:color w:val="auto"/>
                      <w:sz w:val="18"/>
                      <w:szCs w:val="18"/>
                      <w:vertAlign w:val="baseline"/>
                      <w:lang w:val="en-US" w:eastAsia="zh-CN"/>
                    </w:rPr>
                    <w:t>200万件</w:t>
                  </w:r>
                  <w:r>
                    <w:rPr>
                      <w:rFonts w:hint="default" w:ascii="Times New Roman" w:hAnsi="Times New Roman" w:cs="Times New Roman"/>
                      <w:color w:val="auto"/>
                      <w:sz w:val="18"/>
                      <w:szCs w:val="18"/>
                      <w:lang w:val="en-US" w:eastAsia="zh-CN"/>
                    </w:rPr>
                    <w:t>。</w:t>
                  </w:r>
                </w:p>
              </w:tc>
              <w:tc>
                <w:tcPr>
                  <w:tcW w:w="704" w:type="pct"/>
                  <w:noWrap w:val="0"/>
                  <w:vAlign w:val="center"/>
                </w:tcPr>
                <w:p w14:paraId="0E0A1EE5">
                  <w:pPr>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依托已建厂房，只进行装修和设备安装</w:t>
                  </w:r>
                </w:p>
              </w:tc>
            </w:tr>
            <w:tr w14:paraId="32BF14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395" w:type="pct"/>
                  <w:noWrap w:val="0"/>
                  <w:vAlign w:val="center"/>
                </w:tcPr>
                <w:p w14:paraId="3C116834">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w:t>
                  </w:r>
                </w:p>
              </w:tc>
              <w:tc>
                <w:tcPr>
                  <w:tcW w:w="4604" w:type="pct"/>
                  <w:gridSpan w:val="3"/>
                  <w:noWrap w:val="0"/>
                  <w:vAlign w:val="center"/>
                </w:tcPr>
                <w:p w14:paraId="4C9A505A">
                  <w:pPr>
                    <w:spacing w:line="300" w:lineRule="exact"/>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辅助工程</w:t>
                  </w:r>
                </w:p>
              </w:tc>
            </w:tr>
            <w:tr w14:paraId="3946FA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395" w:type="pct"/>
                  <w:noWrap w:val="0"/>
                  <w:vAlign w:val="center"/>
                </w:tcPr>
                <w:p w14:paraId="3524841C">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w:t>
                  </w:r>
                </w:p>
              </w:tc>
              <w:tc>
                <w:tcPr>
                  <w:tcW w:w="781" w:type="pct"/>
                  <w:noWrap w:val="0"/>
                  <w:vAlign w:val="center"/>
                </w:tcPr>
                <w:p w14:paraId="3BD80FF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办公区</w:t>
                  </w:r>
                </w:p>
              </w:tc>
              <w:tc>
                <w:tcPr>
                  <w:tcW w:w="3117" w:type="pct"/>
                  <w:noWrap w:val="0"/>
                  <w:vAlign w:val="center"/>
                </w:tcPr>
                <w:p w14:paraId="65F91197">
                  <w:pPr>
                    <w:spacing w:line="3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位于厂区</w:t>
                  </w:r>
                  <w:r>
                    <w:rPr>
                      <w:rFonts w:hint="default" w:ascii="Times New Roman" w:hAnsi="Times New Roman" w:cs="Times New Roman"/>
                      <w:bCs/>
                      <w:color w:val="auto"/>
                      <w:sz w:val="18"/>
                      <w:szCs w:val="18"/>
                      <w:lang w:val="en-US" w:eastAsia="zh-CN"/>
                    </w:rPr>
                    <w:t>北</w:t>
                  </w:r>
                  <w:r>
                    <w:rPr>
                      <w:rFonts w:hint="default" w:ascii="Times New Roman" w:hAnsi="Times New Roman" w:cs="Times New Roman"/>
                      <w:bCs/>
                      <w:color w:val="auto"/>
                      <w:sz w:val="18"/>
                      <w:szCs w:val="18"/>
                    </w:rPr>
                    <w:t>侧，主要设有办公室、会议室等，</w:t>
                  </w:r>
                  <w:r>
                    <w:rPr>
                      <w:rFonts w:hint="default" w:ascii="Times New Roman" w:hAnsi="Times New Roman" w:cs="Times New Roman"/>
                      <w:color w:val="auto"/>
                      <w:sz w:val="18"/>
                      <w:szCs w:val="18"/>
                    </w:rPr>
                    <w:t>建筑面积约</w:t>
                  </w:r>
                  <w:r>
                    <w:rPr>
                      <w:rFonts w:hint="eastAsia" w:ascii="Times New Roman" w:hAnsi="Times New Roman" w:cs="Times New Roman"/>
                      <w:color w:val="auto"/>
                      <w:sz w:val="18"/>
                      <w:szCs w:val="18"/>
                      <w:lang w:val="en-US" w:eastAsia="zh-CN"/>
                    </w:rPr>
                    <w:t>150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，满足日常办公所需。</w:t>
                  </w:r>
                </w:p>
              </w:tc>
              <w:tc>
                <w:tcPr>
                  <w:tcW w:w="704" w:type="pct"/>
                  <w:vMerge w:val="restart"/>
                  <w:noWrap w:val="0"/>
                  <w:vAlign w:val="center"/>
                </w:tcPr>
                <w:p w14:paraId="5D66CE45">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依托已建厂房，只进行装修和设备安装</w:t>
                  </w:r>
                </w:p>
              </w:tc>
            </w:tr>
            <w:tr w14:paraId="575939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395" w:type="pct"/>
                  <w:noWrap w:val="0"/>
                  <w:vAlign w:val="center"/>
                </w:tcPr>
                <w:p w14:paraId="2ADF2331">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w:t>
                  </w:r>
                </w:p>
              </w:tc>
              <w:tc>
                <w:tcPr>
                  <w:tcW w:w="781" w:type="pct"/>
                  <w:noWrap w:val="0"/>
                  <w:vAlign w:val="center"/>
                </w:tcPr>
                <w:p w14:paraId="4DE7A4BE">
                  <w:pPr>
                    <w:spacing w:line="30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模具区</w:t>
                  </w:r>
                </w:p>
              </w:tc>
              <w:tc>
                <w:tcPr>
                  <w:tcW w:w="3117" w:type="pct"/>
                  <w:noWrap w:val="0"/>
                  <w:vAlign w:val="center"/>
                </w:tcPr>
                <w:p w14:paraId="37F39E23">
                  <w:pPr>
                    <w:spacing w:line="300" w:lineRule="exact"/>
                    <w:rPr>
                      <w:rFonts w:hint="default" w:ascii="Times New Roman" w:hAnsi="Times New Roman" w:eastAsia="宋体" w:cs="Times New Roman"/>
                      <w:bCs/>
                      <w:color w:val="auto"/>
                      <w:sz w:val="18"/>
                      <w:szCs w:val="18"/>
                      <w:vertAlign w:val="baseline"/>
                      <w:lang w:val="en-US" w:eastAsia="zh-CN"/>
                    </w:rPr>
                  </w:pPr>
                  <w:r>
                    <w:rPr>
                      <w:rFonts w:hint="eastAsia" w:ascii="Times New Roman" w:hAnsi="Times New Roman" w:cs="Times New Roman"/>
                      <w:bCs/>
                      <w:color w:val="auto"/>
                      <w:sz w:val="18"/>
                      <w:szCs w:val="18"/>
                      <w:lang w:eastAsia="zh-CN"/>
                    </w:rPr>
                    <w:t>位于北侧中部，面积约</w:t>
                  </w:r>
                  <w:r>
                    <w:rPr>
                      <w:rFonts w:hint="eastAsia" w:ascii="Times New Roman" w:hAnsi="Times New Roman" w:cs="Times New Roman"/>
                      <w:bCs/>
                      <w:color w:val="auto"/>
                      <w:sz w:val="18"/>
                      <w:szCs w:val="18"/>
                      <w:lang w:val="en-US" w:eastAsia="zh-CN"/>
                    </w:rPr>
                    <w:t>50m</w:t>
                  </w:r>
                  <w:r>
                    <w:rPr>
                      <w:rFonts w:hint="eastAsia" w:ascii="Times New Roman" w:hAnsi="Times New Roman" w:cs="Times New Roman"/>
                      <w:bCs/>
                      <w:color w:val="auto"/>
                      <w:sz w:val="18"/>
                      <w:szCs w:val="18"/>
                      <w:vertAlign w:val="superscript"/>
                      <w:lang w:val="en-US" w:eastAsia="zh-CN"/>
                    </w:rPr>
                    <w:t>2</w:t>
                  </w:r>
                  <w:r>
                    <w:rPr>
                      <w:rFonts w:hint="eastAsia" w:ascii="Times New Roman" w:hAnsi="Times New Roman" w:cs="Times New Roman"/>
                      <w:bCs/>
                      <w:color w:val="auto"/>
                      <w:sz w:val="18"/>
                      <w:szCs w:val="18"/>
                      <w:vertAlign w:val="baseline"/>
                      <w:lang w:val="en-US" w:eastAsia="zh-CN"/>
                    </w:rPr>
                    <w:t>，主要用于模具的暂存</w:t>
                  </w:r>
                </w:p>
              </w:tc>
              <w:tc>
                <w:tcPr>
                  <w:tcW w:w="704" w:type="pct"/>
                  <w:vMerge w:val="continue"/>
                  <w:noWrap w:val="0"/>
                  <w:vAlign w:val="center"/>
                </w:tcPr>
                <w:p w14:paraId="2E1B6EA2">
                  <w:pPr>
                    <w:adjustRightInd w:val="0"/>
                    <w:snapToGrid w:val="0"/>
                    <w:rPr>
                      <w:rFonts w:hint="default" w:ascii="Times New Roman" w:hAnsi="Times New Roman" w:cs="Times New Roman"/>
                      <w:color w:val="auto"/>
                      <w:sz w:val="18"/>
                      <w:szCs w:val="18"/>
                    </w:rPr>
                  </w:pPr>
                </w:p>
              </w:tc>
            </w:tr>
            <w:tr w14:paraId="3A9029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395" w:type="pct"/>
                  <w:noWrap w:val="0"/>
                  <w:vAlign w:val="center"/>
                </w:tcPr>
                <w:p w14:paraId="2BC7CBB6">
                  <w:pPr>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3</w:t>
                  </w:r>
                </w:p>
              </w:tc>
              <w:tc>
                <w:tcPr>
                  <w:tcW w:w="4604" w:type="pct"/>
                  <w:gridSpan w:val="3"/>
                  <w:noWrap w:val="0"/>
                  <w:vAlign w:val="center"/>
                </w:tcPr>
                <w:p w14:paraId="34AD10F7">
                  <w:pPr>
                    <w:spacing w:line="300" w:lineRule="exact"/>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储运工程</w:t>
                  </w:r>
                </w:p>
              </w:tc>
            </w:tr>
            <w:tr w14:paraId="630573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0" w:hRule="atLeast"/>
                <w:jc w:val="center"/>
              </w:trPr>
              <w:tc>
                <w:tcPr>
                  <w:tcW w:w="395" w:type="pct"/>
                  <w:noWrap w:val="0"/>
                  <w:vAlign w:val="center"/>
                </w:tcPr>
                <w:p w14:paraId="21655F5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w:t>
                  </w:r>
                </w:p>
              </w:tc>
              <w:tc>
                <w:tcPr>
                  <w:tcW w:w="781" w:type="pct"/>
                  <w:noWrap w:val="0"/>
                  <w:vAlign w:val="center"/>
                </w:tcPr>
                <w:p w14:paraId="6850CBF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原材料库房</w:t>
                  </w:r>
                </w:p>
              </w:tc>
              <w:tc>
                <w:tcPr>
                  <w:tcW w:w="3117" w:type="pct"/>
                  <w:noWrap w:val="0"/>
                  <w:vAlign w:val="center"/>
                </w:tcPr>
                <w:p w14:paraId="5F5DE1ED">
                  <w:pPr>
                    <w:spacing w:line="3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位于厂房</w:t>
                  </w:r>
                  <w:r>
                    <w:rPr>
                      <w:rFonts w:hint="eastAsia" w:ascii="Times New Roman" w:hAnsi="Times New Roman" w:cs="Times New Roman"/>
                      <w:bCs/>
                      <w:color w:val="auto"/>
                      <w:sz w:val="18"/>
                      <w:szCs w:val="18"/>
                      <w:lang w:val="en-US" w:eastAsia="zh-CN"/>
                    </w:rPr>
                    <w:t>东北侧</w:t>
                  </w:r>
                  <w:r>
                    <w:rPr>
                      <w:rFonts w:hint="default" w:ascii="Times New Roman" w:hAnsi="Times New Roman" w:cs="Times New Roman"/>
                      <w:color w:val="auto"/>
                      <w:sz w:val="18"/>
                      <w:szCs w:val="18"/>
                    </w:rPr>
                    <w:t>，面积约为</w:t>
                  </w:r>
                  <w:r>
                    <w:rPr>
                      <w:rFonts w:hint="eastAsia" w:ascii="Times New Roman" w:hAnsi="Times New Roman" w:cs="Times New Roman"/>
                      <w:color w:val="auto"/>
                      <w:sz w:val="18"/>
                      <w:szCs w:val="18"/>
                      <w:lang w:val="en-US" w:eastAsia="zh-CN"/>
                    </w:rPr>
                    <w:t>150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，主要用于原材料</w:t>
                  </w:r>
                  <w:r>
                    <w:rPr>
                      <w:rFonts w:hint="default" w:ascii="Times New Roman" w:hAnsi="Times New Roman" w:cs="Times New Roman"/>
                      <w:color w:val="auto"/>
                      <w:sz w:val="18"/>
                      <w:szCs w:val="18"/>
                      <w:lang w:val="en-US" w:eastAsia="zh-CN"/>
                    </w:rPr>
                    <w:t>ABS</w:t>
                  </w:r>
                  <w:r>
                    <w:rPr>
                      <w:rFonts w:hint="eastAsia" w:ascii="Times New Roman" w:hAnsi="Times New Roman" w:cs="Times New Roman"/>
                      <w:color w:val="auto"/>
                      <w:sz w:val="18"/>
                      <w:szCs w:val="18"/>
                      <w:lang w:val="en-US" w:eastAsia="zh-CN"/>
                    </w:rPr>
                    <w:t>、PP、PA</w:t>
                  </w:r>
                  <w:r>
                    <w:rPr>
                      <w:rFonts w:hint="default" w:ascii="Times New Roman" w:hAnsi="Times New Roman" w:cs="Times New Roman"/>
                      <w:color w:val="auto"/>
                      <w:kern w:val="0"/>
                      <w:sz w:val="18"/>
                      <w:szCs w:val="18"/>
                      <w:lang w:val="en-US" w:eastAsia="zh-CN" w:bidi="ar"/>
                    </w:rPr>
                    <w:t>等原材料</w:t>
                  </w:r>
                  <w:r>
                    <w:rPr>
                      <w:rFonts w:hint="default" w:ascii="Times New Roman" w:hAnsi="Times New Roman" w:cs="Times New Roman"/>
                      <w:color w:val="auto"/>
                      <w:sz w:val="18"/>
                      <w:szCs w:val="18"/>
                    </w:rPr>
                    <w:t>的堆存。</w:t>
                  </w:r>
                </w:p>
              </w:tc>
              <w:tc>
                <w:tcPr>
                  <w:tcW w:w="704" w:type="pct"/>
                  <w:vMerge w:val="restart"/>
                  <w:noWrap w:val="0"/>
                  <w:vAlign w:val="center"/>
                </w:tcPr>
                <w:p w14:paraId="3AFDA5BC">
                  <w:pPr>
                    <w:spacing w:line="300" w:lineRule="exac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依托已建厂房，只进行装修和设备安装</w:t>
                  </w:r>
                </w:p>
              </w:tc>
            </w:tr>
            <w:tr w14:paraId="4FA51E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6F5A9136">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w:t>
                  </w:r>
                </w:p>
              </w:tc>
              <w:tc>
                <w:tcPr>
                  <w:tcW w:w="781" w:type="pct"/>
                  <w:noWrap w:val="0"/>
                  <w:vAlign w:val="center"/>
                </w:tcPr>
                <w:p w14:paraId="2F65BC5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成品库房</w:t>
                  </w:r>
                </w:p>
              </w:tc>
              <w:tc>
                <w:tcPr>
                  <w:tcW w:w="3117" w:type="pct"/>
                  <w:noWrap w:val="0"/>
                  <w:vAlign w:val="center"/>
                </w:tcPr>
                <w:p w14:paraId="6BAA5E8C">
                  <w:pPr>
                    <w:spacing w:line="30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位于厂房</w:t>
                  </w:r>
                  <w:r>
                    <w:rPr>
                      <w:rFonts w:hint="eastAsia" w:ascii="Times New Roman" w:hAnsi="Times New Roman" w:cs="Times New Roman"/>
                      <w:bCs/>
                      <w:color w:val="auto"/>
                      <w:sz w:val="18"/>
                      <w:szCs w:val="18"/>
                      <w:lang w:val="en-US" w:eastAsia="zh-CN"/>
                    </w:rPr>
                    <w:t>东北侧</w:t>
                  </w:r>
                  <w:r>
                    <w:rPr>
                      <w:rFonts w:hint="default" w:ascii="Times New Roman" w:hAnsi="Times New Roman" w:cs="Times New Roman"/>
                      <w:color w:val="auto"/>
                      <w:sz w:val="18"/>
                      <w:szCs w:val="18"/>
                    </w:rPr>
                    <w:t>，建筑面积约为</w:t>
                  </w: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，主要用于成品的储存。</w:t>
                  </w:r>
                </w:p>
              </w:tc>
              <w:tc>
                <w:tcPr>
                  <w:tcW w:w="704" w:type="pct"/>
                  <w:vMerge w:val="continue"/>
                  <w:noWrap w:val="0"/>
                  <w:vAlign w:val="center"/>
                </w:tcPr>
                <w:p w14:paraId="287ACC60">
                  <w:pPr>
                    <w:spacing w:line="300" w:lineRule="exact"/>
                    <w:rPr>
                      <w:rFonts w:hint="default" w:ascii="Times New Roman" w:hAnsi="Times New Roman" w:cs="Times New Roman"/>
                      <w:color w:val="auto"/>
                      <w:sz w:val="18"/>
                      <w:szCs w:val="18"/>
                    </w:rPr>
                  </w:pPr>
                </w:p>
              </w:tc>
            </w:tr>
            <w:tr w14:paraId="027756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0A3E9985">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w:t>
                  </w:r>
                </w:p>
              </w:tc>
              <w:tc>
                <w:tcPr>
                  <w:tcW w:w="781" w:type="pct"/>
                  <w:noWrap w:val="0"/>
                  <w:vAlign w:val="center"/>
                </w:tcPr>
                <w:p w14:paraId="4E8AEDA7">
                  <w:pPr>
                    <w:spacing w:line="300" w:lineRule="exact"/>
                    <w:jc w:val="center"/>
                    <w:rPr>
                      <w:rFonts w:hint="default"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液体物料暂存区</w:t>
                  </w:r>
                </w:p>
              </w:tc>
              <w:tc>
                <w:tcPr>
                  <w:tcW w:w="3117" w:type="pct"/>
                  <w:noWrap w:val="0"/>
                  <w:vAlign w:val="center"/>
                </w:tcPr>
                <w:p w14:paraId="35F4D742">
                  <w:pPr>
                    <w:spacing w:line="300" w:lineRule="exact"/>
                    <w:jc w:val="lef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位于</w:t>
                  </w:r>
                  <w:r>
                    <w:rPr>
                      <w:rFonts w:hint="default" w:ascii="Times New Roman" w:hAnsi="Times New Roman" w:cs="Times New Roman"/>
                      <w:color w:val="auto"/>
                      <w:sz w:val="18"/>
                      <w:szCs w:val="18"/>
                    </w:rPr>
                    <w:t>原材料库房</w:t>
                  </w:r>
                  <w:r>
                    <w:rPr>
                      <w:rFonts w:hint="eastAsia" w:ascii="Times New Roman" w:hAnsi="Times New Roman" w:cs="Times New Roman"/>
                      <w:color w:val="auto"/>
                      <w:sz w:val="18"/>
                      <w:szCs w:val="18"/>
                      <w:lang w:eastAsia="zh-CN"/>
                    </w:rPr>
                    <w:t>内</w:t>
                  </w:r>
                  <w:r>
                    <w:rPr>
                      <w:rFonts w:hint="default" w:ascii="Times New Roman" w:hAnsi="Times New Roman" w:cs="Times New Roman"/>
                      <w:color w:val="auto"/>
                      <w:sz w:val="18"/>
                      <w:szCs w:val="18"/>
                    </w:rPr>
                    <w:t>，面积约为</w:t>
                  </w:r>
                  <w:r>
                    <w:rPr>
                      <w:rFonts w:hint="default" w:ascii="Times New Roman" w:hAnsi="Times New Roman" w:cs="Times New Roman"/>
                      <w:color w:val="auto"/>
                      <w:sz w:val="18"/>
                      <w:szCs w:val="18"/>
                      <w:lang w:val="en-US" w:eastAsia="zh-CN"/>
                    </w:rPr>
                    <w:t>10m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，主要用于润滑油、液压油等</w:t>
                  </w:r>
                  <w:r>
                    <w:rPr>
                      <w:rFonts w:hint="default" w:ascii="Times New Roman" w:hAnsi="Times New Roman" w:cs="Times New Roman"/>
                      <w:color w:val="auto"/>
                      <w:sz w:val="18"/>
                      <w:szCs w:val="18"/>
                      <w:lang w:val="en-US" w:eastAsia="zh-CN"/>
                    </w:rPr>
                    <w:t>液体物料</w:t>
                  </w:r>
                  <w:r>
                    <w:rPr>
                      <w:rFonts w:hint="default" w:ascii="Times New Roman" w:hAnsi="Times New Roman" w:cs="Times New Roman"/>
                      <w:color w:val="auto"/>
                      <w:sz w:val="18"/>
                      <w:szCs w:val="18"/>
                    </w:rPr>
                    <w:t>的储存，</w:t>
                  </w:r>
                  <w:r>
                    <w:rPr>
                      <w:rFonts w:hint="default" w:ascii="Times New Roman" w:hAnsi="Times New Roman" w:cs="Times New Roman"/>
                      <w:color w:val="auto"/>
                      <w:sz w:val="18"/>
                      <w:szCs w:val="18"/>
                      <w:lang w:val="en-US" w:eastAsia="zh-CN"/>
                    </w:rPr>
                    <w:t>设置</w:t>
                  </w:r>
                  <w:r>
                    <w:rPr>
                      <w:rFonts w:hint="default" w:ascii="Times New Roman" w:hAnsi="Times New Roman" w:cs="Times New Roman"/>
                      <w:color w:val="auto"/>
                      <w:sz w:val="18"/>
                      <w:szCs w:val="18"/>
                      <w:lang w:eastAsia="zh-CN"/>
                    </w:rPr>
                    <w:t>托盘或围堰，以防止油料泄漏。</w:t>
                  </w:r>
                </w:p>
              </w:tc>
              <w:tc>
                <w:tcPr>
                  <w:tcW w:w="704" w:type="pct"/>
                  <w:vMerge w:val="continue"/>
                  <w:noWrap w:val="0"/>
                  <w:vAlign w:val="center"/>
                </w:tcPr>
                <w:p w14:paraId="6B7F5F4E">
                  <w:pPr>
                    <w:spacing w:line="300" w:lineRule="exact"/>
                    <w:jc w:val="center"/>
                    <w:rPr>
                      <w:rFonts w:hint="default" w:ascii="Times New Roman" w:hAnsi="Times New Roman" w:cs="Times New Roman"/>
                      <w:bCs/>
                      <w:color w:val="auto"/>
                      <w:sz w:val="18"/>
                      <w:szCs w:val="18"/>
                    </w:rPr>
                  </w:pPr>
                </w:p>
              </w:tc>
            </w:tr>
            <w:tr w14:paraId="71C91D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202A5212">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4</w:t>
                  </w:r>
                </w:p>
              </w:tc>
              <w:tc>
                <w:tcPr>
                  <w:tcW w:w="4604" w:type="pct"/>
                  <w:gridSpan w:val="3"/>
                  <w:noWrap w:val="0"/>
                  <w:vAlign w:val="center"/>
                </w:tcPr>
                <w:p w14:paraId="6ABF1253">
                  <w:pPr>
                    <w:spacing w:line="300" w:lineRule="exact"/>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公用工程</w:t>
                  </w:r>
                </w:p>
              </w:tc>
            </w:tr>
            <w:tr w14:paraId="168CF9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68ED346B">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w:t>
                  </w:r>
                </w:p>
              </w:tc>
              <w:tc>
                <w:tcPr>
                  <w:tcW w:w="781" w:type="pct"/>
                  <w:noWrap w:val="0"/>
                  <w:vAlign w:val="center"/>
                </w:tcPr>
                <w:p w14:paraId="26C83DB9">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供水</w:t>
                  </w:r>
                </w:p>
              </w:tc>
              <w:tc>
                <w:tcPr>
                  <w:tcW w:w="3117" w:type="pct"/>
                  <w:noWrap w:val="0"/>
                  <w:vAlign w:val="center"/>
                </w:tcPr>
                <w:p w14:paraId="7D546C24">
                  <w:pPr>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由园区给水管网供给。年新鲜</w:t>
                  </w:r>
                  <w:r>
                    <w:rPr>
                      <w:rFonts w:hint="default" w:ascii="Times New Roman" w:hAnsi="Times New Roman" w:cs="Times New Roman"/>
                      <w:bCs/>
                      <w:color w:val="auto"/>
                      <w:sz w:val="18"/>
                      <w:szCs w:val="18"/>
                    </w:rPr>
                    <w:t>用水量</w:t>
                  </w:r>
                  <w:r>
                    <w:rPr>
                      <w:rFonts w:hint="eastAsia" w:ascii="Times New Roman" w:hAnsi="Times New Roman" w:cs="Times New Roman"/>
                      <w:bCs/>
                      <w:color w:val="auto"/>
                      <w:sz w:val="18"/>
                      <w:szCs w:val="18"/>
                      <w:lang w:val="en-US" w:eastAsia="zh-CN"/>
                    </w:rPr>
                    <w:t>0.198</w:t>
                  </w:r>
                  <w:r>
                    <w:rPr>
                      <w:rFonts w:hint="default" w:ascii="Times New Roman" w:hAnsi="Times New Roman" w:cs="Times New Roman"/>
                      <w:bCs/>
                      <w:color w:val="auto"/>
                      <w:sz w:val="18"/>
                      <w:szCs w:val="18"/>
                    </w:rPr>
                    <w:t>万t/a。</w:t>
                  </w:r>
                </w:p>
              </w:tc>
              <w:tc>
                <w:tcPr>
                  <w:tcW w:w="704" w:type="pct"/>
                  <w:noWrap w:val="0"/>
                  <w:vAlign w:val="center"/>
                </w:tcPr>
                <w:p w14:paraId="554E0383">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依托</w:t>
                  </w:r>
                </w:p>
              </w:tc>
            </w:tr>
            <w:tr w14:paraId="43A97A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 w:hRule="atLeast"/>
                <w:jc w:val="center"/>
              </w:trPr>
              <w:tc>
                <w:tcPr>
                  <w:tcW w:w="395" w:type="pct"/>
                  <w:noWrap w:val="0"/>
                  <w:vAlign w:val="center"/>
                </w:tcPr>
                <w:p w14:paraId="351A85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w:t>
                  </w:r>
                </w:p>
              </w:tc>
              <w:tc>
                <w:tcPr>
                  <w:tcW w:w="781" w:type="pct"/>
                  <w:noWrap w:val="0"/>
                  <w:vAlign w:val="center"/>
                </w:tcPr>
                <w:p w14:paraId="453EA873">
                  <w:pPr>
                    <w:spacing w:line="240"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排水</w:t>
                  </w:r>
                </w:p>
              </w:tc>
              <w:tc>
                <w:tcPr>
                  <w:tcW w:w="3117" w:type="pct"/>
                  <w:noWrap w:val="0"/>
                  <w:vAlign w:val="center"/>
                </w:tcPr>
                <w:p w14:paraId="581E9E6E">
                  <w:pPr>
                    <w:adjustRightInd w:val="0"/>
                    <w:snapToGrid w:val="0"/>
                    <w:spacing w:line="240" w:lineRule="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排水系统采用雨污分流制。雨水依托厂区现有雨水管收集后排入园区雨水管网。</w:t>
                  </w:r>
                  <w:r>
                    <w:rPr>
                      <w:rFonts w:hint="default" w:ascii="Times New Roman" w:hAnsi="Times New Roman" w:eastAsia="宋体" w:cs="Times New Roman"/>
                      <w:color w:val="auto"/>
                      <w:sz w:val="18"/>
                      <w:szCs w:val="18"/>
                    </w:rPr>
                    <w:t>本项目营运期产生的</w:t>
                  </w:r>
                  <w:r>
                    <w:rPr>
                      <w:rFonts w:hint="eastAsia" w:ascii="Times New Roman" w:hAnsi="Times New Roman" w:cs="Times New Roman"/>
                      <w:color w:val="auto"/>
                      <w:sz w:val="18"/>
                      <w:szCs w:val="18"/>
                      <w:lang w:val="en-US" w:eastAsia="zh-CN"/>
                    </w:rPr>
                    <w:t>地面清洁废水与生活污水</w:t>
                  </w:r>
                  <w:r>
                    <w:rPr>
                      <w:rFonts w:hint="default" w:ascii="Times New Roman" w:hAnsi="Times New Roman" w:eastAsia="宋体" w:cs="Times New Roman"/>
                      <w:color w:val="auto"/>
                      <w:sz w:val="18"/>
                      <w:szCs w:val="18"/>
                      <w:lang w:val="en-US" w:eastAsia="zh-CN"/>
                    </w:rPr>
                    <w:t>一起</w:t>
                  </w:r>
                  <w:r>
                    <w:rPr>
                      <w:rFonts w:hint="eastAsia" w:ascii="Times New Roman" w:hAnsi="Times New Roman" w:cs="Times New Roman"/>
                      <w:color w:val="auto"/>
                      <w:sz w:val="18"/>
                      <w:szCs w:val="18"/>
                      <w:lang w:val="en-US" w:eastAsia="zh-CN"/>
                    </w:rPr>
                    <w:t>排入重庆三花门业现有生化池处理达</w:t>
                  </w:r>
                  <w:r>
                    <w:rPr>
                      <w:rFonts w:hint="default" w:ascii="Times New Roman" w:hAnsi="Times New Roman" w:eastAsia="宋体" w:cs="Times New Roman"/>
                      <w:color w:val="auto"/>
                      <w:sz w:val="18"/>
                      <w:szCs w:val="18"/>
                    </w:rPr>
                    <w:t>《污水综合排放标准》（</w:t>
                  </w:r>
                  <w:r>
                    <w:rPr>
                      <w:rFonts w:hint="eastAsia" w:cs="Times New Roman"/>
                      <w:color w:val="auto"/>
                      <w:sz w:val="18"/>
                      <w:szCs w:val="18"/>
                      <w:lang w:eastAsia="zh-CN"/>
                    </w:rPr>
                    <w:t>GB 8978</w:t>
                  </w:r>
                  <w:r>
                    <w:rPr>
                      <w:rFonts w:hint="default" w:ascii="Times New Roman" w:hAnsi="Times New Roman" w:eastAsia="宋体" w:cs="Times New Roman"/>
                      <w:color w:val="auto"/>
                      <w:sz w:val="18"/>
                      <w:szCs w:val="18"/>
                    </w:rPr>
                    <w:t>-1996）三级标准后</w:t>
                  </w:r>
                  <w:r>
                    <w:rPr>
                      <w:rFonts w:hint="default" w:ascii="Times New Roman" w:hAnsi="Times New Roman" w:eastAsia="宋体" w:cs="Times New Roman"/>
                      <w:color w:val="auto"/>
                      <w:sz w:val="18"/>
                      <w:szCs w:val="18"/>
                      <w:lang w:eastAsia="zh-CN"/>
                    </w:rPr>
                    <w:t>排</w:t>
                  </w:r>
                  <w:r>
                    <w:rPr>
                      <w:rFonts w:hint="default" w:ascii="Times New Roman" w:hAnsi="Times New Roman" w:eastAsia="宋体" w:cs="Times New Roman"/>
                      <w:color w:val="auto"/>
                      <w:sz w:val="18"/>
                      <w:szCs w:val="18"/>
                    </w:rPr>
                    <w:t>入</w:t>
                  </w:r>
                  <w:r>
                    <w:rPr>
                      <w:rFonts w:hint="default" w:ascii="Times New Roman" w:hAnsi="Times New Roman" w:eastAsia="宋体" w:cs="Times New Roman"/>
                      <w:color w:val="auto"/>
                      <w:sz w:val="18"/>
                      <w:szCs w:val="18"/>
                      <w:lang w:eastAsia="zh-CN"/>
                    </w:rPr>
                    <w:t>园区</w:t>
                  </w:r>
                  <w:r>
                    <w:rPr>
                      <w:rFonts w:hint="default" w:ascii="Times New Roman" w:hAnsi="Times New Roman" w:eastAsia="宋体" w:cs="Times New Roman"/>
                      <w:color w:val="auto"/>
                      <w:sz w:val="18"/>
                      <w:szCs w:val="18"/>
                    </w:rPr>
                    <w:t>污水管网进入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进一步处理</w:t>
                  </w:r>
                  <w:r>
                    <w:rPr>
                      <w:rFonts w:hint="eastAsia" w:ascii="Times New Roman" w:hAnsi="Times New Roman" w:cs="Times New Roman"/>
                      <w:color w:val="auto"/>
                      <w:sz w:val="18"/>
                      <w:szCs w:val="18"/>
                      <w:lang w:eastAsia="zh-CN"/>
                    </w:rPr>
                    <w:t>达《城镇污水处理厂污染物排放标准》（</w:t>
                  </w:r>
                  <w:r>
                    <w:rPr>
                      <w:rFonts w:hint="eastAsia" w:cs="Times New Roman"/>
                      <w:color w:val="auto"/>
                      <w:sz w:val="18"/>
                      <w:szCs w:val="18"/>
                      <w:lang w:eastAsia="zh-CN"/>
                    </w:rPr>
                    <w:t>GB 1891</w:t>
                  </w:r>
                  <w:r>
                    <w:rPr>
                      <w:rFonts w:hint="eastAsia" w:ascii="Times New Roman" w:hAnsi="Times New Roman" w:cs="Times New Roman"/>
                      <w:color w:val="auto"/>
                      <w:sz w:val="18"/>
                      <w:szCs w:val="18"/>
                      <w:lang w:eastAsia="zh-CN"/>
                    </w:rPr>
                    <w:t>8-2002）一级B标后排入建梁河，最后汇入嘉陵江</w:t>
                  </w:r>
                </w:p>
              </w:tc>
              <w:tc>
                <w:tcPr>
                  <w:tcW w:w="704" w:type="pct"/>
                  <w:noWrap w:val="0"/>
                  <w:vAlign w:val="center"/>
                </w:tcPr>
                <w:p w14:paraId="2BC3D458">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依托</w:t>
                  </w:r>
                </w:p>
              </w:tc>
            </w:tr>
            <w:tr w14:paraId="467B62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 w:hRule="atLeast"/>
                <w:jc w:val="center"/>
              </w:trPr>
              <w:tc>
                <w:tcPr>
                  <w:tcW w:w="395" w:type="pct"/>
                  <w:noWrap w:val="0"/>
                  <w:vAlign w:val="center"/>
                </w:tcPr>
                <w:p w14:paraId="550EF4E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4.3</w:t>
                  </w:r>
                </w:p>
              </w:tc>
              <w:tc>
                <w:tcPr>
                  <w:tcW w:w="781" w:type="pct"/>
                  <w:noWrap w:val="0"/>
                  <w:vAlign w:val="center"/>
                </w:tcPr>
                <w:p w14:paraId="54A98973">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供电</w:t>
                  </w:r>
                </w:p>
              </w:tc>
              <w:tc>
                <w:tcPr>
                  <w:tcW w:w="3117" w:type="pct"/>
                  <w:noWrap w:val="0"/>
                  <w:vAlign w:val="center"/>
                </w:tcPr>
                <w:p w14:paraId="7211B61C">
                  <w:pPr>
                    <w:spacing w:line="30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电源由园区电网供给，用电量</w:t>
                  </w:r>
                  <w:r>
                    <w:rPr>
                      <w:rFonts w:hint="eastAsia" w:ascii="Times New Roman" w:hAnsi="Times New Roman" w:cs="Times New Roman"/>
                      <w:bCs/>
                      <w:color w:val="auto"/>
                      <w:sz w:val="18"/>
                      <w:szCs w:val="18"/>
                      <w:lang w:val="en-US" w:eastAsia="zh-CN"/>
                    </w:rPr>
                    <w:t>50</w:t>
                  </w:r>
                  <w:r>
                    <w:rPr>
                      <w:rFonts w:hint="default" w:ascii="Times New Roman" w:hAnsi="Times New Roman" w:cs="Times New Roman"/>
                      <w:bCs/>
                      <w:color w:val="auto"/>
                      <w:sz w:val="18"/>
                      <w:szCs w:val="18"/>
                    </w:rPr>
                    <w:t>万度/a</w:t>
                  </w:r>
                </w:p>
              </w:tc>
              <w:tc>
                <w:tcPr>
                  <w:tcW w:w="704" w:type="pct"/>
                  <w:noWrap w:val="0"/>
                  <w:vAlign w:val="center"/>
                </w:tcPr>
                <w:p w14:paraId="1F610C4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依托</w:t>
                  </w:r>
                </w:p>
              </w:tc>
            </w:tr>
            <w:tr w14:paraId="716280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 w:hRule="atLeast"/>
                <w:jc w:val="center"/>
              </w:trPr>
              <w:tc>
                <w:tcPr>
                  <w:tcW w:w="395" w:type="pct"/>
                  <w:noWrap w:val="0"/>
                  <w:vAlign w:val="center"/>
                </w:tcPr>
                <w:p w14:paraId="7CDB543E">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w:t>
                  </w:r>
                </w:p>
              </w:tc>
              <w:tc>
                <w:tcPr>
                  <w:tcW w:w="781" w:type="pct"/>
                  <w:noWrap w:val="0"/>
                  <w:vAlign w:val="center"/>
                </w:tcPr>
                <w:p w14:paraId="24747812">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供气</w:t>
                  </w:r>
                </w:p>
              </w:tc>
              <w:tc>
                <w:tcPr>
                  <w:tcW w:w="3117" w:type="pct"/>
                  <w:noWrap w:val="0"/>
                  <w:vAlign w:val="center"/>
                </w:tcPr>
                <w:p w14:paraId="787AD803">
                  <w:pPr>
                    <w:spacing w:line="30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本项目生产、生活过程均不使用天然气；</w:t>
                  </w:r>
                  <w:r>
                    <w:rPr>
                      <w:rFonts w:hint="default" w:ascii="Times New Roman" w:hAnsi="Times New Roman" w:cs="Times New Roman"/>
                      <w:color w:val="auto"/>
                      <w:sz w:val="18"/>
                      <w:szCs w:val="18"/>
                      <w:lang w:val="en-GB"/>
                    </w:rPr>
                    <w:t>压缩空气来源于空压机，用气量约</w:t>
                  </w:r>
                  <w:r>
                    <w:rPr>
                      <w:rFonts w:hint="eastAsia" w:ascii="Times New Roman" w:hAnsi="Times New Roman" w:cs="Times New Roman"/>
                      <w:color w:val="auto"/>
                      <w:sz w:val="18"/>
                      <w:szCs w:val="18"/>
                      <w:lang w:val="en-US" w:eastAsia="zh-CN"/>
                    </w:rPr>
                    <w:t>2.4</w:t>
                  </w:r>
                  <w:r>
                    <w:rPr>
                      <w:rFonts w:hint="default" w:ascii="Times New Roman" w:hAnsi="Times New Roman" w:cs="Times New Roman"/>
                      <w:bCs/>
                      <w:color w:val="auto"/>
                      <w:sz w:val="18"/>
                      <w:szCs w:val="18"/>
                    </w:rPr>
                    <w:t>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r>
                    <w:rPr>
                      <w:rFonts w:hint="eastAsia" w:ascii="Times New Roman" w:hAnsi="Times New Roman" w:cs="Times New Roman"/>
                      <w:bCs/>
                      <w:color w:val="auto"/>
                      <w:sz w:val="18"/>
                      <w:szCs w:val="18"/>
                      <w:lang w:val="en-US" w:eastAsia="zh-CN"/>
                    </w:rPr>
                    <w:t>min</w:t>
                  </w:r>
                </w:p>
              </w:tc>
              <w:tc>
                <w:tcPr>
                  <w:tcW w:w="704" w:type="pct"/>
                  <w:noWrap w:val="0"/>
                  <w:vAlign w:val="center"/>
                </w:tcPr>
                <w:p w14:paraId="016401BD">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14:paraId="7B7D23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395" w:type="pct"/>
                  <w:noWrap w:val="0"/>
                  <w:vAlign w:val="center"/>
                </w:tcPr>
                <w:p w14:paraId="65F9A9E2">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w:t>
                  </w:r>
                </w:p>
              </w:tc>
              <w:tc>
                <w:tcPr>
                  <w:tcW w:w="781" w:type="pct"/>
                  <w:noWrap w:val="0"/>
                  <w:vAlign w:val="center"/>
                </w:tcPr>
                <w:p w14:paraId="4BC4673F">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冷却系统</w:t>
                  </w:r>
                </w:p>
              </w:tc>
              <w:tc>
                <w:tcPr>
                  <w:tcW w:w="3117" w:type="pct"/>
                  <w:noWrap w:val="0"/>
                  <w:vAlign w:val="center"/>
                </w:tcPr>
                <w:p w14:paraId="3A6508AB">
                  <w:pPr>
                    <w:spacing w:line="300" w:lineRule="exac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本项目共设置1</w:t>
                  </w:r>
                  <w:r>
                    <w:rPr>
                      <w:rFonts w:hint="eastAsia" w:cs="Times New Roman"/>
                      <w:color w:val="auto"/>
                      <w:sz w:val="18"/>
                      <w:szCs w:val="18"/>
                      <w:lang w:eastAsia="zh-CN"/>
                    </w:rPr>
                    <w:t>座</w:t>
                  </w:r>
                  <w:r>
                    <w:rPr>
                      <w:rFonts w:hint="default" w:ascii="Times New Roman" w:hAnsi="Times New Roman" w:cs="Times New Roman"/>
                      <w:color w:val="auto"/>
                      <w:sz w:val="18"/>
                      <w:szCs w:val="18"/>
                    </w:rPr>
                    <w:t>冷却塔，合计循环水量为</w:t>
                  </w:r>
                  <w:r>
                    <w:rPr>
                      <w:rFonts w:hint="default"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/h，冷却水通过间接冷却的方式来冷却</w:t>
                  </w:r>
                  <w:r>
                    <w:rPr>
                      <w:rFonts w:hint="default" w:ascii="Times New Roman" w:hAnsi="Times New Roman" w:cs="Times New Roman"/>
                      <w:b w:val="0"/>
                      <w:bCs w:val="0"/>
                      <w:color w:val="auto"/>
                      <w:sz w:val="18"/>
                      <w:szCs w:val="18"/>
                      <w:lang w:val="en-US" w:eastAsia="zh-CN"/>
                    </w:rPr>
                    <w:t>注塑机模具</w:t>
                  </w:r>
                  <w:r>
                    <w:rPr>
                      <w:rFonts w:hint="default" w:ascii="Times New Roman" w:hAnsi="Times New Roman" w:cs="Times New Roman"/>
                      <w:color w:val="auto"/>
                      <w:sz w:val="18"/>
                      <w:szCs w:val="18"/>
                    </w:rPr>
                    <w:t>，不与模具和产品直接接触，因此冷却水较清洁，不外排，只需定期添加自来水</w:t>
                  </w:r>
                </w:p>
              </w:tc>
              <w:tc>
                <w:tcPr>
                  <w:tcW w:w="704" w:type="pct"/>
                  <w:noWrap w:val="0"/>
                  <w:vAlign w:val="center"/>
                </w:tcPr>
                <w:p w14:paraId="6B792AB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新建</w:t>
                  </w:r>
                </w:p>
              </w:tc>
            </w:tr>
            <w:tr w14:paraId="496DC9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395" w:type="pct"/>
                  <w:noWrap w:val="0"/>
                  <w:vAlign w:val="center"/>
                </w:tcPr>
                <w:p w14:paraId="53B038DD">
                  <w:pPr>
                    <w:spacing w:line="3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5</w:t>
                  </w:r>
                </w:p>
              </w:tc>
              <w:tc>
                <w:tcPr>
                  <w:tcW w:w="4604" w:type="pct"/>
                  <w:gridSpan w:val="3"/>
                  <w:noWrap w:val="0"/>
                  <w:vAlign w:val="center"/>
                </w:tcPr>
                <w:p w14:paraId="143EB357">
                  <w:pPr>
                    <w:spacing w:line="300" w:lineRule="exact"/>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环保工程</w:t>
                  </w:r>
                </w:p>
              </w:tc>
            </w:tr>
            <w:tr w14:paraId="3BBDB7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337F879E">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5.1</w:t>
                  </w:r>
                </w:p>
              </w:tc>
              <w:tc>
                <w:tcPr>
                  <w:tcW w:w="781" w:type="pct"/>
                  <w:noWrap w:val="0"/>
                  <w:vAlign w:val="center"/>
                </w:tcPr>
                <w:p w14:paraId="4DFCAF57">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废气</w:t>
                  </w:r>
                </w:p>
              </w:tc>
              <w:tc>
                <w:tcPr>
                  <w:tcW w:w="3117" w:type="pct"/>
                  <w:noWrap w:val="0"/>
                  <w:vAlign w:val="center"/>
                </w:tcPr>
                <w:p w14:paraId="5D3D06E7">
                  <w:pPr>
                    <w:adjustRightInd w:val="0"/>
                    <w:snapToGrid w:val="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拟在</w:t>
                  </w:r>
                  <w:r>
                    <w:rPr>
                      <w:rFonts w:hint="default" w:ascii="Times New Roman" w:hAnsi="Times New Roman" w:cs="Times New Roman"/>
                      <w:color w:val="auto"/>
                      <w:sz w:val="18"/>
                      <w:szCs w:val="18"/>
                      <w:lang w:val="en-US" w:eastAsia="zh-CN"/>
                    </w:rPr>
                    <w:t>注塑机</w:t>
                  </w:r>
                  <w:r>
                    <w:rPr>
                      <w:rFonts w:hint="default" w:ascii="Times New Roman" w:hAnsi="Times New Roman" w:cs="Times New Roman"/>
                      <w:color w:val="auto"/>
                      <w:sz w:val="18"/>
                      <w:szCs w:val="18"/>
                    </w:rPr>
                    <w:t>上方设置集气罩收集</w:t>
                  </w:r>
                  <w:r>
                    <w:rPr>
                      <w:rFonts w:hint="default" w:ascii="Times New Roman" w:hAnsi="Times New Roman" w:cs="Times New Roman"/>
                      <w:color w:val="auto"/>
                      <w:sz w:val="18"/>
                      <w:szCs w:val="18"/>
                      <w:lang w:val="en-US" w:eastAsia="zh-CN"/>
                    </w:rPr>
                    <w:t>注塑过程中产生的</w:t>
                  </w:r>
                  <w:r>
                    <w:rPr>
                      <w:rFonts w:hint="default" w:ascii="Times New Roman" w:hAnsi="Times New Roman" w:cs="Times New Roman"/>
                      <w:color w:val="auto"/>
                      <w:sz w:val="18"/>
                      <w:szCs w:val="18"/>
                      <w:lang w:eastAsia="zh-CN"/>
                    </w:rPr>
                    <w:t>废气</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废气收集后经过滤棉+两级活性炭处理最后经</w:t>
                  </w:r>
                  <w:r>
                    <w:rPr>
                      <w:rFonts w:hint="eastAsia" w:ascii="Times New Roman" w:hAnsi="Times New Roman" w:cs="Times New Roman"/>
                      <w:color w:val="auto"/>
                      <w:sz w:val="18"/>
                      <w:szCs w:val="18"/>
                      <w:lang w:val="en-US" w:eastAsia="zh-CN"/>
                    </w:rPr>
                    <w:t>25m</w:t>
                  </w:r>
                  <w:r>
                    <w:rPr>
                      <w:rFonts w:hint="default" w:ascii="Times New Roman" w:hAnsi="Times New Roman" w:cs="Times New Roman"/>
                      <w:color w:val="auto"/>
                      <w:sz w:val="18"/>
                      <w:szCs w:val="18"/>
                      <w:lang w:val="en-US" w:eastAsia="zh-CN"/>
                    </w:rPr>
                    <w:t>高排气筒引至楼顶排放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kern w:val="0"/>
                      <w:sz w:val="18"/>
                      <w:szCs w:val="18"/>
                      <w:lang w:val="en-US" w:eastAsia="zh-CN"/>
                    </w:rPr>
                    <w:t>风机风量为</w:t>
                  </w:r>
                  <w:r>
                    <w:rPr>
                      <w:rFonts w:hint="eastAsia" w:ascii="Times New Roman" w:hAnsi="Times New Roman" w:cs="Times New Roman"/>
                      <w:color w:val="auto"/>
                      <w:kern w:val="0"/>
                      <w:sz w:val="18"/>
                      <w:szCs w:val="18"/>
                      <w:lang w:val="en-US" w:eastAsia="zh-CN"/>
                    </w:rPr>
                    <w:t>16</w:t>
                  </w:r>
                  <w:r>
                    <w:rPr>
                      <w:rFonts w:hint="default" w:ascii="Times New Roman" w:hAnsi="Times New Roman" w:cs="Times New Roman"/>
                      <w:color w:val="auto"/>
                      <w:kern w:val="0"/>
                      <w:sz w:val="18"/>
                      <w:szCs w:val="18"/>
                      <w:lang w:val="en-US" w:eastAsia="zh-CN"/>
                    </w:rPr>
                    <w:t>000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04" w:type="pct"/>
                  <w:noWrap w:val="0"/>
                  <w:vAlign w:val="center"/>
                </w:tcPr>
                <w:p w14:paraId="3A908D49">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新建</w:t>
                  </w:r>
                </w:p>
              </w:tc>
            </w:tr>
            <w:tr w14:paraId="05FCC9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 w:hRule="atLeast"/>
                <w:jc w:val="center"/>
              </w:trPr>
              <w:tc>
                <w:tcPr>
                  <w:tcW w:w="395" w:type="pct"/>
                  <w:noWrap w:val="0"/>
                  <w:vAlign w:val="center"/>
                </w:tcPr>
                <w:p w14:paraId="79E112B6">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5.2</w:t>
                  </w:r>
                </w:p>
              </w:tc>
              <w:tc>
                <w:tcPr>
                  <w:tcW w:w="781" w:type="pct"/>
                  <w:noWrap w:val="0"/>
                  <w:vAlign w:val="center"/>
                </w:tcPr>
                <w:p w14:paraId="5E0C7929">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废水</w:t>
                  </w:r>
                </w:p>
              </w:tc>
              <w:tc>
                <w:tcPr>
                  <w:tcW w:w="3117" w:type="pct"/>
                  <w:noWrap w:val="0"/>
                  <w:vAlign w:val="center"/>
                </w:tcPr>
                <w:p w14:paraId="4802D5B9">
                  <w:pPr>
                    <w:spacing w:line="300" w:lineRule="exact"/>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本项目营运期产生的</w:t>
                  </w:r>
                  <w:r>
                    <w:rPr>
                      <w:rFonts w:hint="eastAsia" w:ascii="Times New Roman" w:hAnsi="Times New Roman" w:cs="Times New Roman"/>
                      <w:color w:val="auto"/>
                      <w:sz w:val="18"/>
                      <w:szCs w:val="18"/>
                      <w:lang w:val="en-US" w:eastAsia="zh-CN"/>
                    </w:rPr>
                    <w:t>地面清洁废水与生活污水</w:t>
                  </w:r>
                  <w:r>
                    <w:rPr>
                      <w:rFonts w:hint="default" w:ascii="Times New Roman" w:hAnsi="Times New Roman" w:eastAsia="宋体" w:cs="Times New Roman"/>
                      <w:color w:val="auto"/>
                      <w:sz w:val="18"/>
                      <w:szCs w:val="18"/>
                      <w:lang w:val="en-US" w:eastAsia="zh-CN"/>
                    </w:rPr>
                    <w:t>一起</w:t>
                  </w:r>
                  <w:r>
                    <w:rPr>
                      <w:rFonts w:hint="eastAsia" w:ascii="Times New Roman" w:hAnsi="Times New Roman" w:cs="Times New Roman"/>
                      <w:color w:val="auto"/>
                      <w:sz w:val="18"/>
                      <w:szCs w:val="18"/>
                      <w:lang w:val="en-US" w:eastAsia="zh-CN"/>
                    </w:rPr>
                    <w:t>排入重庆三花门业现有生化池处理达</w:t>
                  </w:r>
                  <w:r>
                    <w:rPr>
                      <w:rFonts w:hint="default" w:ascii="Times New Roman" w:hAnsi="Times New Roman" w:eastAsia="宋体" w:cs="Times New Roman"/>
                      <w:color w:val="auto"/>
                      <w:sz w:val="18"/>
                      <w:szCs w:val="18"/>
                    </w:rPr>
                    <w:t>《污水综合排放标准》（</w:t>
                  </w:r>
                  <w:r>
                    <w:rPr>
                      <w:rFonts w:hint="eastAsia" w:cs="Times New Roman"/>
                      <w:color w:val="auto"/>
                      <w:sz w:val="18"/>
                      <w:szCs w:val="18"/>
                      <w:lang w:eastAsia="zh-CN"/>
                    </w:rPr>
                    <w:t>GB 8978</w:t>
                  </w:r>
                  <w:r>
                    <w:rPr>
                      <w:rFonts w:hint="default" w:ascii="Times New Roman" w:hAnsi="Times New Roman" w:eastAsia="宋体" w:cs="Times New Roman"/>
                      <w:color w:val="auto"/>
                      <w:sz w:val="18"/>
                      <w:szCs w:val="18"/>
                    </w:rPr>
                    <w:t>-1996）三级标准后</w:t>
                  </w:r>
                  <w:r>
                    <w:rPr>
                      <w:rFonts w:hint="default" w:ascii="Times New Roman" w:hAnsi="Times New Roman" w:eastAsia="宋体" w:cs="Times New Roman"/>
                      <w:color w:val="auto"/>
                      <w:sz w:val="18"/>
                      <w:szCs w:val="18"/>
                      <w:lang w:eastAsia="zh-CN"/>
                    </w:rPr>
                    <w:t>排</w:t>
                  </w:r>
                  <w:r>
                    <w:rPr>
                      <w:rFonts w:hint="default" w:ascii="Times New Roman" w:hAnsi="Times New Roman" w:eastAsia="宋体" w:cs="Times New Roman"/>
                      <w:color w:val="auto"/>
                      <w:sz w:val="18"/>
                      <w:szCs w:val="18"/>
                    </w:rPr>
                    <w:t>入</w:t>
                  </w:r>
                  <w:r>
                    <w:rPr>
                      <w:rFonts w:hint="default" w:ascii="Times New Roman" w:hAnsi="Times New Roman" w:eastAsia="宋体" w:cs="Times New Roman"/>
                      <w:color w:val="auto"/>
                      <w:sz w:val="18"/>
                      <w:szCs w:val="18"/>
                      <w:lang w:eastAsia="zh-CN"/>
                    </w:rPr>
                    <w:t>园区</w:t>
                  </w:r>
                  <w:r>
                    <w:rPr>
                      <w:rFonts w:hint="default" w:ascii="Times New Roman" w:hAnsi="Times New Roman" w:eastAsia="宋体" w:cs="Times New Roman"/>
                      <w:color w:val="auto"/>
                      <w:sz w:val="18"/>
                      <w:szCs w:val="18"/>
                    </w:rPr>
                    <w:t>污水管网</w:t>
                  </w:r>
                  <w:r>
                    <w:rPr>
                      <w:rFonts w:hint="default" w:ascii="Times New Roman" w:hAnsi="Times New Roman" w:eastAsia="宋体" w:cs="Times New Roman"/>
                      <w:color w:val="auto"/>
                      <w:sz w:val="18"/>
                      <w:szCs w:val="18"/>
                      <w:lang w:eastAsia="zh-CN"/>
                    </w:rPr>
                    <w:t>，最后</w:t>
                  </w:r>
                  <w:r>
                    <w:rPr>
                      <w:rFonts w:hint="default" w:ascii="Times New Roman" w:hAnsi="Times New Roman" w:eastAsia="宋体" w:cs="Times New Roman"/>
                      <w:color w:val="auto"/>
                      <w:sz w:val="18"/>
                      <w:szCs w:val="18"/>
                    </w:rPr>
                    <w:t>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进一步处理</w:t>
                  </w:r>
                  <w:r>
                    <w:rPr>
                      <w:rFonts w:hint="eastAsia" w:ascii="Times New Roman" w:hAnsi="Times New Roman" w:cs="Times New Roman"/>
                      <w:color w:val="auto"/>
                      <w:sz w:val="18"/>
                      <w:szCs w:val="18"/>
                      <w:lang w:eastAsia="zh-CN"/>
                    </w:rPr>
                    <w:t>达《城镇污水处理厂污染物排放标准》（</w:t>
                  </w:r>
                  <w:r>
                    <w:rPr>
                      <w:rFonts w:hint="eastAsia" w:cs="Times New Roman"/>
                      <w:color w:val="auto"/>
                      <w:sz w:val="18"/>
                      <w:szCs w:val="18"/>
                      <w:lang w:eastAsia="zh-CN"/>
                    </w:rPr>
                    <w:t>GB 1891</w:t>
                  </w:r>
                  <w:r>
                    <w:rPr>
                      <w:rFonts w:hint="eastAsia" w:ascii="Times New Roman" w:hAnsi="Times New Roman" w:cs="Times New Roman"/>
                      <w:color w:val="auto"/>
                      <w:sz w:val="18"/>
                      <w:szCs w:val="18"/>
                      <w:lang w:eastAsia="zh-CN"/>
                    </w:rPr>
                    <w:t>8-2002）一级B标后排入建梁河，最后汇入嘉陵江</w:t>
                  </w:r>
                  <w:r>
                    <w:rPr>
                      <w:rFonts w:hint="default" w:ascii="Times New Roman" w:hAnsi="Times New Roman" w:eastAsia="宋体" w:cs="Times New Roman"/>
                      <w:color w:val="auto"/>
                      <w:sz w:val="18"/>
                      <w:szCs w:val="18"/>
                    </w:rPr>
                    <w:t>。</w:t>
                  </w:r>
                </w:p>
              </w:tc>
              <w:tc>
                <w:tcPr>
                  <w:tcW w:w="704" w:type="pct"/>
                  <w:noWrap w:val="0"/>
                  <w:vAlign w:val="center"/>
                </w:tcPr>
                <w:p w14:paraId="41F7329F">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依托</w:t>
                  </w:r>
                </w:p>
              </w:tc>
            </w:tr>
            <w:tr w14:paraId="088C21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95" w:type="pct"/>
                  <w:noWrap w:val="0"/>
                  <w:vAlign w:val="center"/>
                </w:tcPr>
                <w:p w14:paraId="1546C990">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5.3</w:t>
                  </w:r>
                </w:p>
              </w:tc>
              <w:tc>
                <w:tcPr>
                  <w:tcW w:w="781" w:type="pct"/>
                  <w:noWrap w:val="0"/>
                  <w:vAlign w:val="center"/>
                </w:tcPr>
                <w:p w14:paraId="719C51D9">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3117" w:type="pct"/>
                  <w:noWrap w:val="0"/>
                  <w:vAlign w:val="center"/>
                </w:tcPr>
                <w:p w14:paraId="38955F84">
                  <w:pPr>
                    <w:spacing w:line="300" w:lineRule="exac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合理布置、基础减振、建筑隔声</w:t>
                  </w:r>
                </w:p>
              </w:tc>
              <w:tc>
                <w:tcPr>
                  <w:tcW w:w="704" w:type="pct"/>
                  <w:noWrap w:val="0"/>
                  <w:vAlign w:val="center"/>
                </w:tcPr>
                <w:p w14:paraId="5E6B303E">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新建</w:t>
                  </w:r>
                </w:p>
              </w:tc>
            </w:tr>
            <w:tr w14:paraId="1F896E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 w:hRule="atLeast"/>
                <w:jc w:val="center"/>
              </w:trPr>
              <w:tc>
                <w:tcPr>
                  <w:tcW w:w="395" w:type="pct"/>
                  <w:noWrap w:val="0"/>
                  <w:vAlign w:val="center"/>
                </w:tcPr>
                <w:p w14:paraId="2C2E79E1">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5.4</w:t>
                  </w:r>
                </w:p>
              </w:tc>
              <w:tc>
                <w:tcPr>
                  <w:tcW w:w="781" w:type="pct"/>
                  <w:noWrap w:val="0"/>
                  <w:vAlign w:val="center"/>
                </w:tcPr>
                <w:p w14:paraId="2ED1F94D">
                  <w:pPr>
                    <w:spacing w:line="30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固体废物</w:t>
                  </w:r>
                </w:p>
              </w:tc>
              <w:tc>
                <w:tcPr>
                  <w:tcW w:w="3117" w:type="pct"/>
                  <w:noWrap w:val="0"/>
                  <w:vAlign w:val="center"/>
                </w:tcPr>
                <w:p w14:paraId="3BE57010">
                  <w:pPr>
                    <w:spacing w:line="240" w:lineRule="auto"/>
                    <w:rPr>
                      <w:rFonts w:hint="default" w:ascii="Times New Roman" w:hAnsi="Times New Roman" w:cs="Times New Roman"/>
                      <w:snapToGrid w:val="0"/>
                      <w:color w:val="auto"/>
                      <w:kern w:val="0"/>
                      <w:sz w:val="18"/>
                      <w:szCs w:val="18"/>
                    </w:rPr>
                  </w:pPr>
                  <w:r>
                    <w:rPr>
                      <w:rFonts w:hint="default" w:ascii="Times New Roman" w:hAnsi="Times New Roman" w:cs="Times New Roman"/>
                      <w:b/>
                      <w:color w:val="auto"/>
                      <w:sz w:val="18"/>
                      <w:szCs w:val="18"/>
                    </w:rPr>
                    <w:t>①一般工业固体废物：</w:t>
                  </w:r>
                  <w:r>
                    <w:rPr>
                      <w:rFonts w:hint="default" w:ascii="Times New Roman" w:hAnsi="Times New Roman" w:cs="Times New Roman"/>
                      <w:color w:val="auto"/>
                      <w:sz w:val="18"/>
                      <w:szCs w:val="18"/>
                    </w:rPr>
                    <w:t>一般工业固体废物</w:t>
                  </w:r>
                  <w:r>
                    <w:rPr>
                      <w:rFonts w:hint="default" w:ascii="Times New Roman" w:hAnsi="Times New Roman" w:cs="Times New Roman"/>
                      <w:color w:val="auto"/>
                      <w:sz w:val="18"/>
                      <w:szCs w:val="18"/>
                      <w:lang w:eastAsia="zh-CN"/>
                    </w:rPr>
                    <w:t>主要为</w:t>
                  </w:r>
                  <w:r>
                    <w:rPr>
                      <w:rFonts w:hint="eastAsia" w:ascii="Times New Roman" w:hAnsi="Times New Roman" w:cs="Times New Roman"/>
                      <w:color w:val="auto"/>
                      <w:sz w:val="18"/>
                      <w:szCs w:val="18"/>
                      <w:lang w:eastAsia="zh-CN"/>
                    </w:rPr>
                    <w:t>废包装材料、废边角料、不合格品</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废包装材料</w:t>
                  </w:r>
                  <w:r>
                    <w:rPr>
                      <w:rFonts w:hint="default" w:ascii="Times New Roman" w:hAnsi="Times New Roman" w:cs="Times New Roman"/>
                      <w:color w:val="auto"/>
                      <w:sz w:val="18"/>
                      <w:szCs w:val="18"/>
                      <w:lang w:eastAsia="zh-CN"/>
                    </w:rPr>
                    <w:t>集中收集后交由废品回收单位处理，</w:t>
                  </w:r>
                  <w:r>
                    <w:rPr>
                      <w:rFonts w:hint="eastAsia" w:ascii="Times New Roman" w:hAnsi="Times New Roman" w:cs="Times New Roman"/>
                      <w:color w:val="auto"/>
                      <w:sz w:val="18"/>
                      <w:szCs w:val="18"/>
                      <w:lang w:eastAsia="zh-CN"/>
                    </w:rPr>
                    <w:t>废边角料及不合格产品破</w:t>
                  </w:r>
                  <w:r>
                    <w:rPr>
                      <w:rFonts w:hint="default" w:ascii="Times New Roman" w:hAnsi="Times New Roman" w:cs="Times New Roman"/>
                      <w:color w:val="auto"/>
                      <w:sz w:val="18"/>
                      <w:szCs w:val="18"/>
                      <w:lang w:eastAsia="zh-CN"/>
                    </w:rPr>
                    <w:t>碎后回用于生产线</w:t>
                  </w:r>
                  <w:r>
                    <w:rPr>
                      <w:rFonts w:hint="default" w:ascii="Times New Roman" w:hAnsi="Times New Roman" w:cs="Times New Roman"/>
                      <w:color w:val="auto"/>
                      <w:sz w:val="18"/>
                      <w:szCs w:val="18"/>
                    </w:rPr>
                    <w:t>，</w:t>
                  </w:r>
                  <w:r>
                    <w:rPr>
                      <w:rFonts w:hint="default" w:ascii="Times New Roman" w:hAnsi="Times New Roman" w:eastAsia="宋体" w:cs="Times New Roman"/>
                      <w:color w:val="auto"/>
                      <w:sz w:val="18"/>
                      <w:szCs w:val="18"/>
                    </w:rPr>
                    <w:t>设一般固废暂存点，</w:t>
                  </w:r>
                  <w:r>
                    <w:rPr>
                      <w:rFonts w:hint="default" w:ascii="Times New Roman" w:hAnsi="Times New Roman" w:eastAsia="宋体" w:cs="Times New Roman"/>
                      <w:color w:val="auto"/>
                      <w:sz w:val="18"/>
                      <w:szCs w:val="18"/>
                      <w:lang w:eastAsia="zh-CN"/>
                    </w:rPr>
                    <w:t>位于</w:t>
                  </w:r>
                  <w:r>
                    <w:rPr>
                      <w:rFonts w:hint="eastAsia" w:ascii="Times New Roman" w:hAnsi="Times New Roman" w:cs="Times New Roman"/>
                      <w:color w:val="auto"/>
                      <w:sz w:val="18"/>
                      <w:szCs w:val="18"/>
                      <w:lang w:val="en-US" w:eastAsia="zh-CN"/>
                    </w:rPr>
                    <w:t>厂区西南侧</w:t>
                  </w:r>
                  <w:r>
                    <w:rPr>
                      <w:rFonts w:hint="default" w:ascii="Times New Roman" w:hAnsi="Times New Roman" w:eastAsia="宋体" w:cs="Times New Roman"/>
                      <w:color w:val="auto"/>
                      <w:sz w:val="18"/>
                      <w:szCs w:val="18"/>
                    </w:rPr>
                    <w:t>，约</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0m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，设标识牌</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并做好防渗漏、防雨淋、防扬尘措施。</w:t>
                  </w:r>
                </w:p>
                <w:p w14:paraId="4291B448">
                  <w:pPr>
                    <w:spacing w:line="240" w:lineRule="auto"/>
                    <w:rPr>
                      <w:rFonts w:hint="default" w:ascii="Times New Roman" w:hAnsi="Times New Roman" w:cs="Times New Roman"/>
                      <w:bCs/>
                      <w:color w:val="auto"/>
                      <w:sz w:val="18"/>
                      <w:szCs w:val="18"/>
                      <w:lang w:eastAsia="zh-CN"/>
                    </w:rPr>
                  </w:pPr>
                  <w:r>
                    <w:rPr>
                      <w:rFonts w:hint="default" w:ascii="Times New Roman" w:hAnsi="Times New Roman" w:cs="Times New Roman"/>
                      <w:b/>
                      <w:color w:val="auto"/>
                      <w:sz w:val="18"/>
                      <w:szCs w:val="18"/>
                    </w:rPr>
                    <w:t>②危险废物：</w:t>
                  </w:r>
                  <w:r>
                    <w:rPr>
                      <w:rFonts w:hint="default" w:ascii="Times New Roman" w:hAnsi="Times New Roman" w:cs="Times New Roman"/>
                      <w:color w:val="auto"/>
                      <w:sz w:val="18"/>
                      <w:szCs w:val="18"/>
                    </w:rPr>
                    <w:t>主要为</w:t>
                  </w:r>
                  <w:r>
                    <w:rPr>
                      <w:rFonts w:hint="eastAsia" w:cs="Times New Roman"/>
                      <w:color w:val="auto"/>
                      <w:sz w:val="18"/>
                      <w:szCs w:val="18"/>
                      <w:lang w:eastAsia="zh-CN"/>
                    </w:rPr>
                    <w:t>废油桶</w:t>
                  </w:r>
                  <w:r>
                    <w:rPr>
                      <w:rFonts w:hint="eastAsia" w:ascii="Times New Roman" w:hAnsi="Times New Roman" w:cs="Times New Roman"/>
                      <w:color w:val="auto"/>
                      <w:sz w:val="18"/>
                      <w:szCs w:val="18"/>
                      <w:lang w:eastAsia="zh-CN"/>
                    </w:rPr>
                    <w:t>、废矿物油、废含油棉纱和手套、废活性炭、废过滤棉、空压机含油冷凝液</w:t>
                  </w:r>
                  <w:r>
                    <w:rPr>
                      <w:rFonts w:hint="default" w:ascii="Times New Roman" w:hAnsi="Times New Roman" w:cs="Times New Roman"/>
                      <w:color w:val="auto"/>
                      <w:sz w:val="18"/>
                      <w:szCs w:val="18"/>
                    </w:rPr>
                    <w:t>，分类收集后暂存于</w:t>
                  </w:r>
                  <w:r>
                    <w:rPr>
                      <w:rFonts w:hint="eastAsia" w:ascii="Times New Roman" w:hAnsi="Times New Roman" w:cs="Times New Roman"/>
                      <w:color w:val="auto"/>
                      <w:sz w:val="18"/>
                      <w:szCs w:val="18"/>
                      <w:lang w:eastAsia="zh-CN"/>
                    </w:rPr>
                    <w:t>危险废物贮存库</w:t>
                  </w:r>
                  <w:r>
                    <w:rPr>
                      <w:rFonts w:hint="default" w:ascii="Times New Roman" w:hAnsi="Times New Roman" w:cs="Times New Roman"/>
                      <w:color w:val="auto"/>
                      <w:sz w:val="18"/>
                      <w:szCs w:val="18"/>
                    </w:rPr>
                    <w:t>，定期交有资质单位处置。</w:t>
                  </w:r>
                  <w:r>
                    <w:rPr>
                      <w:rFonts w:hint="default" w:ascii="Times New Roman" w:hAnsi="Times New Roman" w:eastAsia="宋体" w:cs="Times New Roman"/>
                      <w:b w:val="0"/>
                      <w:bCs w:val="0"/>
                      <w:snapToGrid w:val="0"/>
                      <w:color w:val="auto"/>
                      <w:kern w:val="0"/>
                      <w:sz w:val="18"/>
                      <w:szCs w:val="18"/>
                    </w:rPr>
                    <w:t>设置一个</w:t>
                  </w:r>
                  <w:r>
                    <w:rPr>
                      <w:rFonts w:hint="eastAsia" w:ascii="Times New Roman" w:hAnsi="Times New Roman" w:cs="Times New Roman"/>
                      <w:b w:val="0"/>
                      <w:bCs w:val="0"/>
                      <w:snapToGrid w:val="0"/>
                      <w:color w:val="auto"/>
                      <w:kern w:val="0"/>
                      <w:sz w:val="18"/>
                      <w:szCs w:val="18"/>
                      <w:lang w:eastAsia="zh-CN"/>
                    </w:rPr>
                    <w:t>危险废物贮存库</w:t>
                  </w:r>
                  <w:r>
                    <w:rPr>
                      <w:rFonts w:hint="default" w:ascii="Times New Roman" w:hAnsi="Times New Roman" w:eastAsia="宋体" w:cs="Times New Roman"/>
                      <w:b w:val="0"/>
                      <w:bCs w:val="0"/>
                      <w:snapToGrid w:val="0"/>
                      <w:color w:val="auto"/>
                      <w:kern w:val="0"/>
                      <w:sz w:val="18"/>
                      <w:szCs w:val="18"/>
                    </w:rPr>
                    <w:t>，约</w:t>
                  </w:r>
                  <w:r>
                    <w:rPr>
                      <w:rFonts w:hint="default" w:ascii="Times New Roman" w:hAnsi="Times New Roman" w:cs="Times New Roman"/>
                      <w:b w:val="0"/>
                      <w:bCs w:val="0"/>
                      <w:snapToGrid w:val="0"/>
                      <w:color w:val="auto"/>
                      <w:kern w:val="0"/>
                      <w:sz w:val="18"/>
                      <w:szCs w:val="18"/>
                      <w:lang w:val="en-US" w:eastAsia="zh-CN"/>
                    </w:rPr>
                    <w:t>5</w:t>
                  </w:r>
                  <w:r>
                    <w:rPr>
                      <w:rFonts w:hint="default" w:ascii="Times New Roman" w:hAnsi="Times New Roman" w:eastAsia="宋体" w:cs="Times New Roman"/>
                      <w:b w:val="0"/>
                      <w:bCs w:val="0"/>
                      <w:snapToGrid w:val="0"/>
                      <w:color w:val="auto"/>
                      <w:kern w:val="0"/>
                      <w:sz w:val="18"/>
                      <w:szCs w:val="18"/>
                      <w:lang w:val="en-US" w:eastAsia="zh-CN"/>
                    </w:rPr>
                    <w:t>m</w:t>
                  </w:r>
                  <w:r>
                    <w:rPr>
                      <w:rFonts w:hint="default" w:ascii="Times New Roman" w:hAnsi="Times New Roman" w:eastAsia="宋体" w:cs="Times New Roman"/>
                      <w:b w:val="0"/>
                      <w:bCs w:val="0"/>
                      <w:snapToGrid w:val="0"/>
                      <w:color w:val="auto"/>
                      <w:kern w:val="0"/>
                      <w:sz w:val="18"/>
                      <w:szCs w:val="18"/>
                      <w:vertAlign w:val="superscript"/>
                    </w:rPr>
                    <w:t>2</w:t>
                  </w:r>
                  <w:r>
                    <w:rPr>
                      <w:rFonts w:hint="default" w:ascii="Times New Roman" w:hAnsi="Times New Roman" w:eastAsia="宋体" w:cs="Times New Roman"/>
                      <w:b w:val="0"/>
                      <w:bCs w:val="0"/>
                      <w:snapToGrid w:val="0"/>
                      <w:color w:val="auto"/>
                      <w:kern w:val="0"/>
                      <w:sz w:val="18"/>
                      <w:szCs w:val="18"/>
                    </w:rPr>
                    <w:t>，</w:t>
                  </w:r>
                  <w:r>
                    <w:rPr>
                      <w:rFonts w:hint="default" w:ascii="Times New Roman" w:hAnsi="Times New Roman" w:eastAsia="宋体" w:cs="Times New Roman"/>
                      <w:color w:val="auto"/>
                      <w:sz w:val="18"/>
                      <w:szCs w:val="18"/>
                      <w:lang w:eastAsia="zh-CN"/>
                    </w:rPr>
                    <w:t>位于</w:t>
                  </w:r>
                  <w:r>
                    <w:rPr>
                      <w:rFonts w:hint="eastAsia" w:ascii="Times New Roman" w:hAnsi="Times New Roman" w:cs="Times New Roman"/>
                      <w:color w:val="auto"/>
                      <w:sz w:val="18"/>
                      <w:szCs w:val="18"/>
                      <w:lang w:val="en-US" w:eastAsia="zh-CN"/>
                    </w:rPr>
                    <w:t>厂区东南侧</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设标识牌</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并做好</w:t>
                  </w:r>
                  <w:r>
                    <w:rPr>
                      <w:rFonts w:hint="default" w:ascii="Times New Roman" w:hAnsi="Times New Roman" w:cs="Times New Roman"/>
                      <w:bCs/>
                      <w:color w:val="auto"/>
                      <w:sz w:val="18"/>
                      <w:szCs w:val="18"/>
                    </w:rPr>
                    <w:t>防风、防晒、防雨、防漏、防渗、防腐以及其他环境污染防治措施</w:t>
                  </w:r>
                  <w:r>
                    <w:rPr>
                      <w:rFonts w:hint="default" w:ascii="Times New Roman" w:hAnsi="Times New Roman" w:cs="Times New Roman"/>
                      <w:bCs/>
                      <w:color w:val="auto"/>
                      <w:sz w:val="18"/>
                      <w:szCs w:val="18"/>
                      <w:lang w:eastAsia="zh-CN"/>
                    </w:rPr>
                    <w:t>。</w:t>
                  </w:r>
                </w:p>
                <w:p w14:paraId="0E139432">
                  <w:pPr>
                    <w:adjustRightInd w:val="0"/>
                    <w:snapToGrid w:val="0"/>
                    <w:rPr>
                      <w:rFonts w:hint="default" w:ascii="Times New Roman" w:hAnsi="Times New Roman" w:cs="Times New Roman"/>
                      <w:bCs/>
                      <w:color w:val="auto"/>
                      <w:sz w:val="18"/>
                      <w:szCs w:val="18"/>
                    </w:rPr>
                  </w:pPr>
                  <w:r>
                    <w:rPr>
                      <w:rFonts w:hint="default" w:ascii="Times New Roman" w:hAnsi="Times New Roman" w:eastAsia="宋体" w:cs="Times New Roman"/>
                      <w:b/>
                      <w:color w:val="auto"/>
                      <w:sz w:val="18"/>
                      <w:szCs w:val="18"/>
                    </w:rPr>
                    <w:t>③生活垃圾：</w:t>
                  </w:r>
                  <w:r>
                    <w:rPr>
                      <w:rFonts w:hint="default" w:ascii="Times New Roman" w:hAnsi="Times New Roman" w:eastAsia="宋体" w:cs="Times New Roman"/>
                      <w:color w:val="auto"/>
                      <w:sz w:val="18"/>
                      <w:szCs w:val="18"/>
                    </w:rPr>
                    <w:t>集中收集后交由环卫部门统一收集处理。</w:t>
                  </w:r>
                </w:p>
              </w:tc>
              <w:tc>
                <w:tcPr>
                  <w:tcW w:w="704" w:type="pct"/>
                  <w:noWrap w:val="0"/>
                  <w:vAlign w:val="center"/>
                </w:tcPr>
                <w:p w14:paraId="3B18B0F7">
                  <w:pPr>
                    <w:spacing w:line="300" w:lineRule="exact"/>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新建</w:t>
                  </w:r>
                </w:p>
              </w:tc>
            </w:tr>
          </w:tbl>
          <w:p w14:paraId="6D4AD06A">
            <w:pPr>
              <w:pStyle w:val="26"/>
              <w:adjustRightInd w:val="0"/>
              <w:snapToGrid w:val="0"/>
              <w:spacing w:before="0" w:beforeAutospacing="0" w:after="0" w:afterAutospacing="0" w:line="360" w:lineRule="auto"/>
              <w:jc w:val="both"/>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2.3.4劳动定员及工作制度</w:t>
            </w:r>
          </w:p>
          <w:p w14:paraId="331B5EEA">
            <w:pPr>
              <w:spacing w:line="360" w:lineRule="auto"/>
              <w:ind w:firstLine="422" w:firstLineChars="200"/>
              <w:outlineLvl w:val="1"/>
              <w:rPr>
                <w:rFonts w:hint="default" w:ascii="Times New Roman" w:hAnsi="Times New Roman" w:cs="Times New Roman"/>
                <w:b/>
                <w:color w:val="auto"/>
                <w:szCs w:val="21"/>
              </w:rPr>
            </w:pPr>
            <w:bookmarkStart w:id="48" w:name="_Toc34490622"/>
            <w:bookmarkStart w:id="49" w:name="_Toc34493759"/>
            <w:bookmarkStart w:id="50" w:name="_Toc34491707"/>
            <w:bookmarkStart w:id="51" w:name="_Toc34494952"/>
            <w:r>
              <w:rPr>
                <w:rFonts w:hint="default" w:ascii="Times New Roman" w:hAnsi="Times New Roman" w:cs="Times New Roman"/>
                <w:b/>
                <w:color w:val="auto"/>
                <w:kern w:val="0"/>
                <w:szCs w:val="21"/>
              </w:rPr>
              <w:t>劳动定员：</w:t>
            </w:r>
            <w:bookmarkEnd w:id="48"/>
            <w:bookmarkEnd w:id="49"/>
            <w:bookmarkEnd w:id="50"/>
            <w:bookmarkEnd w:id="51"/>
            <w:r>
              <w:rPr>
                <w:rFonts w:hint="eastAsia" w:ascii="Times New Roman" w:hAnsi="Times New Roman" w:cs="Times New Roman"/>
                <w:bCs/>
                <w:color w:val="auto"/>
                <w:kern w:val="0"/>
                <w:szCs w:val="21"/>
                <w:lang w:val="en-US" w:eastAsia="zh-CN"/>
              </w:rPr>
              <w:t>本项目劳动定员</w:t>
            </w:r>
            <w:r>
              <w:rPr>
                <w:rFonts w:hint="default" w:ascii="Times New Roman" w:hAnsi="Times New Roman" w:cs="Times New Roman"/>
                <w:bCs/>
                <w:color w:val="auto"/>
                <w:kern w:val="0"/>
                <w:szCs w:val="21"/>
                <w:lang w:val="en-US" w:eastAsia="zh-CN"/>
              </w:rPr>
              <w:t>20人</w:t>
            </w:r>
            <w:r>
              <w:rPr>
                <w:rFonts w:hint="default" w:ascii="Times New Roman" w:hAnsi="Times New Roman" w:cs="Times New Roman"/>
                <w:bCs/>
                <w:color w:val="auto"/>
                <w:kern w:val="0"/>
                <w:szCs w:val="21"/>
              </w:rPr>
              <w:t>，</w:t>
            </w:r>
            <w:r>
              <w:rPr>
                <w:rFonts w:hint="eastAsia" w:ascii="Times New Roman" w:hAnsi="Times New Roman" w:cs="Times New Roman"/>
                <w:bCs/>
                <w:color w:val="auto"/>
                <w:kern w:val="0"/>
                <w:szCs w:val="21"/>
                <w:lang w:val="en-US" w:eastAsia="zh-CN"/>
              </w:rPr>
              <w:t>不设食堂和住宿</w:t>
            </w:r>
            <w:r>
              <w:rPr>
                <w:rFonts w:hint="default" w:ascii="Times New Roman" w:hAnsi="Times New Roman" w:cs="Times New Roman"/>
                <w:bCs/>
                <w:color w:val="auto"/>
                <w:szCs w:val="21"/>
              </w:rPr>
              <w:t>。</w:t>
            </w:r>
          </w:p>
          <w:p w14:paraId="5020A9EE">
            <w:pPr>
              <w:spacing w:line="360" w:lineRule="auto"/>
              <w:ind w:firstLine="422" w:firstLineChars="200"/>
              <w:outlineLvl w:val="1"/>
              <w:rPr>
                <w:rFonts w:hint="default" w:ascii="Times New Roman" w:hAnsi="Times New Roman" w:cs="Times New Roman"/>
                <w:color w:val="auto"/>
                <w:szCs w:val="21"/>
              </w:rPr>
            </w:pPr>
            <w:bookmarkStart w:id="52" w:name="_Toc34493760"/>
            <w:bookmarkStart w:id="53" w:name="_Toc34494953"/>
            <w:bookmarkStart w:id="54" w:name="_Toc34491708"/>
            <w:bookmarkStart w:id="55" w:name="_Toc34490623"/>
            <w:r>
              <w:rPr>
                <w:rFonts w:hint="default" w:ascii="Times New Roman" w:hAnsi="Times New Roman" w:cs="Times New Roman"/>
                <w:b/>
                <w:color w:val="auto"/>
                <w:szCs w:val="21"/>
              </w:rPr>
              <w:t>工作制度：</w:t>
            </w:r>
            <w:r>
              <w:rPr>
                <w:rFonts w:hint="default" w:ascii="Times New Roman" w:hAnsi="Times New Roman" w:cs="Times New Roman"/>
                <w:color w:val="auto"/>
                <w:szCs w:val="21"/>
              </w:rPr>
              <w:t>年工作300天，</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班制，8h/班</w:t>
            </w:r>
            <w:bookmarkEnd w:id="52"/>
            <w:bookmarkEnd w:id="53"/>
            <w:bookmarkEnd w:id="54"/>
            <w:bookmarkEnd w:id="55"/>
            <w:r>
              <w:rPr>
                <w:rFonts w:hint="default" w:ascii="Times New Roman" w:hAnsi="Times New Roman" w:cs="Times New Roman"/>
                <w:color w:val="auto"/>
                <w:szCs w:val="21"/>
              </w:rPr>
              <w:t>。</w:t>
            </w:r>
          </w:p>
          <w:p w14:paraId="305D12B8">
            <w:pPr>
              <w:adjustRightInd w:val="0"/>
              <w:snapToGrid w:val="0"/>
              <w:spacing w:line="360" w:lineRule="auto"/>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2.3.5项目主要生产设备</w:t>
            </w:r>
          </w:p>
          <w:p w14:paraId="0B433AD6">
            <w:pPr>
              <w:adjustRightInd w:val="0"/>
              <w:snapToGrid w:val="0"/>
              <w:ind w:firstLine="422" w:firstLineChars="200"/>
              <w:jc w:val="center"/>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表2-3  本项目主要生产设备一览表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0"/>
              <w:gridCol w:w="2326"/>
              <w:gridCol w:w="2271"/>
              <w:gridCol w:w="1169"/>
              <w:gridCol w:w="1785"/>
            </w:tblGrid>
            <w:tr w14:paraId="6C77F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799E8A2F">
                  <w:pPr>
                    <w:widowControl/>
                    <w:spacing w:line="240" w:lineRule="auto"/>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序号</w:t>
                  </w:r>
                </w:p>
              </w:tc>
              <w:tc>
                <w:tcPr>
                  <w:tcW w:w="1423" w:type="pct"/>
                  <w:noWrap w:val="0"/>
                  <w:vAlign w:val="center"/>
                </w:tcPr>
                <w:p w14:paraId="54899915">
                  <w:pPr>
                    <w:widowControl/>
                    <w:spacing w:line="240" w:lineRule="auto"/>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设备名称</w:t>
                  </w:r>
                </w:p>
              </w:tc>
              <w:tc>
                <w:tcPr>
                  <w:tcW w:w="1389" w:type="pct"/>
                  <w:noWrap w:val="0"/>
                  <w:vAlign w:val="center"/>
                </w:tcPr>
                <w:p w14:paraId="039D8082">
                  <w:pPr>
                    <w:widowControl/>
                    <w:spacing w:line="240" w:lineRule="auto"/>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型号及规格</w:t>
                  </w:r>
                </w:p>
              </w:tc>
              <w:tc>
                <w:tcPr>
                  <w:tcW w:w="715" w:type="pct"/>
                  <w:noWrap w:val="0"/>
                  <w:vAlign w:val="center"/>
                </w:tcPr>
                <w:p w14:paraId="171BF861">
                  <w:pPr>
                    <w:widowControl/>
                    <w:spacing w:line="240" w:lineRule="auto"/>
                    <w:jc w:val="center"/>
                    <w:rPr>
                      <w:rFonts w:hint="default" w:ascii="Times New Roman" w:hAnsi="Times New Roman" w:cs="Times New Roman"/>
                      <w:b/>
                      <w:color w:val="auto"/>
                      <w:kern w:val="0"/>
                      <w:sz w:val="18"/>
                      <w:szCs w:val="18"/>
                    </w:rPr>
                  </w:pPr>
                  <w:r>
                    <w:rPr>
                      <w:rFonts w:hint="eastAsia" w:ascii="Times New Roman" w:hAnsi="Times New Roman" w:cs="Times New Roman"/>
                      <w:b/>
                      <w:color w:val="auto"/>
                      <w:kern w:val="0"/>
                      <w:sz w:val="18"/>
                      <w:szCs w:val="18"/>
                      <w:lang w:val="en-US" w:eastAsia="zh-CN"/>
                    </w:rPr>
                    <w:t>数量</w:t>
                  </w:r>
                  <w:r>
                    <w:rPr>
                      <w:rFonts w:hint="default" w:ascii="Times New Roman" w:hAnsi="Times New Roman" w:cs="Times New Roman"/>
                      <w:b/>
                      <w:color w:val="auto"/>
                      <w:kern w:val="0"/>
                      <w:sz w:val="18"/>
                      <w:szCs w:val="18"/>
                    </w:rPr>
                    <w:t>（台）</w:t>
                  </w:r>
                </w:p>
              </w:tc>
              <w:tc>
                <w:tcPr>
                  <w:tcW w:w="1092" w:type="pct"/>
                  <w:noWrap w:val="0"/>
                  <w:vAlign w:val="center"/>
                </w:tcPr>
                <w:p w14:paraId="1017E4CE">
                  <w:pPr>
                    <w:widowControl/>
                    <w:spacing w:line="240" w:lineRule="auto"/>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用途</w:t>
                  </w:r>
                </w:p>
              </w:tc>
            </w:tr>
            <w:tr w14:paraId="4C17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379" w:type="pct"/>
                  <w:noWrap w:val="0"/>
                  <w:vAlign w:val="center"/>
                </w:tcPr>
                <w:p w14:paraId="757715D1">
                  <w:pPr>
                    <w:spacing w:line="240" w:lineRule="auto"/>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sz w:val="18"/>
                      <w:szCs w:val="18"/>
                    </w:rPr>
                    <w:t>1</w:t>
                  </w:r>
                </w:p>
              </w:tc>
              <w:tc>
                <w:tcPr>
                  <w:tcW w:w="1423" w:type="pct"/>
                  <w:vMerge w:val="restart"/>
                  <w:noWrap w:val="0"/>
                  <w:vAlign w:val="center"/>
                </w:tcPr>
                <w:p w14:paraId="286888B9">
                  <w:pPr>
                    <w:pStyle w:val="113"/>
                    <w:spacing w:line="240" w:lineRule="auto"/>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注塑机</w:t>
                  </w:r>
                </w:p>
              </w:tc>
              <w:tc>
                <w:tcPr>
                  <w:tcW w:w="1389" w:type="pct"/>
                  <w:noWrap w:val="0"/>
                  <w:vAlign w:val="center"/>
                </w:tcPr>
                <w:p w14:paraId="60576AE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MA2000V/750</w:t>
                  </w:r>
                </w:p>
              </w:tc>
              <w:tc>
                <w:tcPr>
                  <w:tcW w:w="715" w:type="pct"/>
                  <w:noWrap w:val="0"/>
                  <w:vAlign w:val="center"/>
                </w:tcPr>
                <w:p w14:paraId="42394FA4">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restart"/>
                  <w:noWrap w:val="0"/>
                  <w:vAlign w:val="center"/>
                </w:tcPr>
                <w:p w14:paraId="68F5EAC8">
                  <w:pPr>
                    <w:widowControl/>
                    <w:spacing w:line="240" w:lineRule="auto"/>
                    <w:jc w:val="center"/>
                    <w:rPr>
                      <w:rFonts w:hint="default" w:ascii="Times New Roman" w:hAnsi="Times New Roman" w:cs="Times New Roman"/>
                      <w:bCs/>
                      <w:color w:val="auto"/>
                      <w:kern w:val="0"/>
                      <w:sz w:val="18"/>
                      <w:szCs w:val="18"/>
                    </w:rPr>
                  </w:pPr>
                  <w:r>
                    <w:rPr>
                      <w:rFonts w:hint="default" w:ascii="Times New Roman" w:hAnsi="Times New Roman" w:eastAsia="宋体" w:cs="Times New Roman"/>
                      <w:bCs/>
                      <w:color w:val="auto"/>
                      <w:kern w:val="0"/>
                      <w:sz w:val="18"/>
                      <w:szCs w:val="18"/>
                      <w:lang w:val="en-US" w:eastAsia="zh-CN" w:bidi="ar-SA"/>
                    </w:rPr>
                    <w:t>进料、加热、注塑成型、冷却、脱模</w:t>
                  </w:r>
                </w:p>
              </w:tc>
            </w:tr>
            <w:tr w14:paraId="05719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379" w:type="pct"/>
                  <w:noWrap w:val="0"/>
                  <w:vAlign w:val="center"/>
                </w:tcPr>
                <w:p w14:paraId="0B5CCE00">
                  <w:pPr>
                    <w:spacing w:line="240" w:lineRule="auto"/>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2</w:t>
                  </w:r>
                </w:p>
              </w:tc>
              <w:tc>
                <w:tcPr>
                  <w:tcW w:w="1423" w:type="pct"/>
                  <w:vMerge w:val="continue"/>
                  <w:noWrap w:val="0"/>
                  <w:vAlign w:val="center"/>
                </w:tcPr>
                <w:p w14:paraId="2925EF40">
                  <w:pPr>
                    <w:pStyle w:val="113"/>
                    <w:spacing w:line="240" w:lineRule="auto"/>
                    <w:jc w:val="center"/>
                    <w:rPr>
                      <w:rFonts w:hint="default" w:ascii="Times New Roman" w:hAnsi="Times New Roman" w:eastAsia="宋体" w:cs="Times New Roman"/>
                      <w:color w:val="auto"/>
                      <w:kern w:val="2"/>
                      <w:sz w:val="18"/>
                      <w:szCs w:val="18"/>
                      <w:lang w:val="en-US" w:eastAsia="zh-CN" w:bidi="ar-SA"/>
                    </w:rPr>
                  </w:pPr>
                </w:p>
              </w:tc>
              <w:tc>
                <w:tcPr>
                  <w:tcW w:w="1389" w:type="pct"/>
                  <w:noWrap w:val="0"/>
                  <w:vAlign w:val="center"/>
                </w:tcPr>
                <w:p w14:paraId="08DEF2F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MA2800V/1350</w:t>
                  </w:r>
                </w:p>
              </w:tc>
              <w:tc>
                <w:tcPr>
                  <w:tcW w:w="715" w:type="pct"/>
                  <w:noWrap w:val="0"/>
                  <w:vAlign w:val="center"/>
                </w:tcPr>
                <w:p w14:paraId="1C6F0FB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7905CBE5">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r>
            <w:tr w14:paraId="41DEF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379" w:type="pct"/>
                  <w:noWrap w:val="0"/>
                  <w:vAlign w:val="center"/>
                </w:tcPr>
                <w:p w14:paraId="3254BFDC">
                  <w:pPr>
                    <w:spacing w:line="240" w:lineRule="auto"/>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3</w:t>
                  </w:r>
                </w:p>
              </w:tc>
              <w:tc>
                <w:tcPr>
                  <w:tcW w:w="1423" w:type="pct"/>
                  <w:vMerge w:val="continue"/>
                  <w:noWrap w:val="0"/>
                  <w:vAlign w:val="center"/>
                </w:tcPr>
                <w:p w14:paraId="00299BFD">
                  <w:pPr>
                    <w:pStyle w:val="113"/>
                    <w:spacing w:line="240" w:lineRule="auto"/>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61000A3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MA3200V/1700</w:t>
                  </w:r>
                </w:p>
              </w:tc>
              <w:tc>
                <w:tcPr>
                  <w:tcW w:w="715" w:type="pct"/>
                  <w:noWrap w:val="0"/>
                  <w:vAlign w:val="center"/>
                </w:tcPr>
                <w:p w14:paraId="00104D40">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92" w:type="pct"/>
                  <w:vMerge w:val="continue"/>
                  <w:noWrap w:val="0"/>
                  <w:vAlign w:val="center"/>
                </w:tcPr>
                <w:p w14:paraId="393AE75F">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r>
            <w:tr w14:paraId="0E676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79" w:type="pct"/>
                  <w:noWrap w:val="0"/>
                  <w:vAlign w:val="center"/>
                </w:tcPr>
                <w:p w14:paraId="1767F8A9">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4</w:t>
                  </w:r>
                </w:p>
              </w:tc>
              <w:tc>
                <w:tcPr>
                  <w:tcW w:w="1423" w:type="pct"/>
                  <w:vMerge w:val="continue"/>
                  <w:noWrap w:val="0"/>
                  <w:vAlign w:val="center"/>
                </w:tcPr>
                <w:p w14:paraId="72182FE4">
                  <w:pPr>
                    <w:pStyle w:val="113"/>
                    <w:spacing w:line="240" w:lineRule="auto"/>
                    <w:jc w:val="center"/>
                    <w:rPr>
                      <w:rFonts w:hint="default" w:ascii="Times New Roman" w:hAnsi="Times New Roman" w:eastAsia="宋体" w:cs="Times New Roman"/>
                      <w:color w:val="auto"/>
                      <w:sz w:val="18"/>
                      <w:szCs w:val="18"/>
                      <w:lang w:val="en-US" w:eastAsia="zh-CN"/>
                    </w:rPr>
                  </w:pPr>
                </w:p>
              </w:tc>
              <w:tc>
                <w:tcPr>
                  <w:tcW w:w="1389" w:type="pct"/>
                  <w:noWrap w:val="0"/>
                  <w:vAlign w:val="center"/>
                </w:tcPr>
                <w:p w14:paraId="2EB53B6B">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MA3800V/2250</w:t>
                  </w:r>
                </w:p>
              </w:tc>
              <w:tc>
                <w:tcPr>
                  <w:tcW w:w="715" w:type="pct"/>
                  <w:noWrap w:val="0"/>
                  <w:vAlign w:val="center"/>
                </w:tcPr>
                <w:p w14:paraId="6A0AB76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42F1C56D">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r>
            <w:tr w14:paraId="64F4B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379" w:type="pct"/>
                  <w:noWrap w:val="0"/>
                  <w:vAlign w:val="center"/>
                </w:tcPr>
                <w:p w14:paraId="7811DEAA">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5</w:t>
                  </w:r>
                </w:p>
              </w:tc>
              <w:tc>
                <w:tcPr>
                  <w:tcW w:w="1423" w:type="pct"/>
                  <w:vMerge w:val="continue"/>
                  <w:noWrap w:val="0"/>
                  <w:vAlign w:val="center"/>
                </w:tcPr>
                <w:p w14:paraId="0F2BCABD">
                  <w:pPr>
                    <w:pStyle w:val="113"/>
                    <w:spacing w:line="240" w:lineRule="auto"/>
                    <w:jc w:val="center"/>
                    <w:rPr>
                      <w:rFonts w:hint="default" w:ascii="Times New Roman" w:hAnsi="Times New Roman" w:eastAsia="宋体" w:cs="Times New Roman"/>
                      <w:color w:val="auto"/>
                      <w:sz w:val="18"/>
                      <w:szCs w:val="18"/>
                      <w:lang w:val="en-US" w:eastAsia="zh-CN"/>
                    </w:rPr>
                  </w:pPr>
                </w:p>
              </w:tc>
              <w:tc>
                <w:tcPr>
                  <w:tcW w:w="1389" w:type="pct"/>
                  <w:noWrap w:val="0"/>
                  <w:vAlign w:val="center"/>
                </w:tcPr>
                <w:p w14:paraId="204173D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MA4700V/3200</w:t>
                  </w:r>
                </w:p>
              </w:tc>
              <w:tc>
                <w:tcPr>
                  <w:tcW w:w="715" w:type="pct"/>
                  <w:noWrap w:val="0"/>
                  <w:vAlign w:val="center"/>
                </w:tcPr>
                <w:p w14:paraId="7FBB042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92" w:type="pct"/>
                  <w:vMerge w:val="continue"/>
                  <w:noWrap w:val="0"/>
                  <w:vAlign w:val="center"/>
                </w:tcPr>
                <w:p w14:paraId="683E20B2">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r>
            <w:tr w14:paraId="6029C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79" w:type="pct"/>
                  <w:noWrap w:val="0"/>
                  <w:vAlign w:val="center"/>
                </w:tcPr>
                <w:p w14:paraId="480F7C19">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6</w:t>
                  </w:r>
                </w:p>
              </w:tc>
              <w:tc>
                <w:tcPr>
                  <w:tcW w:w="1423" w:type="pct"/>
                  <w:vMerge w:val="continue"/>
                  <w:noWrap w:val="0"/>
                  <w:vAlign w:val="center"/>
                </w:tcPr>
                <w:p w14:paraId="2F16B9EB">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7AE8F04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MA5300V/4500</w:t>
                  </w:r>
                </w:p>
              </w:tc>
              <w:tc>
                <w:tcPr>
                  <w:tcW w:w="715" w:type="pct"/>
                  <w:noWrap w:val="0"/>
                  <w:vAlign w:val="center"/>
                </w:tcPr>
                <w:p w14:paraId="6C5CC31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39DFBF4B">
                  <w:pPr>
                    <w:widowControl/>
                    <w:spacing w:line="240" w:lineRule="auto"/>
                    <w:jc w:val="center"/>
                    <w:rPr>
                      <w:rFonts w:hint="default" w:ascii="Times New Roman" w:hAnsi="Times New Roman" w:eastAsia="宋体" w:cs="Times New Roman"/>
                      <w:bCs/>
                      <w:color w:val="auto"/>
                      <w:kern w:val="0"/>
                      <w:sz w:val="18"/>
                      <w:szCs w:val="18"/>
                      <w:lang w:val="en-US" w:eastAsia="zh-CN" w:bidi="ar-SA"/>
                    </w:rPr>
                  </w:pPr>
                </w:p>
              </w:tc>
            </w:tr>
            <w:tr w14:paraId="5DDD5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1DAA3B00">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7</w:t>
                  </w:r>
                </w:p>
              </w:tc>
              <w:tc>
                <w:tcPr>
                  <w:tcW w:w="1423" w:type="pct"/>
                  <w:vMerge w:val="continue"/>
                  <w:noWrap w:val="0"/>
                  <w:vAlign w:val="center"/>
                </w:tcPr>
                <w:p w14:paraId="7A206BF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6B5CF9F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MA6000V/4500</w:t>
                  </w:r>
                </w:p>
              </w:tc>
              <w:tc>
                <w:tcPr>
                  <w:tcW w:w="715" w:type="pct"/>
                  <w:noWrap w:val="0"/>
                  <w:vAlign w:val="center"/>
                </w:tcPr>
                <w:p w14:paraId="463DD1B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w:t>
                  </w:r>
                </w:p>
              </w:tc>
              <w:tc>
                <w:tcPr>
                  <w:tcW w:w="1092" w:type="pct"/>
                  <w:vMerge w:val="continue"/>
                  <w:noWrap w:val="0"/>
                  <w:vAlign w:val="center"/>
                </w:tcPr>
                <w:p w14:paraId="76D0333A">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18"/>
                      <w:szCs w:val="18"/>
                      <w:lang w:val="en-US" w:eastAsia="zh-CN" w:bidi="ar-SA"/>
                    </w:rPr>
                  </w:pPr>
                </w:p>
              </w:tc>
            </w:tr>
            <w:tr w14:paraId="05480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 w:hRule="atLeast"/>
                <w:jc w:val="center"/>
              </w:trPr>
              <w:tc>
                <w:tcPr>
                  <w:tcW w:w="379" w:type="pct"/>
                  <w:noWrap w:val="0"/>
                  <w:vAlign w:val="center"/>
                </w:tcPr>
                <w:p w14:paraId="2EE12DC1">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8</w:t>
                  </w:r>
                </w:p>
              </w:tc>
              <w:tc>
                <w:tcPr>
                  <w:tcW w:w="1423" w:type="pct"/>
                  <w:vMerge w:val="continue"/>
                  <w:noWrap w:val="0"/>
                  <w:vAlign w:val="center"/>
                </w:tcPr>
                <w:p w14:paraId="206EADC0">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50C238DB">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MA6500V/4800</w:t>
                  </w:r>
                </w:p>
              </w:tc>
              <w:tc>
                <w:tcPr>
                  <w:tcW w:w="715" w:type="pct"/>
                  <w:noWrap w:val="0"/>
                  <w:vAlign w:val="center"/>
                </w:tcPr>
                <w:p w14:paraId="069277A0">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78F9CD62">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18"/>
                      <w:szCs w:val="18"/>
                      <w:lang w:val="en-US" w:eastAsia="zh-CN" w:bidi="ar-SA"/>
                    </w:rPr>
                  </w:pPr>
                </w:p>
              </w:tc>
            </w:tr>
            <w:tr w14:paraId="14250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379" w:type="pct"/>
                  <w:noWrap w:val="0"/>
                  <w:vAlign w:val="center"/>
                </w:tcPr>
                <w:p w14:paraId="5EB0E9CC">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9</w:t>
                  </w:r>
                </w:p>
              </w:tc>
              <w:tc>
                <w:tcPr>
                  <w:tcW w:w="1423" w:type="pct"/>
                  <w:vMerge w:val="continue"/>
                  <w:noWrap w:val="0"/>
                  <w:vAlign w:val="center"/>
                </w:tcPr>
                <w:p w14:paraId="4C3ADDE9">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0AA82AB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MA7000V/5000</w:t>
                  </w:r>
                </w:p>
              </w:tc>
              <w:tc>
                <w:tcPr>
                  <w:tcW w:w="715" w:type="pct"/>
                  <w:noWrap w:val="0"/>
                  <w:vAlign w:val="center"/>
                </w:tcPr>
                <w:p w14:paraId="2E49C890">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1D02C410">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18"/>
                      <w:szCs w:val="18"/>
                      <w:lang w:val="en-US" w:eastAsia="zh-CN" w:bidi="ar-SA"/>
                    </w:rPr>
                  </w:pPr>
                </w:p>
              </w:tc>
            </w:tr>
            <w:tr w14:paraId="50E91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379" w:type="pct"/>
                  <w:noWrap w:val="0"/>
                  <w:vAlign w:val="center"/>
                </w:tcPr>
                <w:p w14:paraId="3256B4E9">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10</w:t>
                  </w:r>
                </w:p>
              </w:tc>
              <w:tc>
                <w:tcPr>
                  <w:tcW w:w="1423" w:type="pct"/>
                  <w:vMerge w:val="continue"/>
                  <w:noWrap w:val="0"/>
                  <w:vAlign w:val="center"/>
                </w:tcPr>
                <w:p w14:paraId="76221DB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653F7F6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MA8000V/6800</w:t>
                  </w:r>
                </w:p>
              </w:tc>
              <w:tc>
                <w:tcPr>
                  <w:tcW w:w="715" w:type="pct"/>
                  <w:noWrap w:val="0"/>
                  <w:vAlign w:val="center"/>
                </w:tcPr>
                <w:p w14:paraId="2114327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1E23E793">
                  <w:pPr>
                    <w:widowControl/>
                    <w:spacing w:line="240" w:lineRule="auto"/>
                    <w:jc w:val="center"/>
                    <w:rPr>
                      <w:rFonts w:hint="default" w:ascii="Times New Roman" w:hAnsi="Times New Roman" w:eastAsia="宋体" w:cs="Times New Roman"/>
                      <w:bCs/>
                      <w:color w:val="auto"/>
                      <w:kern w:val="0"/>
                      <w:sz w:val="18"/>
                      <w:szCs w:val="18"/>
                      <w:lang w:val="en-US" w:eastAsia="zh-CN" w:bidi="ar-SA"/>
                    </w:rPr>
                  </w:pPr>
                </w:p>
              </w:tc>
            </w:tr>
            <w:tr w14:paraId="2A7A2D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17A33899">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11</w:t>
                  </w:r>
                </w:p>
              </w:tc>
              <w:tc>
                <w:tcPr>
                  <w:tcW w:w="1423" w:type="pct"/>
                  <w:vMerge w:val="continue"/>
                  <w:noWrap w:val="0"/>
                  <w:vAlign w:val="center"/>
                </w:tcPr>
                <w:p w14:paraId="69AE966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45C75F3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MA9000V/6800</w:t>
                  </w:r>
                </w:p>
              </w:tc>
              <w:tc>
                <w:tcPr>
                  <w:tcW w:w="715" w:type="pct"/>
                  <w:noWrap w:val="0"/>
                  <w:vAlign w:val="center"/>
                </w:tcPr>
                <w:p w14:paraId="121C598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2" w:type="pct"/>
                  <w:vMerge w:val="continue"/>
                  <w:noWrap w:val="0"/>
                  <w:vAlign w:val="center"/>
                </w:tcPr>
                <w:p w14:paraId="4E285E74">
                  <w:pPr>
                    <w:widowControl/>
                    <w:spacing w:line="240" w:lineRule="auto"/>
                    <w:jc w:val="center"/>
                    <w:rPr>
                      <w:rFonts w:hint="default" w:ascii="Times New Roman" w:hAnsi="Times New Roman" w:eastAsia="宋体" w:cs="Times New Roman"/>
                      <w:color w:val="auto"/>
                      <w:kern w:val="0"/>
                      <w:sz w:val="18"/>
                      <w:szCs w:val="18"/>
                      <w:lang w:val="en-US" w:eastAsia="zh-TW" w:bidi="ar"/>
                    </w:rPr>
                  </w:pPr>
                </w:p>
              </w:tc>
            </w:tr>
            <w:tr w14:paraId="06212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5156C8EE">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12</w:t>
                  </w:r>
                </w:p>
              </w:tc>
              <w:tc>
                <w:tcPr>
                  <w:tcW w:w="1423" w:type="pct"/>
                  <w:vMerge w:val="continue"/>
                  <w:noWrap w:val="0"/>
                  <w:vAlign w:val="center"/>
                </w:tcPr>
                <w:p w14:paraId="366ED06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537030E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MA10000V/8400</w:t>
                  </w:r>
                </w:p>
              </w:tc>
              <w:tc>
                <w:tcPr>
                  <w:tcW w:w="715" w:type="pct"/>
                  <w:noWrap w:val="0"/>
                  <w:vAlign w:val="center"/>
                </w:tcPr>
                <w:p w14:paraId="79294072">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92" w:type="pct"/>
                  <w:vMerge w:val="continue"/>
                  <w:noWrap w:val="0"/>
                  <w:vAlign w:val="center"/>
                </w:tcPr>
                <w:p w14:paraId="51D46FCF">
                  <w:pPr>
                    <w:widowControl/>
                    <w:spacing w:line="240" w:lineRule="auto"/>
                    <w:jc w:val="center"/>
                    <w:rPr>
                      <w:rFonts w:hint="default" w:ascii="Times New Roman" w:hAnsi="Times New Roman" w:eastAsia="宋体" w:cs="Times New Roman"/>
                      <w:color w:val="auto"/>
                      <w:kern w:val="0"/>
                      <w:sz w:val="18"/>
                      <w:szCs w:val="18"/>
                      <w:lang w:val="en-US" w:eastAsia="zh-TW" w:bidi="ar"/>
                    </w:rPr>
                  </w:pPr>
                </w:p>
              </w:tc>
            </w:tr>
            <w:tr w14:paraId="19ADB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4E66F166">
                  <w:pPr>
                    <w:spacing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13</w:t>
                  </w:r>
                </w:p>
              </w:tc>
              <w:tc>
                <w:tcPr>
                  <w:tcW w:w="1423" w:type="pct"/>
                  <w:vMerge w:val="continue"/>
                  <w:noWrap w:val="0"/>
                  <w:vAlign w:val="center"/>
                </w:tcPr>
                <w:p w14:paraId="76DAFB9F">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p>
              </w:tc>
              <w:tc>
                <w:tcPr>
                  <w:tcW w:w="1389" w:type="pct"/>
                  <w:noWrap w:val="0"/>
                  <w:vAlign w:val="center"/>
                </w:tcPr>
                <w:p w14:paraId="72D2BE4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MA12000V/8400</w:t>
                  </w:r>
                </w:p>
              </w:tc>
              <w:tc>
                <w:tcPr>
                  <w:tcW w:w="715" w:type="pct"/>
                  <w:noWrap w:val="0"/>
                  <w:vAlign w:val="center"/>
                </w:tcPr>
                <w:p w14:paraId="38C3D9D2">
                  <w:pPr>
                    <w:keepNext w:val="0"/>
                    <w:keepLines w:val="0"/>
                    <w:widowControl/>
                    <w:suppressLineNumbers w:val="0"/>
                    <w:jc w:val="center"/>
                    <w:textAlignment w:val="center"/>
                    <w:rPr>
                      <w:rFonts w:hint="eastAsia" w:ascii="Times New Roman" w:hAnsi="Times New Roman"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92" w:type="pct"/>
                  <w:vMerge w:val="continue"/>
                  <w:noWrap w:val="0"/>
                  <w:vAlign w:val="center"/>
                </w:tcPr>
                <w:p w14:paraId="206990A3">
                  <w:pPr>
                    <w:widowControl/>
                    <w:spacing w:line="240" w:lineRule="auto"/>
                    <w:jc w:val="center"/>
                    <w:rPr>
                      <w:rFonts w:hint="default" w:ascii="Times New Roman" w:hAnsi="Times New Roman" w:eastAsia="宋体" w:cs="Times New Roman"/>
                      <w:color w:val="auto"/>
                      <w:kern w:val="0"/>
                      <w:sz w:val="18"/>
                      <w:szCs w:val="18"/>
                      <w:lang w:val="en-US" w:eastAsia="zh-TW" w:bidi="ar"/>
                    </w:rPr>
                  </w:pPr>
                </w:p>
              </w:tc>
            </w:tr>
            <w:tr w14:paraId="03755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379" w:type="pct"/>
                  <w:noWrap w:val="0"/>
                  <w:vAlign w:val="center"/>
                </w:tcPr>
                <w:p w14:paraId="7A1906DF">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14</w:t>
                  </w:r>
                </w:p>
              </w:tc>
              <w:tc>
                <w:tcPr>
                  <w:tcW w:w="1423" w:type="pct"/>
                  <w:noWrap w:val="0"/>
                  <w:vAlign w:val="center"/>
                </w:tcPr>
                <w:p w14:paraId="5230912F">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空压机</w:t>
                  </w:r>
                </w:p>
              </w:tc>
              <w:tc>
                <w:tcPr>
                  <w:tcW w:w="1389" w:type="pct"/>
                  <w:noWrap w:val="0"/>
                  <w:vAlign w:val="center"/>
                </w:tcPr>
                <w:p w14:paraId="782E1ADC">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eastAsia="zh-CN"/>
                    </w:rPr>
                    <w:t>21kW</w:t>
                  </w:r>
                  <w:r>
                    <w:rPr>
                      <w:rFonts w:hint="eastAsia"/>
                      <w:color w:val="auto"/>
                      <w:sz w:val="18"/>
                      <w:szCs w:val="18"/>
                    </w:rPr>
                    <w:t>/2.4m</w:t>
                  </w:r>
                  <w:r>
                    <w:rPr>
                      <w:rFonts w:hint="eastAsia"/>
                      <w:color w:val="auto"/>
                      <w:sz w:val="18"/>
                      <w:szCs w:val="18"/>
                      <w:vertAlign w:val="superscript"/>
                    </w:rPr>
                    <w:t>3</w:t>
                  </w:r>
                </w:p>
              </w:tc>
              <w:tc>
                <w:tcPr>
                  <w:tcW w:w="715" w:type="pct"/>
                  <w:noWrap w:val="0"/>
                  <w:vAlign w:val="center"/>
                </w:tcPr>
                <w:p w14:paraId="0A99F8A3">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1</w:t>
                  </w:r>
                </w:p>
              </w:tc>
              <w:tc>
                <w:tcPr>
                  <w:tcW w:w="1092" w:type="pct"/>
                  <w:noWrap w:val="0"/>
                  <w:vAlign w:val="center"/>
                </w:tcPr>
                <w:p w14:paraId="0EA93006">
                  <w:pPr>
                    <w:jc w:val="center"/>
                    <w:rPr>
                      <w:rFonts w:hint="default" w:ascii="Times New Roman" w:hAnsi="Times New Roman" w:eastAsia="宋体" w:cs="Times New Roman"/>
                      <w:color w:val="auto"/>
                      <w:kern w:val="2"/>
                      <w:sz w:val="18"/>
                      <w:szCs w:val="18"/>
                      <w:lang w:val="en-US" w:eastAsia="zh-TW" w:bidi="ar-SA"/>
                    </w:rPr>
                  </w:pPr>
                  <w:r>
                    <w:rPr>
                      <w:rFonts w:hint="default" w:ascii="Times New Roman" w:hAnsi="Times New Roman" w:cs="Times New Roman"/>
                      <w:bCs/>
                      <w:color w:val="auto"/>
                      <w:kern w:val="0"/>
                      <w:sz w:val="18"/>
                      <w:szCs w:val="18"/>
                      <w:lang w:val="en-US" w:eastAsia="zh-CN"/>
                    </w:rPr>
                    <w:t>辅助动力</w:t>
                  </w:r>
                </w:p>
              </w:tc>
            </w:tr>
            <w:tr w14:paraId="1AAA7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2B1418DC">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15</w:t>
                  </w:r>
                </w:p>
              </w:tc>
              <w:tc>
                <w:tcPr>
                  <w:tcW w:w="1423" w:type="pct"/>
                  <w:noWrap w:val="0"/>
                  <w:vAlign w:val="center"/>
                </w:tcPr>
                <w:p w14:paraId="0CD1AA64">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破碎机</w:t>
                  </w:r>
                </w:p>
              </w:tc>
              <w:tc>
                <w:tcPr>
                  <w:tcW w:w="1389" w:type="pct"/>
                  <w:noWrap w:val="0"/>
                  <w:vAlign w:val="center"/>
                </w:tcPr>
                <w:p w14:paraId="3668D0F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强力600</w:t>
                  </w:r>
                </w:p>
              </w:tc>
              <w:tc>
                <w:tcPr>
                  <w:tcW w:w="715" w:type="pct"/>
                  <w:noWrap w:val="0"/>
                  <w:vAlign w:val="center"/>
                </w:tcPr>
                <w:p w14:paraId="73C89516">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1</w:t>
                  </w:r>
                </w:p>
              </w:tc>
              <w:tc>
                <w:tcPr>
                  <w:tcW w:w="1092" w:type="pct"/>
                  <w:noWrap w:val="0"/>
                  <w:vAlign w:val="center"/>
                </w:tcPr>
                <w:p w14:paraId="53E0BF6F">
                  <w:pPr>
                    <w:jc w:val="center"/>
                    <w:rPr>
                      <w:rFonts w:hint="default" w:ascii="Times New Roman" w:hAnsi="Times New Roman" w:eastAsia="宋体" w:cs="Times New Roman"/>
                      <w:color w:val="auto"/>
                      <w:kern w:val="2"/>
                      <w:sz w:val="18"/>
                      <w:szCs w:val="18"/>
                      <w:lang w:val="en-US" w:eastAsia="zh-TW" w:bidi="ar-SA"/>
                    </w:rPr>
                  </w:pPr>
                  <w:r>
                    <w:rPr>
                      <w:rFonts w:hint="eastAsia" w:ascii="Times New Roman" w:hAnsi="Times New Roman" w:cs="Times New Roman"/>
                      <w:bCs/>
                      <w:color w:val="auto"/>
                      <w:kern w:val="0"/>
                      <w:sz w:val="18"/>
                      <w:szCs w:val="18"/>
                      <w:lang w:val="en-US" w:eastAsia="zh-CN"/>
                    </w:rPr>
                    <w:t>废</w:t>
                  </w:r>
                  <w:r>
                    <w:rPr>
                      <w:rFonts w:hint="default" w:ascii="Times New Roman" w:hAnsi="Times New Roman" w:cs="Times New Roman"/>
                      <w:bCs/>
                      <w:color w:val="auto"/>
                      <w:kern w:val="0"/>
                      <w:sz w:val="18"/>
                      <w:szCs w:val="18"/>
                      <w:lang w:val="en-US" w:eastAsia="zh-CN"/>
                    </w:rPr>
                    <w:t>料破碎</w:t>
                  </w:r>
                </w:p>
              </w:tc>
            </w:tr>
            <w:tr w14:paraId="4BCED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379" w:type="pct"/>
                  <w:noWrap w:val="0"/>
                  <w:vAlign w:val="center"/>
                </w:tcPr>
                <w:p w14:paraId="4545C98B">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16</w:t>
                  </w:r>
                </w:p>
              </w:tc>
              <w:tc>
                <w:tcPr>
                  <w:tcW w:w="1423" w:type="pct"/>
                  <w:noWrap w:val="0"/>
                  <w:vAlign w:val="center"/>
                </w:tcPr>
                <w:p w14:paraId="6962ECA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冷却塔</w:t>
                  </w:r>
                </w:p>
              </w:tc>
              <w:tc>
                <w:tcPr>
                  <w:tcW w:w="1389" w:type="pct"/>
                  <w:noWrap w:val="0"/>
                  <w:vAlign w:val="center"/>
                </w:tcPr>
                <w:p w14:paraId="0ABA87F5">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10t/h</w:t>
                  </w:r>
                </w:p>
              </w:tc>
              <w:tc>
                <w:tcPr>
                  <w:tcW w:w="715" w:type="pct"/>
                  <w:noWrap w:val="0"/>
                  <w:vAlign w:val="center"/>
                </w:tcPr>
                <w:p w14:paraId="05018FEB">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1092" w:type="pct"/>
                  <w:noWrap w:val="0"/>
                  <w:vAlign w:val="center"/>
                </w:tcPr>
                <w:p w14:paraId="778F3065">
                  <w:pPr>
                    <w:widowControl/>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注塑机</w:t>
                  </w:r>
                  <w:r>
                    <w:rPr>
                      <w:rFonts w:hint="eastAsia" w:ascii="Times New Roman" w:hAnsi="Times New Roman" w:cs="Times New Roman"/>
                      <w:bCs/>
                      <w:color w:val="auto"/>
                      <w:kern w:val="0"/>
                      <w:sz w:val="18"/>
                      <w:szCs w:val="18"/>
                      <w:lang w:val="en-US" w:eastAsia="zh-CN"/>
                    </w:rPr>
                    <w:t>模具</w:t>
                  </w:r>
                  <w:r>
                    <w:rPr>
                      <w:rFonts w:hint="default" w:ascii="Times New Roman" w:hAnsi="Times New Roman" w:cs="Times New Roman"/>
                      <w:bCs/>
                      <w:color w:val="auto"/>
                      <w:kern w:val="0"/>
                      <w:sz w:val="18"/>
                      <w:szCs w:val="18"/>
                      <w:lang w:val="en-US" w:eastAsia="zh-CN"/>
                    </w:rPr>
                    <w:t>冷却</w:t>
                  </w:r>
                </w:p>
              </w:tc>
            </w:tr>
            <w:tr w14:paraId="479CD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9" w:type="pct"/>
                  <w:noWrap w:val="0"/>
                  <w:vAlign w:val="center"/>
                </w:tcPr>
                <w:p w14:paraId="44C73C62">
                  <w:pPr>
                    <w:spacing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bCs/>
                      <w:color w:val="auto"/>
                      <w:kern w:val="0"/>
                      <w:sz w:val="18"/>
                      <w:szCs w:val="18"/>
                      <w:lang w:val="en-US" w:eastAsia="zh-CN"/>
                    </w:rPr>
                    <w:t>17</w:t>
                  </w:r>
                </w:p>
              </w:tc>
              <w:tc>
                <w:tcPr>
                  <w:tcW w:w="1423" w:type="pct"/>
                  <w:noWrap w:val="0"/>
                  <w:vAlign w:val="center"/>
                </w:tcPr>
                <w:p w14:paraId="20004523">
                  <w:pPr>
                    <w:pStyle w:val="113"/>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风机</w:t>
                  </w:r>
                </w:p>
              </w:tc>
              <w:tc>
                <w:tcPr>
                  <w:tcW w:w="1389" w:type="pct"/>
                  <w:noWrap w:val="0"/>
                  <w:vAlign w:val="center"/>
                </w:tcPr>
                <w:p w14:paraId="0EEFD430">
                  <w:pPr>
                    <w:widowControl/>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val="en-US" w:eastAsia="zh-CN"/>
                    </w:rPr>
                    <w:t>6</w:t>
                  </w:r>
                  <w:r>
                    <w:rPr>
                      <w:rFonts w:hint="default" w:ascii="Times New Roman" w:hAnsi="Times New Roman" w:cs="Times New Roman"/>
                      <w:color w:val="auto"/>
                      <w:sz w:val="18"/>
                      <w:szCs w:val="18"/>
                    </w:rPr>
                    <w:t>000m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15" w:type="pct"/>
                  <w:noWrap w:val="0"/>
                  <w:vAlign w:val="center"/>
                </w:tcPr>
                <w:p w14:paraId="1396942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1</w:t>
                  </w:r>
                </w:p>
              </w:tc>
              <w:tc>
                <w:tcPr>
                  <w:tcW w:w="1092" w:type="pct"/>
                  <w:noWrap w:val="0"/>
                  <w:vAlign w:val="center"/>
                </w:tcPr>
                <w:p w14:paraId="779D6A9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废气处理设施</w:t>
                  </w:r>
                </w:p>
              </w:tc>
            </w:tr>
          </w:tbl>
          <w:p w14:paraId="7C358C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经查以上设备不属于《产业结构</w:t>
            </w:r>
            <w:r>
              <w:rPr>
                <w:rFonts w:hint="default" w:ascii="Times New Roman" w:hAnsi="Times New Roman" w:eastAsia="宋体" w:cs="Times New Roman"/>
                <w:color w:val="auto"/>
                <w:sz w:val="21"/>
                <w:szCs w:val="21"/>
                <w:lang w:eastAsia="zh-CN"/>
              </w:rPr>
              <w:t>调整</w:t>
            </w:r>
            <w:r>
              <w:rPr>
                <w:rFonts w:hint="default" w:ascii="Times New Roman" w:hAnsi="Times New Roman" w:eastAsia="宋体" w:cs="Times New Roman"/>
                <w:color w:val="auto"/>
                <w:sz w:val="21"/>
                <w:szCs w:val="21"/>
              </w:rPr>
              <w:t>指导目录（</w:t>
            </w:r>
            <w:r>
              <w:rPr>
                <w:rFonts w:hint="default" w:ascii="Times New Roman" w:hAnsi="Times New Roman" w:eastAsia="宋体" w:cs="Times New Roman"/>
                <w:color w:val="auto"/>
                <w:sz w:val="21"/>
                <w:szCs w:val="21"/>
                <w:lang w:eastAsia="zh-CN"/>
              </w:rPr>
              <w:t>2024年本）</w:t>
            </w:r>
            <w:r>
              <w:rPr>
                <w:rFonts w:hint="default" w:ascii="Times New Roman" w:hAnsi="Times New Roman" w:eastAsia="宋体" w:cs="Times New Roman"/>
                <w:color w:val="auto"/>
                <w:sz w:val="21"/>
                <w:szCs w:val="21"/>
              </w:rPr>
              <w:t>》淘汰设备</w:t>
            </w:r>
            <w:r>
              <w:rPr>
                <w:rFonts w:hint="default" w:ascii="Times New Roman" w:hAnsi="Times New Roman" w:eastAsia="宋体" w:cs="Times New Roman"/>
                <w:color w:val="auto"/>
                <w:sz w:val="21"/>
                <w:szCs w:val="21"/>
                <w:lang w:eastAsia="zh-CN"/>
              </w:rPr>
              <w:t>。</w:t>
            </w:r>
          </w:p>
          <w:p w14:paraId="0E559D27">
            <w:pPr>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rPr>
              <w:t>设备产能匹配性</w:t>
            </w:r>
            <w:r>
              <w:rPr>
                <w:rFonts w:hint="eastAsia" w:cs="Times New Roman"/>
                <w:b/>
                <w:bCs/>
                <w:color w:val="auto"/>
                <w:lang w:eastAsia="zh-CN"/>
              </w:rPr>
              <w:t>分析</w:t>
            </w:r>
            <w:r>
              <w:rPr>
                <w:rFonts w:hint="default" w:ascii="Times New Roman" w:hAnsi="Times New Roman" w:cs="Times New Roman"/>
                <w:b/>
                <w:bCs/>
                <w:color w:val="auto"/>
              </w:rPr>
              <w:t>：</w:t>
            </w:r>
          </w:p>
          <w:p w14:paraId="6191CBB6">
            <w:pPr>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rPr>
              <w:t>根据生产工艺可知，本项目</w:t>
            </w:r>
            <w:r>
              <w:rPr>
                <w:rFonts w:hint="default" w:ascii="Times New Roman" w:hAnsi="Times New Roman" w:cs="Times New Roman"/>
                <w:color w:val="auto"/>
                <w:lang w:eastAsia="zh-CN"/>
              </w:rPr>
              <w:t>产能主要由注塑出</w:t>
            </w:r>
            <w:r>
              <w:rPr>
                <w:rFonts w:hint="default" w:ascii="Times New Roman" w:hAnsi="Times New Roman" w:cs="Times New Roman"/>
                <w:color w:val="auto"/>
                <w:highlight w:val="none"/>
                <w:lang w:eastAsia="zh-CN"/>
              </w:rPr>
              <w:t>模时间决定，本项目各产品与设备之间的产能核算</w:t>
            </w:r>
            <w:r>
              <w:rPr>
                <w:rFonts w:hint="default" w:ascii="Times New Roman" w:hAnsi="Times New Roman" w:cs="Times New Roman"/>
                <w:color w:val="auto"/>
                <w:highlight w:val="none"/>
              </w:rPr>
              <w:t>见下表。</w:t>
            </w:r>
          </w:p>
          <w:p w14:paraId="076AE9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default" w:ascii="Times New Roman" w:hAnsi="Times New Roman" w:cs="Times New Roman"/>
                <w:b/>
                <w:bCs/>
                <w:color w:val="auto"/>
                <w:highlight w:val="none"/>
                <w:lang w:val="en-US" w:eastAsia="zh-CN"/>
              </w:rPr>
              <w:t xml:space="preserve">4  </w:t>
            </w:r>
            <w:r>
              <w:rPr>
                <w:rFonts w:hint="default" w:ascii="Times New Roman" w:hAnsi="Times New Roman" w:cs="Times New Roman"/>
                <w:b/>
                <w:bCs/>
                <w:color w:val="auto"/>
                <w:highlight w:val="none"/>
              </w:rPr>
              <w:t>设备产能匹配性分析情况一览表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24"/>
              <w:gridCol w:w="847"/>
              <w:gridCol w:w="1772"/>
              <w:gridCol w:w="1537"/>
              <w:gridCol w:w="1164"/>
              <w:gridCol w:w="1098"/>
            </w:tblGrid>
            <w:tr w14:paraId="1803C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tcBorders>
                    <w:tl2br w:val="nil"/>
                    <w:tr2bl w:val="nil"/>
                  </w:tcBorders>
                  <w:noWrap w:val="0"/>
                  <w:vAlign w:val="center"/>
                </w:tcPr>
                <w:p w14:paraId="0ECD0AE3">
                  <w:pPr>
                    <w:pStyle w:val="99"/>
                    <w:rPr>
                      <w:rFonts w:ascii="Times New Roman" w:hAnsi="Times New Roman"/>
                      <w:color w:val="auto"/>
                      <w:sz w:val="18"/>
                      <w:szCs w:val="18"/>
                    </w:rPr>
                  </w:pPr>
                  <w:r>
                    <w:rPr>
                      <w:rFonts w:ascii="Times New Roman" w:hAnsi="Times New Roman"/>
                      <w:color w:val="auto"/>
                      <w:sz w:val="18"/>
                      <w:szCs w:val="18"/>
                    </w:rPr>
                    <w:t>序号</w:t>
                  </w:r>
                </w:p>
              </w:tc>
              <w:tc>
                <w:tcPr>
                  <w:tcW w:w="810" w:type="pct"/>
                  <w:tcBorders>
                    <w:tl2br w:val="nil"/>
                    <w:tr2bl w:val="nil"/>
                  </w:tcBorders>
                  <w:noWrap w:val="0"/>
                  <w:vAlign w:val="center"/>
                </w:tcPr>
                <w:p w14:paraId="44FBE96C">
                  <w:pPr>
                    <w:pStyle w:val="99"/>
                    <w:rPr>
                      <w:rFonts w:ascii="Times New Roman" w:hAnsi="Times New Roman"/>
                      <w:color w:val="auto"/>
                      <w:sz w:val="18"/>
                      <w:szCs w:val="18"/>
                    </w:rPr>
                  </w:pPr>
                  <w:r>
                    <w:rPr>
                      <w:rFonts w:ascii="Times New Roman" w:hAnsi="Times New Roman"/>
                      <w:color w:val="auto"/>
                      <w:sz w:val="18"/>
                      <w:szCs w:val="18"/>
                    </w:rPr>
                    <w:t>设备名称</w:t>
                  </w:r>
                </w:p>
              </w:tc>
              <w:tc>
                <w:tcPr>
                  <w:tcW w:w="518" w:type="pct"/>
                  <w:tcBorders>
                    <w:tl2br w:val="nil"/>
                    <w:tr2bl w:val="nil"/>
                  </w:tcBorders>
                  <w:noWrap w:val="0"/>
                  <w:vAlign w:val="center"/>
                </w:tcPr>
                <w:p w14:paraId="392C9BE9">
                  <w:pPr>
                    <w:pStyle w:val="99"/>
                    <w:rPr>
                      <w:rFonts w:hint="eastAsia" w:ascii="Times New Roman" w:hAnsi="Times New Roman" w:eastAsia="宋体"/>
                      <w:color w:val="auto"/>
                      <w:sz w:val="18"/>
                      <w:szCs w:val="18"/>
                      <w:lang w:eastAsia="zh-CN"/>
                    </w:rPr>
                  </w:pPr>
                  <w:r>
                    <w:rPr>
                      <w:rFonts w:ascii="Times New Roman" w:hAnsi="Times New Roman"/>
                      <w:color w:val="auto"/>
                      <w:sz w:val="18"/>
                      <w:szCs w:val="18"/>
                    </w:rPr>
                    <w:t>数量</w:t>
                  </w:r>
                  <w:r>
                    <w:rPr>
                      <w:rFonts w:hint="eastAsia" w:ascii="Times New Roman" w:hAnsi="Times New Roman"/>
                      <w:color w:val="auto"/>
                      <w:sz w:val="18"/>
                      <w:szCs w:val="18"/>
                      <w:lang w:eastAsia="zh-CN"/>
                    </w:rPr>
                    <w:t>（台）</w:t>
                  </w:r>
                </w:p>
              </w:tc>
              <w:tc>
                <w:tcPr>
                  <w:tcW w:w="1084" w:type="pct"/>
                  <w:tcBorders>
                    <w:tl2br w:val="nil"/>
                    <w:tr2bl w:val="nil"/>
                  </w:tcBorders>
                  <w:noWrap w:val="0"/>
                  <w:vAlign w:val="center"/>
                </w:tcPr>
                <w:p w14:paraId="6FE71C3B">
                  <w:pPr>
                    <w:pStyle w:val="99"/>
                    <w:rPr>
                      <w:rFonts w:ascii="Times New Roman" w:hAnsi="Times New Roman"/>
                      <w:color w:val="auto"/>
                      <w:sz w:val="18"/>
                      <w:szCs w:val="18"/>
                    </w:rPr>
                  </w:pPr>
                  <w:r>
                    <w:rPr>
                      <w:rFonts w:ascii="Times New Roman" w:hAnsi="Times New Roman"/>
                      <w:color w:val="auto"/>
                      <w:sz w:val="18"/>
                      <w:szCs w:val="18"/>
                    </w:rPr>
                    <w:t>型号/</w:t>
                  </w:r>
                </w:p>
                <w:p w14:paraId="725146E9">
                  <w:pPr>
                    <w:pStyle w:val="99"/>
                    <w:rPr>
                      <w:rFonts w:ascii="Times New Roman" w:hAnsi="Times New Roman"/>
                      <w:color w:val="auto"/>
                      <w:sz w:val="18"/>
                      <w:szCs w:val="18"/>
                    </w:rPr>
                  </w:pPr>
                  <w:r>
                    <w:rPr>
                      <w:rFonts w:ascii="Times New Roman" w:hAnsi="Times New Roman"/>
                      <w:color w:val="auto"/>
                      <w:sz w:val="18"/>
                      <w:szCs w:val="18"/>
                    </w:rPr>
                    <w:t>规格</w:t>
                  </w:r>
                </w:p>
              </w:tc>
              <w:tc>
                <w:tcPr>
                  <w:tcW w:w="940" w:type="pct"/>
                  <w:tcBorders>
                    <w:tl2br w:val="nil"/>
                    <w:tr2bl w:val="nil"/>
                  </w:tcBorders>
                  <w:noWrap w:val="0"/>
                  <w:vAlign w:val="center"/>
                </w:tcPr>
                <w:p w14:paraId="4D204590">
                  <w:pPr>
                    <w:pStyle w:val="99"/>
                    <w:rPr>
                      <w:rFonts w:ascii="Times New Roman" w:hAnsi="Times New Roman"/>
                      <w:color w:val="auto"/>
                      <w:sz w:val="18"/>
                      <w:szCs w:val="18"/>
                    </w:rPr>
                  </w:pPr>
                  <w:r>
                    <w:rPr>
                      <w:rFonts w:ascii="Times New Roman" w:hAnsi="Times New Roman"/>
                      <w:color w:val="auto"/>
                      <w:sz w:val="18"/>
                      <w:szCs w:val="18"/>
                    </w:rPr>
                    <w:t>注塑机树脂最大使用量kg/</w:t>
                  </w:r>
                  <w:r>
                    <w:rPr>
                      <w:rFonts w:hint="eastAsia"/>
                      <w:color w:val="auto"/>
                      <w:sz w:val="18"/>
                      <w:szCs w:val="18"/>
                      <w:lang w:eastAsia="zh-CN"/>
                    </w:rPr>
                    <w:t>（</w:t>
                  </w:r>
                  <w:r>
                    <w:rPr>
                      <w:rFonts w:ascii="Times New Roman" w:hAnsi="Times New Roman"/>
                      <w:color w:val="auto"/>
                      <w:sz w:val="18"/>
                      <w:szCs w:val="18"/>
                    </w:rPr>
                    <w:t>h·台</w:t>
                  </w:r>
                  <w:r>
                    <w:rPr>
                      <w:rFonts w:hint="eastAsia" w:ascii="Times New Roman" w:hAnsi="Times New Roman"/>
                      <w:color w:val="auto"/>
                      <w:sz w:val="18"/>
                      <w:szCs w:val="18"/>
                      <w:lang w:eastAsia="zh-CN"/>
                    </w:rPr>
                    <w:t>）</w:t>
                  </w:r>
                </w:p>
              </w:tc>
              <w:tc>
                <w:tcPr>
                  <w:tcW w:w="712" w:type="pct"/>
                  <w:tcBorders>
                    <w:tl2br w:val="nil"/>
                    <w:tr2bl w:val="nil"/>
                  </w:tcBorders>
                  <w:noWrap w:val="0"/>
                  <w:vAlign w:val="center"/>
                </w:tcPr>
                <w:p w14:paraId="0A584434">
                  <w:pPr>
                    <w:pStyle w:val="99"/>
                    <w:rPr>
                      <w:rFonts w:ascii="Times New Roman" w:hAnsi="Times New Roman"/>
                      <w:color w:val="auto"/>
                      <w:sz w:val="18"/>
                      <w:szCs w:val="18"/>
                    </w:rPr>
                  </w:pPr>
                  <w:r>
                    <w:rPr>
                      <w:rFonts w:ascii="Times New Roman" w:hAnsi="Times New Roman"/>
                      <w:color w:val="auto"/>
                      <w:sz w:val="18"/>
                      <w:szCs w:val="18"/>
                    </w:rPr>
                    <w:t>注塑机年生产时间h</w:t>
                  </w:r>
                </w:p>
              </w:tc>
              <w:tc>
                <w:tcPr>
                  <w:tcW w:w="672" w:type="pct"/>
                  <w:tcBorders>
                    <w:tl2br w:val="nil"/>
                    <w:tr2bl w:val="nil"/>
                  </w:tcBorders>
                  <w:noWrap w:val="0"/>
                  <w:vAlign w:val="center"/>
                </w:tcPr>
                <w:p w14:paraId="766C6D31">
                  <w:pPr>
                    <w:pStyle w:val="99"/>
                    <w:rPr>
                      <w:rFonts w:ascii="Times New Roman" w:hAnsi="Times New Roman"/>
                      <w:color w:val="auto"/>
                      <w:sz w:val="18"/>
                      <w:szCs w:val="18"/>
                    </w:rPr>
                  </w:pPr>
                  <w:r>
                    <w:rPr>
                      <w:rFonts w:ascii="Times New Roman" w:hAnsi="Times New Roman"/>
                      <w:color w:val="auto"/>
                      <w:sz w:val="18"/>
                      <w:szCs w:val="18"/>
                    </w:rPr>
                    <w:t>注塑机年树脂消耗量t</w:t>
                  </w:r>
                </w:p>
              </w:tc>
            </w:tr>
            <w:tr w14:paraId="7D7AE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Borders>
                    <w:tl2br w:val="nil"/>
                    <w:tr2bl w:val="nil"/>
                  </w:tcBorders>
                  <w:noWrap w:val="0"/>
                  <w:vAlign w:val="center"/>
                </w:tcPr>
                <w:p w14:paraId="7486F98E">
                  <w:pPr>
                    <w:keepNext w:val="0"/>
                    <w:keepLines w:val="0"/>
                    <w:widowControl/>
                    <w:suppressLineNumbers w:val="0"/>
                    <w:jc w:val="center"/>
                    <w:textAlignment w:val="center"/>
                    <w:rPr>
                      <w:rFonts w:ascii="Times New Roman" w:hAnsi="Times New Roman"/>
                      <w:color w:val="auto"/>
                      <w:sz w:val="18"/>
                      <w:szCs w:val="18"/>
                    </w:rPr>
                  </w:pPr>
                  <w:bookmarkStart w:id="56" w:name="OLE_LINK9" w:colFirst="5" w:colLast="69"/>
                  <w:r>
                    <w:rPr>
                      <w:rFonts w:hint="default" w:ascii="Times New Roman" w:hAnsi="Times New Roman" w:eastAsia="宋体" w:cs="Times New Roman"/>
                      <w:i w:val="0"/>
                      <w:iCs w:val="0"/>
                      <w:color w:val="auto"/>
                      <w:kern w:val="0"/>
                      <w:sz w:val="18"/>
                      <w:szCs w:val="18"/>
                      <w:u w:val="none"/>
                      <w:lang w:val="en-US" w:eastAsia="zh-CN" w:bidi="ar"/>
                    </w:rPr>
                    <w:t>1</w:t>
                  </w:r>
                </w:p>
              </w:tc>
              <w:tc>
                <w:tcPr>
                  <w:tcW w:w="1322" w:type="dxa"/>
                  <w:vMerge w:val="restart"/>
                  <w:tcBorders>
                    <w:tl2br w:val="nil"/>
                    <w:tr2bl w:val="nil"/>
                  </w:tcBorders>
                  <w:noWrap w:val="0"/>
                  <w:vAlign w:val="center"/>
                </w:tcPr>
                <w:p w14:paraId="0C77E49D">
                  <w:pPr>
                    <w:keepNext w:val="0"/>
                    <w:keepLines w:val="0"/>
                    <w:widowControl/>
                    <w:suppressLineNumbers w:val="0"/>
                    <w:jc w:val="center"/>
                    <w:textAlignment w:val="center"/>
                    <w:rPr>
                      <w:rFonts w:ascii="Times New Roman" w:hAnsi="Times New Roman"/>
                      <w:color w:val="auto"/>
                      <w:sz w:val="18"/>
                      <w:szCs w:val="18"/>
                    </w:rPr>
                  </w:pPr>
                  <w:r>
                    <w:rPr>
                      <w:rFonts w:hint="eastAsia" w:ascii="宋体" w:hAnsi="宋体" w:eastAsia="宋体" w:cs="宋体"/>
                      <w:i w:val="0"/>
                      <w:iCs w:val="0"/>
                      <w:color w:val="auto"/>
                      <w:kern w:val="0"/>
                      <w:sz w:val="18"/>
                      <w:szCs w:val="18"/>
                      <w:u w:val="none"/>
                      <w:lang w:val="en-US" w:eastAsia="zh-CN" w:bidi="ar"/>
                    </w:rPr>
                    <w:t>注塑机</w:t>
                  </w:r>
                </w:p>
              </w:tc>
              <w:tc>
                <w:tcPr>
                  <w:tcW w:w="846" w:type="dxa"/>
                  <w:tcBorders>
                    <w:tl2br w:val="nil"/>
                    <w:tr2bl w:val="nil"/>
                  </w:tcBorders>
                  <w:noWrap w:val="0"/>
                  <w:vAlign w:val="center"/>
                </w:tcPr>
                <w:p w14:paraId="79A716A5">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649D237A">
                  <w:pPr>
                    <w:keepNext w:val="0"/>
                    <w:keepLines w:val="0"/>
                    <w:widowControl/>
                    <w:suppressLineNumbers w:val="0"/>
                    <w:jc w:val="center"/>
                    <w:textAlignment w:val="center"/>
                    <w:rPr>
                      <w:rFonts w:hint="default" w:ascii="仿宋_GB2312" w:hAnsi="Times New Roman" w:eastAsia="仿宋_GB2312" w:cs="Times New Roman"/>
                      <w:b/>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MA2000V/750</w:t>
                  </w:r>
                </w:p>
              </w:tc>
              <w:tc>
                <w:tcPr>
                  <w:tcW w:w="1536" w:type="dxa"/>
                  <w:tcBorders>
                    <w:tl2br w:val="nil"/>
                    <w:tr2bl w:val="nil"/>
                  </w:tcBorders>
                  <w:noWrap w:val="0"/>
                  <w:vAlign w:val="center"/>
                </w:tcPr>
                <w:p w14:paraId="515C2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w:t>
                  </w:r>
                </w:p>
              </w:tc>
              <w:tc>
                <w:tcPr>
                  <w:tcW w:w="1168" w:type="dxa"/>
                  <w:vMerge w:val="restart"/>
                  <w:tcBorders>
                    <w:tl2br w:val="nil"/>
                    <w:tr2bl w:val="nil"/>
                  </w:tcBorders>
                  <w:noWrap w:val="0"/>
                  <w:vAlign w:val="center"/>
                </w:tcPr>
                <w:p w14:paraId="2BABF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7200</w:t>
                  </w:r>
                </w:p>
              </w:tc>
              <w:tc>
                <w:tcPr>
                  <w:tcW w:w="1098" w:type="dxa"/>
                  <w:tcBorders>
                    <w:tl2br w:val="nil"/>
                    <w:tr2bl w:val="nil"/>
                  </w:tcBorders>
                  <w:noWrap w:val="0"/>
                  <w:vAlign w:val="center"/>
                </w:tcPr>
                <w:p w14:paraId="274800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21.6</w:t>
                  </w:r>
                </w:p>
              </w:tc>
            </w:tr>
            <w:tr w14:paraId="54831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32006E25">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22" w:type="dxa"/>
                  <w:vMerge w:val="continue"/>
                  <w:tcBorders>
                    <w:tl2br w:val="nil"/>
                    <w:tr2bl w:val="nil"/>
                  </w:tcBorders>
                  <w:noWrap w:val="0"/>
                  <w:vAlign w:val="center"/>
                </w:tcPr>
                <w:p w14:paraId="53D6DD1C">
                  <w:pPr>
                    <w:jc w:val="center"/>
                    <w:rPr>
                      <w:rFonts w:ascii="Times New Roman" w:hAnsi="Times New Roman"/>
                      <w:color w:val="auto"/>
                      <w:sz w:val="18"/>
                      <w:szCs w:val="18"/>
                    </w:rPr>
                  </w:pPr>
                </w:p>
              </w:tc>
              <w:tc>
                <w:tcPr>
                  <w:tcW w:w="846" w:type="dxa"/>
                  <w:tcBorders>
                    <w:tl2br w:val="nil"/>
                    <w:tr2bl w:val="nil"/>
                  </w:tcBorders>
                  <w:noWrap w:val="0"/>
                  <w:vAlign w:val="center"/>
                </w:tcPr>
                <w:p w14:paraId="74C4274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2888072E">
                  <w:pPr>
                    <w:keepNext w:val="0"/>
                    <w:keepLines w:val="0"/>
                    <w:widowControl/>
                    <w:suppressLineNumbers w:val="0"/>
                    <w:jc w:val="center"/>
                    <w:textAlignment w:val="center"/>
                    <w:rPr>
                      <w:rFonts w:hint="default" w:ascii="仿宋_GB2312" w:hAnsi="Times New Roman" w:eastAsia="仿宋_GB2312" w:cs="Times New Roman"/>
                      <w:b/>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MA2800V/1350</w:t>
                  </w:r>
                </w:p>
              </w:tc>
              <w:tc>
                <w:tcPr>
                  <w:tcW w:w="1536" w:type="dxa"/>
                  <w:tcBorders>
                    <w:tl2br w:val="nil"/>
                    <w:tr2bl w:val="nil"/>
                  </w:tcBorders>
                  <w:noWrap w:val="0"/>
                  <w:vAlign w:val="center"/>
                </w:tcPr>
                <w:p w14:paraId="014216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w:t>
                  </w:r>
                </w:p>
              </w:tc>
              <w:tc>
                <w:tcPr>
                  <w:tcW w:w="1168" w:type="dxa"/>
                  <w:vMerge w:val="continue"/>
                  <w:tcBorders>
                    <w:tl2br w:val="nil"/>
                    <w:tr2bl w:val="nil"/>
                  </w:tcBorders>
                  <w:noWrap w:val="0"/>
                  <w:vAlign w:val="center"/>
                </w:tcPr>
                <w:p w14:paraId="2CE162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5601E0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21.6</w:t>
                  </w:r>
                </w:p>
              </w:tc>
            </w:tr>
            <w:tr w14:paraId="5957C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3D04504B">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22" w:type="dxa"/>
                  <w:vMerge w:val="continue"/>
                  <w:tcBorders>
                    <w:tl2br w:val="nil"/>
                    <w:tr2bl w:val="nil"/>
                  </w:tcBorders>
                  <w:noWrap w:val="0"/>
                  <w:vAlign w:val="center"/>
                </w:tcPr>
                <w:p w14:paraId="0D12E59F">
                  <w:pPr>
                    <w:jc w:val="center"/>
                    <w:rPr>
                      <w:rFonts w:ascii="Times New Roman" w:hAnsi="Times New Roman"/>
                      <w:color w:val="auto"/>
                      <w:sz w:val="18"/>
                      <w:szCs w:val="18"/>
                    </w:rPr>
                  </w:pPr>
                </w:p>
              </w:tc>
              <w:tc>
                <w:tcPr>
                  <w:tcW w:w="846" w:type="dxa"/>
                  <w:tcBorders>
                    <w:tl2br w:val="nil"/>
                    <w:tr2bl w:val="nil"/>
                  </w:tcBorders>
                  <w:noWrap w:val="0"/>
                  <w:vAlign w:val="center"/>
                </w:tcPr>
                <w:p w14:paraId="0CB5CB07">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70" w:type="dxa"/>
                  <w:tcBorders>
                    <w:tl2br w:val="nil"/>
                    <w:tr2bl w:val="nil"/>
                  </w:tcBorders>
                  <w:noWrap w:val="0"/>
                  <w:vAlign w:val="center"/>
                </w:tcPr>
                <w:p w14:paraId="5A6370A5">
                  <w:pPr>
                    <w:keepNext w:val="0"/>
                    <w:keepLines w:val="0"/>
                    <w:widowControl/>
                    <w:suppressLineNumbers w:val="0"/>
                    <w:jc w:val="center"/>
                    <w:textAlignment w:val="center"/>
                    <w:rPr>
                      <w:rFonts w:hint="default" w:ascii="仿宋_GB2312" w:hAnsi="Times New Roman" w:eastAsia="仿宋_GB2312" w:cs="Times New Roman"/>
                      <w:b/>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MA3200V/1700</w:t>
                  </w:r>
                </w:p>
              </w:tc>
              <w:tc>
                <w:tcPr>
                  <w:tcW w:w="1536" w:type="dxa"/>
                  <w:tcBorders>
                    <w:tl2br w:val="nil"/>
                    <w:tr2bl w:val="nil"/>
                  </w:tcBorders>
                  <w:noWrap w:val="0"/>
                  <w:vAlign w:val="center"/>
                </w:tcPr>
                <w:p w14:paraId="49E4F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w:t>
                  </w:r>
                </w:p>
              </w:tc>
              <w:tc>
                <w:tcPr>
                  <w:tcW w:w="1168" w:type="dxa"/>
                  <w:vMerge w:val="continue"/>
                  <w:tcBorders>
                    <w:tl2br w:val="nil"/>
                    <w:tr2bl w:val="nil"/>
                  </w:tcBorders>
                  <w:noWrap w:val="0"/>
                  <w:vAlign w:val="center"/>
                </w:tcPr>
                <w:p w14:paraId="721666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666618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43.2</w:t>
                  </w:r>
                </w:p>
              </w:tc>
            </w:tr>
            <w:tr w14:paraId="4AD45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237502EB">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22" w:type="dxa"/>
                  <w:vMerge w:val="continue"/>
                  <w:tcBorders>
                    <w:tl2br w:val="nil"/>
                    <w:tr2bl w:val="nil"/>
                  </w:tcBorders>
                  <w:noWrap w:val="0"/>
                  <w:vAlign w:val="center"/>
                </w:tcPr>
                <w:p w14:paraId="79C20DBB">
                  <w:pPr>
                    <w:jc w:val="center"/>
                    <w:rPr>
                      <w:rFonts w:ascii="Times New Roman" w:hAnsi="Times New Roman"/>
                      <w:color w:val="auto"/>
                      <w:sz w:val="18"/>
                      <w:szCs w:val="18"/>
                    </w:rPr>
                  </w:pPr>
                </w:p>
              </w:tc>
              <w:tc>
                <w:tcPr>
                  <w:tcW w:w="846" w:type="dxa"/>
                  <w:tcBorders>
                    <w:tl2br w:val="nil"/>
                    <w:tr2bl w:val="nil"/>
                  </w:tcBorders>
                  <w:noWrap w:val="0"/>
                  <w:vAlign w:val="center"/>
                </w:tcPr>
                <w:p w14:paraId="1A90E14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3A6EF9F1">
                  <w:pPr>
                    <w:keepNext w:val="0"/>
                    <w:keepLines w:val="0"/>
                    <w:widowControl/>
                    <w:suppressLineNumbers w:val="0"/>
                    <w:jc w:val="center"/>
                    <w:textAlignment w:val="center"/>
                    <w:rPr>
                      <w:rFonts w:hint="default" w:ascii="仿宋_GB2312" w:hAnsi="Times New Roman" w:eastAsia="仿宋_GB2312" w:cs="Times New Roman"/>
                      <w:b/>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MA3800V/2250</w:t>
                  </w:r>
                </w:p>
              </w:tc>
              <w:tc>
                <w:tcPr>
                  <w:tcW w:w="1536" w:type="dxa"/>
                  <w:tcBorders>
                    <w:tl2br w:val="nil"/>
                    <w:tr2bl w:val="nil"/>
                  </w:tcBorders>
                  <w:noWrap w:val="0"/>
                  <w:vAlign w:val="center"/>
                </w:tcPr>
                <w:p w14:paraId="222CF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1168" w:type="dxa"/>
                  <w:vMerge w:val="continue"/>
                  <w:tcBorders>
                    <w:tl2br w:val="nil"/>
                    <w:tr2bl w:val="nil"/>
                  </w:tcBorders>
                  <w:noWrap w:val="0"/>
                  <w:vAlign w:val="center"/>
                </w:tcPr>
                <w:p w14:paraId="4F0D8B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606AF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w:t>
                  </w:r>
                </w:p>
              </w:tc>
            </w:tr>
            <w:tr w14:paraId="70FA2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5F4202C3">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22" w:type="dxa"/>
                  <w:vMerge w:val="continue"/>
                  <w:tcBorders>
                    <w:tl2br w:val="nil"/>
                    <w:tr2bl w:val="nil"/>
                  </w:tcBorders>
                  <w:noWrap w:val="0"/>
                  <w:vAlign w:val="center"/>
                </w:tcPr>
                <w:p w14:paraId="7150AAF5">
                  <w:pPr>
                    <w:jc w:val="center"/>
                    <w:rPr>
                      <w:rFonts w:ascii="Times New Roman" w:hAnsi="Times New Roman"/>
                      <w:color w:val="auto"/>
                      <w:sz w:val="18"/>
                      <w:szCs w:val="18"/>
                    </w:rPr>
                  </w:pPr>
                </w:p>
              </w:tc>
              <w:tc>
                <w:tcPr>
                  <w:tcW w:w="846" w:type="dxa"/>
                  <w:tcBorders>
                    <w:tl2br w:val="nil"/>
                    <w:tr2bl w:val="nil"/>
                  </w:tcBorders>
                  <w:noWrap w:val="0"/>
                  <w:vAlign w:val="center"/>
                </w:tcPr>
                <w:p w14:paraId="249FDA8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70" w:type="dxa"/>
                  <w:tcBorders>
                    <w:tl2br w:val="nil"/>
                    <w:tr2bl w:val="nil"/>
                  </w:tcBorders>
                  <w:noWrap w:val="0"/>
                  <w:vAlign w:val="center"/>
                </w:tcPr>
                <w:p w14:paraId="74AFB8EB">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MA4700V/3200</w:t>
                  </w:r>
                </w:p>
              </w:tc>
              <w:tc>
                <w:tcPr>
                  <w:tcW w:w="1536" w:type="dxa"/>
                  <w:tcBorders>
                    <w:tl2br w:val="nil"/>
                    <w:tr2bl w:val="nil"/>
                  </w:tcBorders>
                  <w:noWrap w:val="0"/>
                  <w:vAlign w:val="center"/>
                </w:tcPr>
                <w:p w14:paraId="08EBBD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1168" w:type="dxa"/>
                  <w:vMerge w:val="continue"/>
                  <w:tcBorders>
                    <w:tl2br w:val="nil"/>
                    <w:tr2bl w:val="nil"/>
                  </w:tcBorders>
                  <w:noWrap w:val="0"/>
                  <w:vAlign w:val="center"/>
                </w:tcPr>
                <w:p w14:paraId="6ADCB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7F789F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w:t>
                  </w:r>
                </w:p>
              </w:tc>
            </w:tr>
            <w:tr w14:paraId="345FA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19076F3D">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22" w:type="dxa"/>
                  <w:vMerge w:val="continue"/>
                  <w:tcBorders>
                    <w:tl2br w:val="nil"/>
                    <w:tr2bl w:val="nil"/>
                  </w:tcBorders>
                  <w:noWrap w:val="0"/>
                  <w:vAlign w:val="center"/>
                </w:tcPr>
                <w:p w14:paraId="6C8DED4C">
                  <w:pPr>
                    <w:jc w:val="center"/>
                    <w:rPr>
                      <w:rFonts w:ascii="Times New Roman" w:hAnsi="Times New Roman"/>
                      <w:color w:val="auto"/>
                      <w:sz w:val="18"/>
                      <w:szCs w:val="18"/>
                    </w:rPr>
                  </w:pPr>
                </w:p>
              </w:tc>
              <w:tc>
                <w:tcPr>
                  <w:tcW w:w="846" w:type="dxa"/>
                  <w:tcBorders>
                    <w:tl2br w:val="nil"/>
                    <w:tr2bl w:val="nil"/>
                  </w:tcBorders>
                  <w:noWrap w:val="0"/>
                  <w:vAlign w:val="center"/>
                </w:tcPr>
                <w:p w14:paraId="41BB13D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7A42E63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MA5300V/4500</w:t>
                  </w:r>
                </w:p>
              </w:tc>
              <w:tc>
                <w:tcPr>
                  <w:tcW w:w="1536" w:type="dxa"/>
                  <w:tcBorders>
                    <w:tl2br w:val="nil"/>
                    <w:tr2bl w:val="nil"/>
                  </w:tcBorders>
                  <w:noWrap w:val="0"/>
                  <w:vAlign w:val="center"/>
                </w:tcPr>
                <w:p w14:paraId="7463E9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w:t>
                  </w:r>
                </w:p>
              </w:tc>
              <w:tc>
                <w:tcPr>
                  <w:tcW w:w="1168" w:type="dxa"/>
                  <w:vMerge w:val="continue"/>
                  <w:tcBorders>
                    <w:tl2br w:val="nil"/>
                    <w:tr2bl w:val="nil"/>
                  </w:tcBorders>
                  <w:noWrap w:val="0"/>
                  <w:vAlign w:val="center"/>
                </w:tcPr>
                <w:p w14:paraId="58683A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31B18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50.4</w:t>
                  </w:r>
                </w:p>
              </w:tc>
            </w:tr>
            <w:tr w14:paraId="1CABE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704050FE">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22" w:type="dxa"/>
                  <w:vMerge w:val="continue"/>
                  <w:tcBorders>
                    <w:tl2br w:val="nil"/>
                    <w:tr2bl w:val="nil"/>
                  </w:tcBorders>
                  <w:noWrap w:val="0"/>
                  <w:vAlign w:val="center"/>
                </w:tcPr>
                <w:p w14:paraId="29174AEC">
                  <w:pPr>
                    <w:jc w:val="center"/>
                    <w:rPr>
                      <w:rFonts w:ascii="Times New Roman" w:hAnsi="Times New Roman"/>
                      <w:color w:val="auto"/>
                      <w:sz w:val="18"/>
                      <w:szCs w:val="18"/>
                    </w:rPr>
                  </w:pPr>
                </w:p>
              </w:tc>
              <w:tc>
                <w:tcPr>
                  <w:tcW w:w="846" w:type="dxa"/>
                  <w:tcBorders>
                    <w:tl2br w:val="nil"/>
                    <w:tr2bl w:val="nil"/>
                  </w:tcBorders>
                  <w:noWrap w:val="0"/>
                  <w:vAlign w:val="center"/>
                </w:tcPr>
                <w:p w14:paraId="44A2D01A">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70" w:type="dxa"/>
                  <w:tcBorders>
                    <w:tl2br w:val="nil"/>
                    <w:tr2bl w:val="nil"/>
                  </w:tcBorders>
                  <w:noWrap w:val="0"/>
                  <w:vAlign w:val="center"/>
                </w:tcPr>
                <w:p w14:paraId="3F09304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MA6000V/4500</w:t>
                  </w:r>
                </w:p>
              </w:tc>
              <w:tc>
                <w:tcPr>
                  <w:tcW w:w="1536" w:type="dxa"/>
                  <w:tcBorders>
                    <w:tl2br w:val="nil"/>
                    <w:tr2bl w:val="nil"/>
                  </w:tcBorders>
                  <w:noWrap w:val="0"/>
                  <w:vAlign w:val="center"/>
                </w:tcPr>
                <w:p w14:paraId="5A0ED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w:t>
                  </w:r>
                </w:p>
              </w:tc>
              <w:tc>
                <w:tcPr>
                  <w:tcW w:w="1168" w:type="dxa"/>
                  <w:vMerge w:val="continue"/>
                  <w:tcBorders>
                    <w:tl2br w:val="nil"/>
                    <w:tr2bl w:val="nil"/>
                  </w:tcBorders>
                  <w:noWrap w:val="0"/>
                  <w:vAlign w:val="center"/>
                </w:tcPr>
                <w:p w14:paraId="270F2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184DC3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151.2</w:t>
                  </w:r>
                </w:p>
              </w:tc>
            </w:tr>
            <w:tr w14:paraId="481B9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54C4BC10">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22" w:type="dxa"/>
                  <w:vMerge w:val="continue"/>
                  <w:tcBorders>
                    <w:tl2br w:val="nil"/>
                    <w:tr2bl w:val="nil"/>
                  </w:tcBorders>
                  <w:noWrap w:val="0"/>
                  <w:vAlign w:val="center"/>
                </w:tcPr>
                <w:p w14:paraId="61CEE824">
                  <w:pPr>
                    <w:jc w:val="center"/>
                    <w:rPr>
                      <w:rFonts w:ascii="Times New Roman" w:hAnsi="Times New Roman"/>
                      <w:color w:val="auto"/>
                      <w:sz w:val="18"/>
                      <w:szCs w:val="18"/>
                    </w:rPr>
                  </w:pPr>
                </w:p>
              </w:tc>
              <w:tc>
                <w:tcPr>
                  <w:tcW w:w="846" w:type="dxa"/>
                  <w:tcBorders>
                    <w:tl2br w:val="nil"/>
                    <w:tr2bl w:val="nil"/>
                  </w:tcBorders>
                  <w:noWrap w:val="0"/>
                  <w:vAlign w:val="center"/>
                </w:tcPr>
                <w:p w14:paraId="4F59F843">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1AED77F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MA6500V/4800</w:t>
                  </w:r>
                </w:p>
              </w:tc>
              <w:tc>
                <w:tcPr>
                  <w:tcW w:w="1536" w:type="dxa"/>
                  <w:tcBorders>
                    <w:tl2br w:val="nil"/>
                    <w:tr2bl w:val="nil"/>
                  </w:tcBorders>
                  <w:noWrap w:val="0"/>
                  <w:vAlign w:val="center"/>
                </w:tcPr>
                <w:p w14:paraId="033FBB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w:t>
                  </w:r>
                </w:p>
              </w:tc>
              <w:tc>
                <w:tcPr>
                  <w:tcW w:w="1168" w:type="dxa"/>
                  <w:vMerge w:val="continue"/>
                  <w:tcBorders>
                    <w:tl2br w:val="nil"/>
                    <w:tr2bl w:val="nil"/>
                  </w:tcBorders>
                  <w:noWrap w:val="0"/>
                  <w:vAlign w:val="center"/>
                </w:tcPr>
                <w:p w14:paraId="5DBF7E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419201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50.4</w:t>
                  </w:r>
                </w:p>
              </w:tc>
            </w:tr>
            <w:tr w14:paraId="422C8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754E9768">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22" w:type="dxa"/>
                  <w:vMerge w:val="continue"/>
                  <w:tcBorders>
                    <w:tl2br w:val="nil"/>
                    <w:tr2bl w:val="nil"/>
                  </w:tcBorders>
                  <w:noWrap w:val="0"/>
                  <w:vAlign w:val="center"/>
                </w:tcPr>
                <w:p w14:paraId="6888B3AB">
                  <w:pPr>
                    <w:jc w:val="center"/>
                    <w:rPr>
                      <w:rFonts w:ascii="Times New Roman" w:hAnsi="Times New Roman"/>
                      <w:color w:val="auto"/>
                      <w:sz w:val="18"/>
                      <w:szCs w:val="18"/>
                    </w:rPr>
                  </w:pPr>
                </w:p>
              </w:tc>
              <w:tc>
                <w:tcPr>
                  <w:tcW w:w="846" w:type="dxa"/>
                  <w:tcBorders>
                    <w:tl2br w:val="nil"/>
                    <w:tr2bl w:val="nil"/>
                  </w:tcBorders>
                  <w:noWrap w:val="0"/>
                  <w:vAlign w:val="center"/>
                </w:tcPr>
                <w:p w14:paraId="52EE2FF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3FB79D6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MA7000V/5000</w:t>
                  </w:r>
                </w:p>
              </w:tc>
              <w:tc>
                <w:tcPr>
                  <w:tcW w:w="1536" w:type="dxa"/>
                  <w:tcBorders>
                    <w:tl2br w:val="nil"/>
                    <w:tr2bl w:val="nil"/>
                  </w:tcBorders>
                  <w:noWrap w:val="0"/>
                  <w:vAlign w:val="center"/>
                </w:tcPr>
                <w:p w14:paraId="6FC893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w:t>
                  </w:r>
                </w:p>
              </w:tc>
              <w:tc>
                <w:tcPr>
                  <w:tcW w:w="1168" w:type="dxa"/>
                  <w:vMerge w:val="continue"/>
                  <w:tcBorders>
                    <w:tl2br w:val="nil"/>
                    <w:tr2bl w:val="nil"/>
                  </w:tcBorders>
                  <w:noWrap w:val="0"/>
                  <w:vAlign w:val="center"/>
                </w:tcPr>
                <w:p w14:paraId="2BE61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0CBF7D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57.6</w:t>
                  </w:r>
                </w:p>
              </w:tc>
            </w:tr>
            <w:tr w14:paraId="2BC8D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5CF3FCA9">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22" w:type="dxa"/>
                  <w:vMerge w:val="continue"/>
                  <w:tcBorders>
                    <w:tl2br w:val="nil"/>
                    <w:tr2bl w:val="nil"/>
                  </w:tcBorders>
                  <w:noWrap w:val="0"/>
                  <w:vAlign w:val="center"/>
                </w:tcPr>
                <w:p w14:paraId="173DFFA4">
                  <w:pPr>
                    <w:jc w:val="center"/>
                    <w:rPr>
                      <w:rFonts w:ascii="Times New Roman" w:hAnsi="Times New Roman"/>
                      <w:color w:val="auto"/>
                      <w:sz w:val="18"/>
                      <w:szCs w:val="18"/>
                    </w:rPr>
                  </w:pPr>
                </w:p>
              </w:tc>
              <w:tc>
                <w:tcPr>
                  <w:tcW w:w="846" w:type="dxa"/>
                  <w:tcBorders>
                    <w:tl2br w:val="nil"/>
                    <w:tr2bl w:val="nil"/>
                  </w:tcBorders>
                  <w:noWrap w:val="0"/>
                  <w:vAlign w:val="center"/>
                </w:tcPr>
                <w:p w14:paraId="4137DF2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2F4065B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MA8000V/6800</w:t>
                  </w:r>
                </w:p>
              </w:tc>
              <w:tc>
                <w:tcPr>
                  <w:tcW w:w="1536" w:type="dxa"/>
                  <w:tcBorders>
                    <w:tl2br w:val="nil"/>
                    <w:tr2bl w:val="nil"/>
                  </w:tcBorders>
                  <w:noWrap w:val="0"/>
                  <w:vAlign w:val="center"/>
                </w:tcPr>
                <w:p w14:paraId="14373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10</w:t>
                  </w:r>
                </w:p>
              </w:tc>
              <w:tc>
                <w:tcPr>
                  <w:tcW w:w="1168" w:type="dxa"/>
                  <w:vMerge w:val="continue"/>
                  <w:tcBorders>
                    <w:tl2br w:val="nil"/>
                    <w:tr2bl w:val="nil"/>
                  </w:tcBorders>
                  <w:noWrap w:val="0"/>
                  <w:vAlign w:val="center"/>
                </w:tcPr>
                <w:p w14:paraId="189AA0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49D1D7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w:t>
                  </w:r>
                </w:p>
              </w:tc>
            </w:tr>
            <w:tr w14:paraId="7E27B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tcBorders>
                    <w:tl2br w:val="nil"/>
                    <w:tr2bl w:val="nil"/>
                  </w:tcBorders>
                  <w:noWrap w:val="0"/>
                  <w:vAlign w:val="center"/>
                </w:tcPr>
                <w:p w14:paraId="393FD71E">
                  <w:pPr>
                    <w:keepNext w:val="0"/>
                    <w:keepLines w:val="0"/>
                    <w:widowControl/>
                    <w:suppressLineNumbers w:val="0"/>
                    <w:jc w:val="center"/>
                    <w:textAlignment w:val="center"/>
                    <w:rPr>
                      <w:rFonts w:ascii="Times New Roman" w:hAnsi="Times New Roman"/>
                      <w:color w:val="auto"/>
                      <w:sz w:val="18"/>
                      <w:szCs w:val="18"/>
                    </w:rPr>
                  </w:pPr>
                  <w:bookmarkStart w:id="57" w:name="OLE_LINK15" w:colFirst="1" w:colLast="67"/>
                  <w:bookmarkStart w:id="58" w:name="_Hlk142465241"/>
                  <w:bookmarkStart w:id="59" w:name="OLE_LINK11" w:colFirst="1" w:colLast="67"/>
                  <w:bookmarkStart w:id="60" w:name="OLE_LINK18" w:colFirst="5" w:colLast="71"/>
                  <w:r>
                    <w:rPr>
                      <w:rFonts w:hint="default" w:ascii="Times New Roman" w:hAnsi="Times New Roman" w:eastAsia="宋体" w:cs="Times New Roman"/>
                      <w:i w:val="0"/>
                      <w:iCs w:val="0"/>
                      <w:color w:val="auto"/>
                      <w:kern w:val="0"/>
                      <w:sz w:val="18"/>
                      <w:szCs w:val="18"/>
                      <w:u w:val="none"/>
                      <w:lang w:val="en-US" w:eastAsia="zh-CN" w:bidi="ar"/>
                    </w:rPr>
                    <w:t>11</w:t>
                  </w:r>
                </w:p>
              </w:tc>
              <w:tc>
                <w:tcPr>
                  <w:tcW w:w="1322" w:type="dxa"/>
                  <w:vMerge w:val="continue"/>
                  <w:tcBorders>
                    <w:tl2br w:val="nil"/>
                    <w:tr2bl w:val="nil"/>
                  </w:tcBorders>
                  <w:noWrap w:val="0"/>
                  <w:vAlign w:val="center"/>
                </w:tcPr>
                <w:p w14:paraId="3F6E3F73">
                  <w:pPr>
                    <w:jc w:val="center"/>
                    <w:rPr>
                      <w:rFonts w:ascii="Times New Roman" w:hAnsi="Times New Roman"/>
                      <w:color w:val="auto"/>
                      <w:sz w:val="18"/>
                      <w:szCs w:val="18"/>
                    </w:rPr>
                  </w:pPr>
                </w:p>
              </w:tc>
              <w:tc>
                <w:tcPr>
                  <w:tcW w:w="846" w:type="dxa"/>
                  <w:tcBorders>
                    <w:tl2br w:val="nil"/>
                    <w:tr2bl w:val="nil"/>
                  </w:tcBorders>
                  <w:noWrap w:val="0"/>
                  <w:vAlign w:val="center"/>
                </w:tcPr>
                <w:p w14:paraId="2112C684">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770" w:type="dxa"/>
                  <w:tcBorders>
                    <w:tl2br w:val="nil"/>
                    <w:tr2bl w:val="nil"/>
                  </w:tcBorders>
                  <w:noWrap w:val="0"/>
                  <w:vAlign w:val="center"/>
                </w:tcPr>
                <w:p w14:paraId="5B464AA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MA9000V/6800</w:t>
                  </w:r>
                </w:p>
              </w:tc>
              <w:tc>
                <w:tcPr>
                  <w:tcW w:w="1536" w:type="dxa"/>
                  <w:tcBorders>
                    <w:tl2br w:val="nil"/>
                    <w:tr2bl w:val="nil"/>
                  </w:tcBorders>
                  <w:noWrap w:val="0"/>
                  <w:vAlign w:val="center"/>
                </w:tcPr>
                <w:p w14:paraId="3185A8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10</w:t>
                  </w:r>
                </w:p>
              </w:tc>
              <w:tc>
                <w:tcPr>
                  <w:tcW w:w="1168" w:type="dxa"/>
                  <w:vMerge w:val="continue"/>
                  <w:tcBorders>
                    <w:tl2br w:val="nil"/>
                    <w:tr2bl w:val="nil"/>
                  </w:tcBorders>
                  <w:noWrap w:val="0"/>
                  <w:vAlign w:val="center"/>
                </w:tcPr>
                <w:p w14:paraId="287569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5D0646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w:t>
                  </w:r>
                </w:p>
              </w:tc>
            </w:tr>
            <w:bookmarkEnd w:id="57"/>
            <w:bookmarkEnd w:id="58"/>
            <w:bookmarkEnd w:id="59"/>
            <w:bookmarkEnd w:id="60"/>
            <w:tr w14:paraId="50AA7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27C5A91D">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22" w:type="dxa"/>
                  <w:vMerge w:val="continue"/>
                  <w:tcBorders>
                    <w:tl2br w:val="nil"/>
                    <w:tr2bl w:val="nil"/>
                  </w:tcBorders>
                  <w:noWrap w:val="0"/>
                  <w:vAlign w:val="center"/>
                </w:tcPr>
                <w:p w14:paraId="1B1B5754">
                  <w:pPr>
                    <w:jc w:val="center"/>
                    <w:rPr>
                      <w:rFonts w:ascii="Times New Roman" w:hAnsi="Times New Roman"/>
                      <w:color w:val="auto"/>
                      <w:sz w:val="18"/>
                      <w:szCs w:val="18"/>
                    </w:rPr>
                  </w:pPr>
                </w:p>
              </w:tc>
              <w:tc>
                <w:tcPr>
                  <w:tcW w:w="846" w:type="dxa"/>
                  <w:tcBorders>
                    <w:tl2br w:val="nil"/>
                    <w:tr2bl w:val="nil"/>
                  </w:tcBorders>
                  <w:noWrap w:val="0"/>
                  <w:vAlign w:val="center"/>
                </w:tcPr>
                <w:p w14:paraId="044C1659">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70" w:type="dxa"/>
                  <w:tcBorders>
                    <w:tl2br w:val="nil"/>
                    <w:tr2bl w:val="nil"/>
                  </w:tcBorders>
                  <w:noWrap w:val="0"/>
                  <w:vAlign w:val="center"/>
                </w:tcPr>
                <w:p w14:paraId="5065FD4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MA10000V/8400</w:t>
                  </w:r>
                </w:p>
              </w:tc>
              <w:tc>
                <w:tcPr>
                  <w:tcW w:w="1536" w:type="dxa"/>
                  <w:tcBorders>
                    <w:tl2br w:val="nil"/>
                    <w:tr2bl w:val="nil"/>
                  </w:tcBorders>
                  <w:noWrap w:val="0"/>
                  <w:vAlign w:val="center"/>
                </w:tcPr>
                <w:p w14:paraId="0E8F6D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13</w:t>
                  </w:r>
                </w:p>
              </w:tc>
              <w:tc>
                <w:tcPr>
                  <w:tcW w:w="1168" w:type="dxa"/>
                  <w:vMerge w:val="continue"/>
                  <w:tcBorders>
                    <w:tl2br w:val="nil"/>
                    <w:tr2bl w:val="nil"/>
                  </w:tcBorders>
                  <w:noWrap w:val="0"/>
                  <w:vAlign w:val="center"/>
                </w:tcPr>
                <w:p w14:paraId="142E8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31E98E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187.2</w:t>
                  </w:r>
                </w:p>
              </w:tc>
            </w:tr>
            <w:tr w14:paraId="756DA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14:paraId="0C77A824">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322" w:type="dxa"/>
                  <w:vMerge w:val="continue"/>
                  <w:tcBorders>
                    <w:tl2br w:val="nil"/>
                    <w:tr2bl w:val="nil"/>
                  </w:tcBorders>
                  <w:noWrap w:val="0"/>
                  <w:vAlign w:val="center"/>
                </w:tcPr>
                <w:p w14:paraId="6A226AB0">
                  <w:pPr>
                    <w:jc w:val="center"/>
                    <w:rPr>
                      <w:rFonts w:ascii="Times New Roman" w:hAnsi="Times New Roman"/>
                      <w:color w:val="auto"/>
                      <w:sz w:val="18"/>
                      <w:szCs w:val="18"/>
                    </w:rPr>
                  </w:pPr>
                </w:p>
              </w:tc>
              <w:tc>
                <w:tcPr>
                  <w:tcW w:w="846" w:type="dxa"/>
                  <w:tcBorders>
                    <w:tl2br w:val="nil"/>
                    <w:tr2bl w:val="nil"/>
                  </w:tcBorders>
                  <w:noWrap w:val="0"/>
                  <w:vAlign w:val="center"/>
                </w:tcPr>
                <w:p w14:paraId="4223A31D">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70" w:type="dxa"/>
                  <w:tcBorders>
                    <w:tl2br w:val="nil"/>
                    <w:tr2bl w:val="nil"/>
                  </w:tcBorders>
                  <w:noWrap w:val="0"/>
                  <w:vAlign w:val="center"/>
                </w:tcPr>
                <w:p w14:paraId="5E4B0B8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MA12000V/8400</w:t>
                  </w:r>
                </w:p>
              </w:tc>
              <w:tc>
                <w:tcPr>
                  <w:tcW w:w="1536" w:type="dxa"/>
                  <w:tcBorders>
                    <w:tl2br w:val="nil"/>
                    <w:tr2bl w:val="nil"/>
                  </w:tcBorders>
                  <w:noWrap w:val="0"/>
                  <w:vAlign w:val="center"/>
                </w:tcPr>
                <w:p w14:paraId="75E140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13</w:t>
                  </w:r>
                </w:p>
              </w:tc>
              <w:tc>
                <w:tcPr>
                  <w:tcW w:w="1168" w:type="dxa"/>
                  <w:vMerge w:val="continue"/>
                  <w:tcBorders>
                    <w:tl2br w:val="nil"/>
                    <w:tr2bl w:val="nil"/>
                  </w:tcBorders>
                  <w:noWrap w:val="0"/>
                  <w:vAlign w:val="center"/>
                </w:tcPr>
                <w:p w14:paraId="3C894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98" w:type="dxa"/>
                  <w:tcBorders>
                    <w:tl2br w:val="nil"/>
                    <w:tr2bl w:val="nil"/>
                  </w:tcBorders>
                  <w:noWrap w:val="0"/>
                  <w:vAlign w:val="center"/>
                </w:tcPr>
                <w:p w14:paraId="7F82071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187.2</w:t>
                  </w:r>
                </w:p>
              </w:tc>
            </w:tr>
            <w:bookmarkEnd w:id="56"/>
            <w:tr w14:paraId="0E455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8" w:type="dxa"/>
                  <w:gridSpan w:val="6"/>
                  <w:tcBorders>
                    <w:tl2br w:val="nil"/>
                    <w:tr2bl w:val="nil"/>
                  </w:tcBorders>
                  <w:noWrap w:val="0"/>
                  <w:vAlign w:val="center"/>
                </w:tcPr>
                <w:p w14:paraId="16950D1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b/>
                      <w:bCs/>
                      <w:i w:val="0"/>
                      <w:iCs w:val="0"/>
                      <w:color w:val="auto"/>
                      <w:kern w:val="0"/>
                      <w:sz w:val="18"/>
                      <w:szCs w:val="18"/>
                      <w:u w:val="none"/>
                      <w:lang w:val="en-US" w:eastAsia="zh-CN" w:bidi="ar"/>
                    </w:rPr>
                    <w:t>设备产能总计</w:t>
                  </w:r>
                </w:p>
              </w:tc>
              <w:tc>
                <w:tcPr>
                  <w:tcW w:w="1098" w:type="dxa"/>
                  <w:tcBorders>
                    <w:tl2br w:val="nil"/>
                    <w:tr2bl w:val="nil"/>
                  </w:tcBorders>
                  <w:noWrap w:val="0"/>
                  <w:vAlign w:val="center"/>
                </w:tcPr>
                <w:p w14:paraId="38044CF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b/>
                      <w:bCs/>
                      <w:i w:val="0"/>
                      <w:iCs w:val="0"/>
                      <w:color w:val="auto"/>
                      <w:kern w:val="0"/>
                      <w:sz w:val="18"/>
                      <w:szCs w:val="18"/>
                      <w:u w:val="none"/>
                      <w:lang w:val="en-US" w:eastAsia="zh-CN" w:bidi="ar"/>
                    </w:rPr>
                    <w:t>1022.4</w:t>
                  </w:r>
                </w:p>
              </w:tc>
            </w:tr>
          </w:tbl>
          <w:p w14:paraId="6B775DF8">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由上表</w:t>
            </w:r>
            <w:r>
              <w:rPr>
                <w:rFonts w:hint="default" w:ascii="Times New Roman" w:hAnsi="Times New Roman" w:eastAsia="宋体" w:cs="Times New Roman"/>
                <w:color w:val="auto"/>
                <w:szCs w:val="21"/>
              </w:rPr>
              <w:t>核算出</w:t>
            </w: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塑机</w:t>
            </w:r>
            <w:r>
              <w:rPr>
                <w:rFonts w:hint="eastAsia" w:ascii="Times New Roman" w:hAnsi="Times New Roman" w:eastAsia="宋体" w:cs="Times New Roman"/>
                <w:color w:val="auto"/>
                <w:sz w:val="21"/>
                <w:szCs w:val="21"/>
                <w:lang w:val="en-US" w:eastAsia="zh-CN"/>
              </w:rPr>
              <w:t>树脂</w:t>
            </w:r>
            <w:r>
              <w:rPr>
                <w:rFonts w:hint="default" w:ascii="Times New Roman" w:hAnsi="Times New Roman" w:eastAsia="宋体" w:cs="Times New Roman"/>
                <w:color w:val="auto"/>
                <w:szCs w:val="21"/>
              </w:rPr>
              <w:t>年最</w:t>
            </w:r>
            <w:r>
              <w:rPr>
                <w:rFonts w:hint="eastAsia" w:ascii="Times New Roman" w:hAnsi="Times New Roman" w:eastAsia="宋体" w:cs="Times New Roman"/>
                <w:color w:val="auto"/>
                <w:szCs w:val="21"/>
                <w:lang w:eastAsia="zh-CN"/>
              </w:rPr>
              <w:t>大消耗量</w:t>
            </w:r>
            <w:r>
              <w:rPr>
                <w:rFonts w:hint="default" w:ascii="Times New Roman" w:hAnsi="Times New Roman" w:eastAsia="宋体" w:cs="Times New Roman"/>
                <w:color w:val="auto"/>
                <w:szCs w:val="21"/>
              </w:rPr>
              <w:t>为</w:t>
            </w:r>
            <w:r>
              <w:rPr>
                <w:rFonts w:hint="eastAsia" w:ascii="Times New Roman" w:hAnsi="Times New Roman" w:eastAsia="宋体" w:cs="Times New Roman"/>
                <w:color w:val="auto"/>
                <w:szCs w:val="21"/>
                <w:lang w:val="en-US" w:eastAsia="zh-CN"/>
              </w:rPr>
              <w:t>1022.4t</w:t>
            </w:r>
            <w:r>
              <w:rPr>
                <w:rFonts w:hint="default" w:ascii="Times New Roman" w:hAnsi="Times New Roman" w:eastAsia="宋体" w:cs="Times New Roman"/>
                <w:color w:val="auto"/>
                <w:szCs w:val="21"/>
              </w:rPr>
              <w:t>/a，</w:t>
            </w:r>
            <w:r>
              <w:rPr>
                <w:rFonts w:hint="eastAsia"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 w:val="21"/>
                <w:szCs w:val="21"/>
                <w:lang w:val="en-US" w:eastAsia="zh-CN"/>
              </w:rPr>
              <w:t>树脂颗粒</w:t>
            </w:r>
            <w:r>
              <w:rPr>
                <w:rFonts w:hint="eastAsia" w:ascii="Times New Roman" w:hAnsi="Times New Roman" w:eastAsia="宋体" w:cs="Times New Roman"/>
                <w:color w:val="auto"/>
                <w:szCs w:val="21"/>
                <w:lang w:val="en-US" w:eastAsia="zh-CN"/>
              </w:rPr>
              <w:t>设计</w:t>
            </w:r>
            <w:r>
              <w:rPr>
                <w:rFonts w:hint="default"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使用量为1000t/a</w:t>
            </w:r>
            <w:r>
              <w:rPr>
                <w:rFonts w:hint="default" w:ascii="Times New Roman" w:hAnsi="Times New Roman" w:eastAsia="宋体" w:cs="Times New Roman"/>
                <w:color w:val="auto"/>
                <w:szCs w:val="21"/>
                <w:highlight w:val="none"/>
              </w:rPr>
              <w:t>&lt;</w:t>
            </w:r>
            <w:r>
              <w:rPr>
                <w:rFonts w:hint="eastAsia" w:ascii="Times New Roman" w:hAnsi="Times New Roman" w:eastAsia="宋体" w:cs="Times New Roman"/>
                <w:color w:val="auto"/>
                <w:szCs w:val="21"/>
                <w:lang w:val="en-US" w:eastAsia="zh-CN"/>
              </w:rPr>
              <w:t>1022.4t</w:t>
            </w:r>
            <w:r>
              <w:rPr>
                <w:rFonts w:hint="default" w:ascii="Times New Roman" w:hAnsi="Times New Roman" w:eastAsia="宋体" w:cs="Times New Roman"/>
                <w:color w:val="auto"/>
                <w:szCs w:val="21"/>
              </w:rPr>
              <w:t>/a（设备最大产能）</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因此，本项目</w:t>
            </w:r>
            <w:r>
              <w:rPr>
                <w:rFonts w:hint="default" w:ascii="Times New Roman" w:hAnsi="Times New Roman" w:eastAsia="宋体" w:cs="Times New Roman"/>
                <w:color w:val="auto"/>
                <w:szCs w:val="21"/>
                <w:lang w:val="en-US" w:eastAsia="zh-CN"/>
              </w:rPr>
              <w:t>关键设备</w:t>
            </w:r>
            <w:r>
              <w:rPr>
                <w:rFonts w:hint="default" w:ascii="Times New Roman" w:hAnsi="Times New Roman" w:eastAsia="宋体" w:cs="Times New Roman"/>
                <w:color w:val="auto"/>
                <w:szCs w:val="21"/>
              </w:rPr>
              <w:t>产能</w:t>
            </w:r>
            <w:r>
              <w:rPr>
                <w:rFonts w:hint="eastAsia" w:ascii="Times New Roman" w:hAnsi="Times New Roman" w:eastAsia="宋体" w:cs="Times New Roman"/>
                <w:color w:val="auto"/>
                <w:szCs w:val="21"/>
                <w:lang w:eastAsia="zh-CN"/>
              </w:rPr>
              <w:t>注塑机</w:t>
            </w:r>
            <w:r>
              <w:rPr>
                <w:rFonts w:hint="default" w:ascii="Times New Roman" w:hAnsi="Times New Roman" w:eastAsia="宋体" w:cs="Times New Roman"/>
                <w:color w:val="auto"/>
                <w:szCs w:val="21"/>
              </w:rPr>
              <w:t>与本项目生产规模匹配。</w:t>
            </w:r>
          </w:p>
          <w:p w14:paraId="2C32845C">
            <w:pPr>
              <w:spacing w:line="360" w:lineRule="auto"/>
              <w:outlineLvl w:val="1"/>
              <w:rPr>
                <w:rFonts w:hint="default" w:ascii="Times New Roman" w:hAnsi="Times New Roman" w:cs="Times New Roman"/>
                <w:b/>
                <w:color w:val="auto"/>
                <w:szCs w:val="21"/>
              </w:rPr>
            </w:pPr>
            <w:r>
              <w:rPr>
                <w:rFonts w:hint="default" w:ascii="Times New Roman" w:hAnsi="Times New Roman" w:cs="Times New Roman"/>
                <w:b/>
                <w:color w:val="auto"/>
                <w:szCs w:val="21"/>
              </w:rPr>
              <w:t>2.3.6项目主要原辅材料及燃料</w:t>
            </w:r>
          </w:p>
          <w:p w14:paraId="0C0DF153">
            <w:pPr>
              <w:spacing w:line="360" w:lineRule="auto"/>
              <w:ind w:firstLine="420" w:firstLineChars="200"/>
              <w:outlineLvl w:val="1"/>
              <w:rPr>
                <w:rFonts w:hint="default" w:ascii="Times New Roman" w:hAnsi="Times New Roman" w:cs="Times New Roman"/>
                <w:b/>
                <w:color w:val="auto"/>
                <w:szCs w:val="21"/>
              </w:rPr>
            </w:pPr>
            <w:r>
              <w:rPr>
                <w:rFonts w:hint="default" w:ascii="Times New Roman" w:hAnsi="Times New Roman" w:cs="Times New Roman"/>
                <w:color w:val="auto"/>
                <w:szCs w:val="21"/>
              </w:rPr>
              <w:t>本项目主要原辅材料名称及年消耗量详见下表。</w:t>
            </w:r>
          </w:p>
          <w:p w14:paraId="6D05F103">
            <w:pPr>
              <w:pStyle w:val="26"/>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表2-</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本项目主要原辅材料及燃料一览表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984"/>
              <w:gridCol w:w="1247"/>
              <w:gridCol w:w="808"/>
              <w:gridCol w:w="1658"/>
              <w:gridCol w:w="1811"/>
            </w:tblGrid>
            <w:tr w14:paraId="66337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402" w:type="pct"/>
                  <w:noWrap w:val="0"/>
                  <w:vAlign w:val="center"/>
                </w:tcPr>
                <w:p w14:paraId="498CF8C7">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1214" w:type="pct"/>
                  <w:noWrap w:val="0"/>
                  <w:vAlign w:val="center"/>
                </w:tcPr>
                <w:p w14:paraId="6241AC98">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名称</w:t>
                  </w:r>
                </w:p>
              </w:tc>
              <w:tc>
                <w:tcPr>
                  <w:tcW w:w="763" w:type="pct"/>
                  <w:noWrap w:val="0"/>
                  <w:vAlign w:val="center"/>
                </w:tcPr>
                <w:p w14:paraId="09059ECD">
                  <w:pPr>
                    <w:widowControl/>
                    <w:spacing w:line="240" w:lineRule="auto"/>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规格及成分</w:t>
                  </w:r>
                </w:p>
              </w:tc>
              <w:tc>
                <w:tcPr>
                  <w:tcW w:w="494" w:type="pct"/>
                  <w:noWrap w:val="0"/>
                  <w:vAlign w:val="center"/>
                </w:tcPr>
                <w:p w14:paraId="7D0E5F89">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单位</w:t>
                  </w:r>
                </w:p>
              </w:tc>
              <w:tc>
                <w:tcPr>
                  <w:tcW w:w="1015" w:type="pct"/>
                  <w:noWrap w:val="0"/>
                  <w:vAlign w:val="center"/>
                </w:tcPr>
                <w:p w14:paraId="12C356E4">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本项目年耗量</w:t>
                  </w:r>
                </w:p>
              </w:tc>
              <w:tc>
                <w:tcPr>
                  <w:tcW w:w="1108" w:type="pct"/>
                  <w:noWrap w:val="0"/>
                  <w:vAlign w:val="center"/>
                </w:tcPr>
                <w:p w14:paraId="7701C0A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最大储存量</w:t>
                  </w:r>
                </w:p>
              </w:tc>
            </w:tr>
            <w:tr w14:paraId="7165F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2" w:type="pct"/>
                  <w:noWrap w:val="0"/>
                  <w:vAlign w:val="center"/>
                </w:tcPr>
                <w:p w14:paraId="5BC697AF">
                  <w:pPr>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w:t>
                  </w:r>
                </w:p>
              </w:tc>
              <w:tc>
                <w:tcPr>
                  <w:tcW w:w="1214" w:type="pct"/>
                  <w:noWrap w:val="0"/>
                  <w:vAlign w:val="center"/>
                </w:tcPr>
                <w:p w14:paraId="5ABE50B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PP</w:t>
                  </w:r>
                  <w:r>
                    <w:rPr>
                      <w:rFonts w:hint="default" w:ascii="Times New Roman" w:hAnsi="Times New Roman" w:eastAsia="宋体" w:cs="Times New Roman"/>
                      <w:color w:val="auto"/>
                      <w:kern w:val="0"/>
                      <w:sz w:val="18"/>
                      <w:szCs w:val="18"/>
                      <w:lang w:val="en-US" w:eastAsia="zh-CN" w:bidi="ar"/>
                    </w:rPr>
                    <w:t>塑料颗粒</w:t>
                  </w:r>
                </w:p>
              </w:tc>
              <w:tc>
                <w:tcPr>
                  <w:tcW w:w="763" w:type="pct"/>
                  <w:noWrap w:val="0"/>
                  <w:vAlign w:val="center"/>
                </w:tcPr>
                <w:p w14:paraId="6D55080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sz w:val="18"/>
                      <w:szCs w:val="18"/>
                    </w:rPr>
                    <w:t>2</w:t>
                  </w:r>
                  <w:r>
                    <w:rPr>
                      <w:rFonts w:hint="eastAsia"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kg/袋</w:t>
                  </w:r>
                </w:p>
              </w:tc>
              <w:tc>
                <w:tcPr>
                  <w:tcW w:w="494" w:type="pct"/>
                  <w:noWrap w:val="0"/>
                  <w:vAlign w:val="center"/>
                </w:tcPr>
                <w:p w14:paraId="7ED0F5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15" w:type="pct"/>
                  <w:noWrap w:val="0"/>
                  <w:vAlign w:val="center"/>
                </w:tcPr>
                <w:p w14:paraId="2B3E248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400</w:t>
                  </w:r>
                </w:p>
              </w:tc>
              <w:tc>
                <w:tcPr>
                  <w:tcW w:w="1108" w:type="pct"/>
                  <w:noWrap w:val="0"/>
                  <w:vAlign w:val="center"/>
                </w:tcPr>
                <w:p w14:paraId="215EDDB9">
                  <w:pPr>
                    <w:spacing w:line="240" w:lineRule="auto"/>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10</w:t>
                  </w:r>
                </w:p>
              </w:tc>
            </w:tr>
            <w:tr w14:paraId="76581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2" w:type="pct"/>
                  <w:noWrap w:val="0"/>
                  <w:vAlign w:val="center"/>
                </w:tcPr>
                <w:p w14:paraId="45A6831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214" w:type="pct"/>
                  <w:noWrap w:val="0"/>
                  <w:vAlign w:val="center"/>
                </w:tcPr>
                <w:p w14:paraId="276D5B7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ABS塑料颗粒</w:t>
                  </w:r>
                </w:p>
              </w:tc>
              <w:tc>
                <w:tcPr>
                  <w:tcW w:w="763" w:type="pct"/>
                  <w:noWrap w:val="0"/>
                  <w:vAlign w:val="center"/>
                </w:tcPr>
                <w:p w14:paraId="1DB7E000">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kg/袋</w:t>
                  </w:r>
                </w:p>
              </w:tc>
              <w:tc>
                <w:tcPr>
                  <w:tcW w:w="494" w:type="pct"/>
                  <w:noWrap w:val="0"/>
                  <w:vAlign w:val="center"/>
                </w:tcPr>
                <w:p w14:paraId="0DDFC841">
                  <w:pPr>
                    <w:pStyle w:val="54"/>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15" w:type="pct"/>
                  <w:noWrap w:val="0"/>
                  <w:vAlign w:val="center"/>
                </w:tcPr>
                <w:p w14:paraId="5B2027DF">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500</w:t>
                  </w:r>
                </w:p>
              </w:tc>
              <w:tc>
                <w:tcPr>
                  <w:tcW w:w="1108" w:type="pct"/>
                  <w:noWrap w:val="0"/>
                  <w:vAlign w:val="center"/>
                </w:tcPr>
                <w:p w14:paraId="168DDD8C">
                  <w:pPr>
                    <w:spacing w:line="240" w:lineRule="auto"/>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10</w:t>
                  </w:r>
                </w:p>
              </w:tc>
            </w:tr>
            <w:tr w14:paraId="313BF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 w:hRule="atLeast"/>
                <w:jc w:val="center"/>
              </w:trPr>
              <w:tc>
                <w:tcPr>
                  <w:tcW w:w="402" w:type="pct"/>
                  <w:noWrap w:val="0"/>
                  <w:vAlign w:val="center"/>
                </w:tcPr>
                <w:p w14:paraId="74AA95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214" w:type="pct"/>
                  <w:noWrap w:val="0"/>
                  <w:vAlign w:val="center"/>
                </w:tcPr>
                <w:p w14:paraId="0EB3EBD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pacing w:val="16"/>
                      <w:sz w:val="18"/>
                      <w:szCs w:val="18"/>
                      <w:lang w:val="en-US" w:eastAsia="zh-CN"/>
                    </w:rPr>
                    <w:t>PA塑料颗粒</w:t>
                  </w:r>
                </w:p>
              </w:tc>
              <w:tc>
                <w:tcPr>
                  <w:tcW w:w="763" w:type="pct"/>
                  <w:noWrap w:val="0"/>
                  <w:vAlign w:val="center"/>
                </w:tcPr>
                <w:p w14:paraId="087DA94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sz w:val="18"/>
                      <w:szCs w:val="18"/>
                      <w:lang w:val="en-US" w:eastAsia="zh-CN"/>
                    </w:rPr>
                  </w:pP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kg/袋</w:t>
                  </w:r>
                </w:p>
              </w:tc>
              <w:tc>
                <w:tcPr>
                  <w:tcW w:w="494" w:type="pct"/>
                  <w:noWrap w:val="0"/>
                  <w:vAlign w:val="center"/>
                </w:tcPr>
                <w:p w14:paraId="577AF3D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15" w:type="pct"/>
                  <w:noWrap w:val="0"/>
                  <w:vAlign w:val="center"/>
                </w:tcPr>
                <w:p w14:paraId="2B0E1C8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1108" w:type="pct"/>
                  <w:noWrap w:val="0"/>
                  <w:vAlign w:val="center"/>
                </w:tcPr>
                <w:p w14:paraId="55B6308B">
                  <w:pPr>
                    <w:spacing w:line="240" w:lineRule="auto"/>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r>
            <w:tr w14:paraId="48E8F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402" w:type="pct"/>
                  <w:noWrap w:val="0"/>
                  <w:vAlign w:val="center"/>
                </w:tcPr>
                <w:p w14:paraId="4D66F64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214" w:type="pct"/>
                  <w:noWrap w:val="0"/>
                  <w:vAlign w:val="center"/>
                </w:tcPr>
                <w:p w14:paraId="37A27D4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TW" w:bidi="ar"/>
                    </w:rPr>
                    <w:t>液压</w:t>
                  </w:r>
                  <w:r>
                    <w:rPr>
                      <w:rFonts w:hint="default" w:ascii="Times New Roman" w:hAnsi="Times New Roman" w:eastAsia="宋体" w:cs="Times New Roman"/>
                      <w:color w:val="auto"/>
                      <w:kern w:val="0"/>
                      <w:sz w:val="18"/>
                      <w:szCs w:val="18"/>
                      <w:lang w:val="en-US" w:eastAsia="zh-CN" w:bidi="ar"/>
                    </w:rPr>
                    <w:t>油</w:t>
                  </w:r>
                </w:p>
              </w:tc>
              <w:tc>
                <w:tcPr>
                  <w:tcW w:w="763" w:type="pct"/>
                  <w:noWrap w:val="0"/>
                  <w:vAlign w:val="center"/>
                </w:tcPr>
                <w:p w14:paraId="4FFB9FBF">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180L/桶</w:t>
                  </w:r>
                </w:p>
              </w:tc>
              <w:tc>
                <w:tcPr>
                  <w:tcW w:w="494" w:type="pct"/>
                  <w:noWrap w:val="0"/>
                  <w:vAlign w:val="center"/>
                </w:tcPr>
                <w:p w14:paraId="5BD6F9C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t/a</w:t>
                  </w:r>
                </w:p>
              </w:tc>
              <w:tc>
                <w:tcPr>
                  <w:tcW w:w="1015" w:type="pct"/>
                  <w:noWrap w:val="0"/>
                  <w:vAlign w:val="center"/>
                </w:tcPr>
                <w:p w14:paraId="06B24855">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0.36</w:t>
                  </w:r>
                </w:p>
              </w:tc>
              <w:tc>
                <w:tcPr>
                  <w:tcW w:w="1108" w:type="pct"/>
                  <w:noWrap w:val="0"/>
                  <w:vAlign w:val="center"/>
                </w:tcPr>
                <w:p w14:paraId="5888AFC3">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0.18</w:t>
                  </w:r>
                </w:p>
              </w:tc>
            </w:tr>
            <w:tr w14:paraId="531B9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402" w:type="pct"/>
                  <w:noWrap w:val="0"/>
                  <w:vAlign w:val="center"/>
                </w:tcPr>
                <w:p w14:paraId="55EA2B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214" w:type="pct"/>
                  <w:noWrap w:val="0"/>
                  <w:vAlign w:val="center"/>
                </w:tcPr>
                <w:p w14:paraId="24125093">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润滑油</w:t>
                  </w:r>
                </w:p>
              </w:tc>
              <w:tc>
                <w:tcPr>
                  <w:tcW w:w="763" w:type="pct"/>
                  <w:noWrap w:val="0"/>
                  <w:vAlign w:val="center"/>
                </w:tcPr>
                <w:p w14:paraId="425D0519">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180L/桶</w:t>
                  </w:r>
                </w:p>
              </w:tc>
              <w:tc>
                <w:tcPr>
                  <w:tcW w:w="494" w:type="pct"/>
                  <w:noWrap w:val="0"/>
                  <w:vAlign w:val="center"/>
                </w:tcPr>
                <w:p w14:paraId="36980342">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t/a</w:t>
                  </w:r>
                </w:p>
              </w:tc>
              <w:tc>
                <w:tcPr>
                  <w:tcW w:w="1015" w:type="pct"/>
                  <w:noWrap w:val="0"/>
                  <w:vAlign w:val="center"/>
                </w:tcPr>
                <w:p w14:paraId="32E64F55">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0.36</w:t>
                  </w:r>
                </w:p>
              </w:tc>
              <w:tc>
                <w:tcPr>
                  <w:tcW w:w="1108" w:type="pct"/>
                  <w:noWrap w:val="0"/>
                  <w:vAlign w:val="center"/>
                </w:tcPr>
                <w:p w14:paraId="797048A7">
                  <w:pPr>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0.18</w:t>
                  </w:r>
                </w:p>
              </w:tc>
            </w:tr>
            <w:tr w14:paraId="40176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402" w:type="pct"/>
                  <w:noWrap w:val="0"/>
                  <w:vAlign w:val="center"/>
                </w:tcPr>
                <w:p w14:paraId="3A42A71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214" w:type="pct"/>
                  <w:noWrap w:val="0"/>
                  <w:vAlign w:val="center"/>
                </w:tcPr>
                <w:p w14:paraId="773851F4">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空压机油</w:t>
                  </w:r>
                </w:p>
              </w:tc>
              <w:tc>
                <w:tcPr>
                  <w:tcW w:w="763" w:type="pct"/>
                  <w:noWrap w:val="0"/>
                  <w:vAlign w:val="center"/>
                </w:tcPr>
                <w:p w14:paraId="5BEA58D7">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kg/桶</w:t>
                  </w:r>
                </w:p>
              </w:tc>
              <w:tc>
                <w:tcPr>
                  <w:tcW w:w="494" w:type="pct"/>
                  <w:noWrap w:val="0"/>
                  <w:vAlign w:val="center"/>
                </w:tcPr>
                <w:p w14:paraId="6E064353">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t/a</w:t>
                  </w:r>
                </w:p>
              </w:tc>
              <w:tc>
                <w:tcPr>
                  <w:tcW w:w="1015" w:type="pct"/>
                  <w:noWrap w:val="0"/>
                  <w:vAlign w:val="center"/>
                </w:tcPr>
                <w:p w14:paraId="48BFA85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0.02</w:t>
                  </w:r>
                </w:p>
              </w:tc>
              <w:tc>
                <w:tcPr>
                  <w:tcW w:w="1108" w:type="pct"/>
                  <w:noWrap w:val="0"/>
                  <w:vAlign w:val="center"/>
                </w:tcPr>
                <w:p w14:paraId="33DDB9E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不在厂区储存</w:t>
                  </w:r>
                </w:p>
              </w:tc>
            </w:tr>
            <w:tr w14:paraId="3EB46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402" w:type="pct"/>
                  <w:noWrap w:val="0"/>
                  <w:vAlign w:val="center"/>
                </w:tcPr>
                <w:p w14:paraId="3ED8E1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214" w:type="pct"/>
                  <w:noWrap w:val="0"/>
                  <w:vAlign w:val="center"/>
                </w:tcPr>
                <w:p w14:paraId="180E3AB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活性炭</w:t>
                  </w:r>
                </w:p>
              </w:tc>
              <w:tc>
                <w:tcPr>
                  <w:tcW w:w="763" w:type="pct"/>
                  <w:noWrap w:val="0"/>
                  <w:vAlign w:val="center"/>
                </w:tcPr>
                <w:p w14:paraId="3128B34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0.67</w:t>
                  </w:r>
                </w:p>
              </w:tc>
              <w:tc>
                <w:tcPr>
                  <w:tcW w:w="494" w:type="pct"/>
                  <w:noWrap w:val="0"/>
                  <w:vAlign w:val="center"/>
                </w:tcPr>
                <w:p w14:paraId="3F33FFE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t/a</w:t>
                  </w:r>
                </w:p>
              </w:tc>
              <w:tc>
                <w:tcPr>
                  <w:tcW w:w="1015" w:type="pct"/>
                  <w:noWrap w:val="0"/>
                  <w:vAlign w:val="center"/>
                </w:tcPr>
                <w:p w14:paraId="5288BA5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8.2</w:t>
                  </w:r>
                </w:p>
              </w:tc>
              <w:tc>
                <w:tcPr>
                  <w:tcW w:w="1108" w:type="pct"/>
                  <w:noWrap w:val="0"/>
                  <w:vAlign w:val="center"/>
                </w:tcPr>
                <w:p w14:paraId="2A579A5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不在厂区储存</w:t>
                  </w:r>
                </w:p>
              </w:tc>
            </w:tr>
            <w:tr w14:paraId="26A35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402" w:type="pct"/>
                  <w:noWrap w:val="0"/>
                  <w:vAlign w:val="center"/>
                </w:tcPr>
                <w:p w14:paraId="1BA5DD0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214" w:type="pct"/>
                  <w:noWrap w:val="0"/>
                  <w:vAlign w:val="center"/>
                </w:tcPr>
                <w:p w14:paraId="09F1915F">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模具</w:t>
                  </w:r>
                </w:p>
              </w:tc>
              <w:tc>
                <w:tcPr>
                  <w:tcW w:w="763" w:type="pct"/>
                  <w:noWrap w:val="0"/>
                  <w:vAlign w:val="center"/>
                </w:tcPr>
                <w:p w14:paraId="6E02ECF8">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副</w:t>
                  </w:r>
                </w:p>
              </w:tc>
              <w:tc>
                <w:tcPr>
                  <w:tcW w:w="494" w:type="pct"/>
                  <w:noWrap w:val="0"/>
                  <w:vAlign w:val="center"/>
                </w:tcPr>
                <w:p w14:paraId="008FB564">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副/a</w:t>
                  </w:r>
                </w:p>
              </w:tc>
              <w:tc>
                <w:tcPr>
                  <w:tcW w:w="1015" w:type="pct"/>
                  <w:noWrap w:val="0"/>
                  <w:vAlign w:val="center"/>
                </w:tcPr>
                <w:p w14:paraId="070A53F9">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1108" w:type="pct"/>
                  <w:noWrap w:val="0"/>
                  <w:vAlign w:val="center"/>
                </w:tcPr>
                <w:p w14:paraId="209508AF">
                  <w:pPr>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r>
            <w:tr w14:paraId="62703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5000" w:type="pct"/>
                  <w:gridSpan w:val="6"/>
                  <w:noWrap w:val="0"/>
                  <w:vAlign w:val="center"/>
                </w:tcPr>
                <w:p w14:paraId="71870B1A">
                  <w:pPr>
                    <w:spacing w:line="240" w:lineRule="auto"/>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 w:val="0"/>
                      <w:bCs w:val="0"/>
                      <w:color w:val="auto"/>
                      <w:sz w:val="18"/>
                      <w:szCs w:val="18"/>
                    </w:rPr>
                    <w:t>注：项目所使用的模具</w:t>
                  </w:r>
                  <w:r>
                    <w:rPr>
                      <w:rFonts w:hint="eastAsia" w:ascii="Times New Roman" w:hAnsi="Times New Roman" w:cs="Times New Roman"/>
                      <w:b w:val="0"/>
                      <w:bCs w:val="0"/>
                      <w:color w:val="auto"/>
                      <w:sz w:val="18"/>
                      <w:szCs w:val="18"/>
                      <w:lang w:eastAsia="zh-CN"/>
                    </w:rPr>
                    <w:t>维修等</w:t>
                  </w:r>
                  <w:r>
                    <w:rPr>
                      <w:rFonts w:hint="default" w:ascii="Times New Roman" w:hAnsi="Times New Roman" w:cs="Times New Roman"/>
                      <w:b w:val="0"/>
                      <w:bCs w:val="0"/>
                      <w:color w:val="auto"/>
                      <w:sz w:val="18"/>
                      <w:szCs w:val="18"/>
                      <w:lang w:val="en-US" w:eastAsia="zh-CN"/>
                    </w:rPr>
                    <w:t>处理均委外进行，</w:t>
                  </w:r>
                  <w:r>
                    <w:rPr>
                      <w:rFonts w:hint="default" w:ascii="Times New Roman" w:hAnsi="Times New Roman" w:cs="Times New Roman"/>
                      <w:b w:val="0"/>
                      <w:bCs w:val="0"/>
                      <w:color w:val="auto"/>
                      <w:sz w:val="18"/>
                      <w:szCs w:val="18"/>
                    </w:rPr>
                    <w:t>产品和模具装卸时不使用清洗剂和脱模剂，项目所使用的</w:t>
                  </w:r>
                  <w:r>
                    <w:rPr>
                      <w:rFonts w:hint="default" w:ascii="Times New Roman" w:hAnsi="Times New Roman" w:cs="Times New Roman"/>
                      <w:b w:val="0"/>
                      <w:bCs w:val="0"/>
                      <w:color w:val="auto"/>
                      <w:sz w:val="18"/>
                      <w:szCs w:val="18"/>
                      <w:lang w:val="en-US" w:eastAsia="zh-CN"/>
                    </w:rPr>
                    <w:t>ABS、</w:t>
                  </w:r>
                  <w:r>
                    <w:rPr>
                      <w:rFonts w:hint="eastAsia" w:ascii="Times New Roman" w:hAnsi="Times New Roman" w:cs="Times New Roman"/>
                      <w:b w:val="0"/>
                      <w:bCs w:val="0"/>
                      <w:color w:val="auto"/>
                      <w:sz w:val="18"/>
                      <w:szCs w:val="18"/>
                      <w:lang w:val="en-US" w:eastAsia="zh-CN"/>
                    </w:rPr>
                    <w:t>PP、</w:t>
                  </w:r>
                  <w:r>
                    <w:rPr>
                      <w:rFonts w:hint="default" w:ascii="Times New Roman" w:hAnsi="Times New Roman" w:eastAsia="宋体" w:cs="Times New Roman"/>
                      <w:color w:val="auto"/>
                      <w:spacing w:val="16"/>
                      <w:sz w:val="18"/>
                      <w:szCs w:val="18"/>
                      <w:lang w:val="en-US" w:eastAsia="zh-CN"/>
                    </w:rPr>
                    <w:t>PA</w:t>
                  </w:r>
                  <w:r>
                    <w:rPr>
                      <w:rFonts w:hint="default" w:ascii="Times New Roman" w:hAnsi="Times New Roman" w:cs="Times New Roman"/>
                      <w:b w:val="0"/>
                      <w:bCs w:val="0"/>
                      <w:color w:val="auto"/>
                      <w:sz w:val="18"/>
                      <w:szCs w:val="18"/>
                    </w:rPr>
                    <w:t>颗粒均为外购的新料，不涉及废旧再生塑料的使用。</w:t>
                  </w:r>
                </w:p>
              </w:tc>
            </w:tr>
          </w:tbl>
          <w:p w14:paraId="6438B7D9">
            <w:pPr>
              <w:jc w:val="center"/>
              <w:rPr>
                <w:rFonts w:hint="default" w:ascii="Times New Roman" w:hAnsi="Times New Roman" w:cs="Times New Roman"/>
                <w:b/>
                <w:color w:val="auto"/>
                <w:szCs w:val="21"/>
              </w:rPr>
            </w:pPr>
            <w:r>
              <w:rPr>
                <w:rFonts w:hint="default" w:ascii="Times New Roman" w:hAnsi="Times New Roman" w:cs="Times New Roman"/>
                <w:b/>
                <w:caps/>
                <w:color w:val="auto"/>
                <w:szCs w:val="21"/>
              </w:rPr>
              <w:t>表2-</w:t>
            </w:r>
            <w:r>
              <w:rPr>
                <w:rFonts w:hint="default" w:ascii="Times New Roman" w:hAnsi="Times New Roman" w:cs="Times New Roman"/>
                <w:b/>
                <w:caps/>
                <w:color w:val="auto"/>
                <w:szCs w:val="21"/>
                <w:lang w:val="en-US" w:eastAsia="zh-CN"/>
              </w:rPr>
              <w:t>6</w:t>
            </w:r>
            <w:r>
              <w:rPr>
                <w:rFonts w:hint="default" w:ascii="Times New Roman" w:hAnsi="Times New Roman" w:cs="Times New Roman"/>
                <w:b/>
                <w:caps/>
                <w:color w:val="auto"/>
                <w:szCs w:val="21"/>
              </w:rPr>
              <w:t xml:space="preserve"> </w:t>
            </w:r>
            <w:r>
              <w:rPr>
                <w:rFonts w:hint="default" w:ascii="Times New Roman" w:hAnsi="Times New Roman" w:cs="Times New Roman"/>
                <w:bCs/>
                <w:caps/>
                <w:color w:val="auto"/>
                <w:szCs w:val="21"/>
              </w:rPr>
              <w:t xml:space="preserve"> </w:t>
            </w:r>
            <w:r>
              <w:rPr>
                <w:rFonts w:hint="default" w:ascii="Times New Roman" w:hAnsi="Times New Roman" w:cs="Times New Roman"/>
                <w:b/>
                <w:color w:val="auto"/>
                <w:szCs w:val="21"/>
              </w:rPr>
              <w:t>主要原辅材料物理性质一览表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6976"/>
            </w:tblGrid>
            <w:tr w14:paraId="20271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31" w:type="pct"/>
                  <w:noWrap w:val="0"/>
                  <w:vAlign w:val="center"/>
                </w:tcPr>
                <w:p w14:paraId="370C8D1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4268" w:type="pct"/>
                  <w:noWrap w:val="0"/>
                  <w:vAlign w:val="center"/>
                </w:tcPr>
                <w:p w14:paraId="5AB8C9D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理化性质</w:t>
                  </w:r>
                </w:p>
              </w:tc>
            </w:tr>
            <w:tr w14:paraId="7E5F0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31" w:type="pct"/>
                  <w:noWrap w:val="0"/>
                  <w:vAlign w:val="center"/>
                </w:tcPr>
                <w:p w14:paraId="1D056394">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ABS</w:t>
                  </w:r>
                </w:p>
              </w:tc>
              <w:tc>
                <w:tcPr>
                  <w:tcW w:w="4268" w:type="pct"/>
                  <w:noWrap w:val="0"/>
                  <w:vAlign w:val="center"/>
                </w:tcPr>
                <w:p w14:paraId="632963A5">
                  <w:pPr>
                    <w:adjustRightInd w:val="0"/>
                    <w:snapToGrid w:val="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25kg/袋，ABS塑料是丙烯腈，丁二烯和苯乙烯组成的三元共聚物，白色固体，无味，闪火点404℃，密度1.03～1.10g/cm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，不溶于水，注塑温度200℃到230℃，分解温度＞250℃</w:t>
                  </w:r>
                </w:p>
              </w:tc>
            </w:tr>
            <w:tr w14:paraId="7C605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31" w:type="pct"/>
                  <w:noWrap w:val="0"/>
                  <w:vAlign w:val="center"/>
                </w:tcPr>
                <w:p w14:paraId="37502F24">
                  <w:pPr>
                    <w:widowControl/>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pacing w:val="16"/>
                      <w:sz w:val="18"/>
                      <w:szCs w:val="18"/>
                      <w:lang w:val="en-US" w:eastAsia="zh-CN"/>
                    </w:rPr>
                    <w:t>PA</w:t>
                  </w:r>
                </w:p>
              </w:tc>
              <w:tc>
                <w:tcPr>
                  <w:tcW w:w="4268" w:type="pct"/>
                  <w:noWrap w:val="0"/>
                  <w:vAlign w:val="center"/>
                </w:tcPr>
                <w:p w14:paraId="3308126A">
                  <w:pPr>
                    <w:adjustRightInd w:val="0"/>
                    <w:snapToGrid w:val="0"/>
                    <w:spacing w:line="240" w:lineRule="auto"/>
                    <w:jc w:val="both"/>
                    <w:rPr>
                      <w:rFonts w:hint="default" w:ascii="Times New Roman" w:hAnsi="Times New Roman" w:eastAsia="宋体" w:cs="Times New Roman"/>
                      <w:color w:val="auto"/>
                      <w:kern w:val="2"/>
                      <w:sz w:val="18"/>
                      <w:szCs w:val="18"/>
                      <w:shd w:val="clear" w:color="auto" w:fill="FFFFFF"/>
                      <w:lang w:val="en-US" w:eastAsia="zh-CN" w:bidi="ar-SA"/>
                    </w:rPr>
                  </w:pPr>
                  <w:r>
                    <w:rPr>
                      <w:rFonts w:hint="default" w:ascii="Times New Roman" w:hAnsi="Times New Roman" w:cs="Times New Roman"/>
                      <w:color w:val="auto"/>
                      <w:sz w:val="18"/>
                      <w:szCs w:val="18"/>
                      <w:lang w:val="en-US" w:eastAsia="zh-CN"/>
                    </w:rPr>
                    <w:t>粒径约2mm</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lang w:val="en-US" w:eastAsia="zh-CN"/>
                    </w:rPr>
                    <w:t>5mm</w:t>
                  </w:r>
                  <w:r>
                    <w:rPr>
                      <w:rFonts w:hint="default" w:ascii="Times New Roman" w:hAnsi="Times New Roman" w:cs="Times New Roman"/>
                      <w:color w:val="auto"/>
                      <w:sz w:val="18"/>
                      <w:szCs w:val="18"/>
                      <w:shd w:val="clear" w:color="auto" w:fill="FFFFFF"/>
                      <w:lang w:val="en-US" w:eastAsia="zh-CN"/>
                    </w:rPr>
                    <w:t>，它通常由二元酸和二元胺经缩聚而得。聚酰胺树脂最突出的优点为软化点的范围特别窄，而</w:t>
                  </w:r>
                  <w:r>
                    <w:rPr>
                      <w:rFonts w:hint="eastAsia" w:ascii="Times New Roman" w:hAnsi="Times New Roman" w:cs="Times New Roman"/>
                      <w:color w:val="auto"/>
                      <w:sz w:val="18"/>
                      <w:szCs w:val="18"/>
                      <w:shd w:val="clear" w:color="auto" w:fill="FFFFFF"/>
                      <w:lang w:val="en-US" w:eastAsia="zh-CN"/>
                    </w:rPr>
                    <w:t>不像其他</w:t>
                  </w:r>
                  <w:r>
                    <w:rPr>
                      <w:rFonts w:hint="default" w:ascii="Times New Roman" w:hAnsi="Times New Roman" w:cs="Times New Roman"/>
                      <w:color w:val="auto"/>
                      <w:sz w:val="18"/>
                      <w:szCs w:val="18"/>
                      <w:shd w:val="clear" w:color="auto" w:fill="FFFFFF"/>
                      <w:lang w:val="en-US" w:eastAsia="zh-CN"/>
                    </w:rPr>
                    <w:t>热塑性树脂那样，有一个逐渐固化或软化的过程，当温度稍低于熔点时就引起急速的固化</w:t>
                  </w:r>
                </w:p>
              </w:tc>
            </w:tr>
            <w:tr w14:paraId="05B28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31" w:type="pct"/>
                  <w:noWrap w:val="0"/>
                  <w:vAlign w:val="center"/>
                </w:tcPr>
                <w:p w14:paraId="4465FFDF">
                  <w:pPr>
                    <w:pStyle w:val="99"/>
                    <w:rPr>
                      <w:rFonts w:hint="default" w:ascii="Times New Roman" w:hAnsi="Times New Roman" w:eastAsia="宋体" w:cs="宋体"/>
                      <w:color w:val="auto"/>
                      <w:kern w:val="0"/>
                      <w:sz w:val="18"/>
                      <w:szCs w:val="18"/>
                      <w:lang w:val="en-US" w:eastAsia="zh-CN" w:bidi="ar-SA"/>
                    </w:rPr>
                  </w:pPr>
                  <w:r>
                    <w:rPr>
                      <w:rFonts w:ascii="Times New Roman" w:hAnsi="Times New Roman"/>
                      <w:color w:val="auto"/>
                      <w:sz w:val="18"/>
                      <w:szCs w:val="18"/>
                    </w:rPr>
                    <w:t>PP</w:t>
                  </w:r>
                </w:p>
              </w:tc>
              <w:tc>
                <w:tcPr>
                  <w:tcW w:w="4268" w:type="pct"/>
                  <w:noWrap w:val="0"/>
                  <w:vAlign w:val="center"/>
                </w:tcPr>
                <w:p w14:paraId="0CD4806A">
                  <w:pPr>
                    <w:pStyle w:val="99"/>
                    <w:jc w:val="both"/>
                    <w:rPr>
                      <w:rFonts w:hint="default" w:ascii="Times New Roman" w:hAnsi="Times New Roman" w:eastAsia="宋体" w:cs="宋体"/>
                      <w:color w:val="auto"/>
                      <w:kern w:val="0"/>
                      <w:sz w:val="18"/>
                      <w:szCs w:val="18"/>
                      <w:lang w:val="en-US" w:eastAsia="zh-CN" w:bidi="ar-SA"/>
                    </w:rPr>
                  </w:pPr>
                  <w:r>
                    <w:rPr>
                      <w:rFonts w:ascii="Times New Roman" w:hAnsi="Times New Roman"/>
                      <w:color w:val="auto"/>
                      <w:sz w:val="18"/>
                      <w:szCs w:val="18"/>
                    </w:rPr>
                    <w:t>丙烯通过加聚反应而成的聚合物。系白色蜡状材料，外观透明而轻。化学式为</w:t>
                  </w:r>
                  <w:r>
                    <w:rPr>
                      <w:rFonts w:hint="eastAsia" w:ascii="Times New Roman" w:hAnsi="Times New Roman"/>
                      <w:color w:val="auto"/>
                      <w:sz w:val="18"/>
                      <w:szCs w:val="18"/>
                      <w:lang w:eastAsia="zh-CN"/>
                    </w:rPr>
                    <w:t>（</w:t>
                  </w:r>
                  <w:r>
                    <w:rPr>
                      <w:rFonts w:ascii="Times New Roman" w:hAnsi="Times New Roman"/>
                      <w:color w:val="auto"/>
                      <w:sz w:val="18"/>
                      <w:szCs w:val="18"/>
                    </w:rPr>
                    <w:t>C</w:t>
                  </w:r>
                  <w:r>
                    <w:rPr>
                      <w:rFonts w:ascii="Times New Roman" w:hAnsi="Times New Roman"/>
                      <w:color w:val="auto"/>
                      <w:sz w:val="18"/>
                      <w:szCs w:val="18"/>
                      <w:vertAlign w:val="subscript"/>
                    </w:rPr>
                    <w:t>3</w:t>
                  </w:r>
                  <w:r>
                    <w:rPr>
                      <w:rFonts w:ascii="Times New Roman" w:hAnsi="Times New Roman"/>
                      <w:color w:val="auto"/>
                      <w:sz w:val="18"/>
                      <w:szCs w:val="18"/>
                    </w:rPr>
                    <w:t>H</w:t>
                  </w:r>
                  <w:r>
                    <w:rPr>
                      <w:rFonts w:ascii="Times New Roman" w:hAnsi="Times New Roman"/>
                      <w:color w:val="auto"/>
                      <w:sz w:val="18"/>
                      <w:szCs w:val="18"/>
                      <w:vertAlign w:val="subscript"/>
                    </w:rPr>
                    <w:t>6</w:t>
                  </w:r>
                  <w:r>
                    <w:rPr>
                      <w:rFonts w:hint="eastAsia" w:ascii="Times New Roman" w:hAnsi="Times New Roman"/>
                      <w:color w:val="auto"/>
                      <w:sz w:val="18"/>
                      <w:szCs w:val="18"/>
                      <w:vertAlign w:val="baseline"/>
                      <w:lang w:eastAsia="zh-CN"/>
                    </w:rPr>
                    <w:t>）</w:t>
                  </w:r>
                  <w:r>
                    <w:rPr>
                      <w:rFonts w:ascii="Times New Roman" w:hAnsi="Times New Roman"/>
                      <w:color w:val="auto"/>
                      <w:sz w:val="18"/>
                      <w:szCs w:val="18"/>
                    </w:rPr>
                    <w:t>n，密度为0.89～0.91g/cm</w:t>
                  </w:r>
                  <w:r>
                    <w:rPr>
                      <w:rFonts w:ascii="Times New Roman" w:hAnsi="Times New Roman"/>
                      <w:color w:val="auto"/>
                      <w:sz w:val="18"/>
                      <w:szCs w:val="18"/>
                      <w:vertAlign w:val="superscript"/>
                    </w:rPr>
                    <w:t>3</w:t>
                  </w:r>
                  <w:r>
                    <w:rPr>
                      <w:rFonts w:ascii="Times New Roman" w:hAnsi="Times New Roman"/>
                      <w:color w:val="auto"/>
                      <w:sz w:val="18"/>
                      <w:szCs w:val="18"/>
                    </w:rPr>
                    <w:t>，易燃，熔点为164~170℃，在155℃左右软化，使用温度范围为-30～140℃，热分解温度为350～380℃。在80℃以下能耐酸、碱、盐液及多种有机溶剂的腐蚀，能在高温和氧化作用下分解。聚丙烯是一种性能优良的热塑性合成树脂，为无色半透明的热塑性轻质通用塑料，具有耐化学性、耐热性、电绝缘性、高强度机械性能和良好的高耐磨加工性能等，广泛应用于服装、毛毯等纤维制品、医疗器械、汽车、自行车、零件、输送管道、化工容器等生产，也用于食品、药品包装。</w:t>
                  </w:r>
                </w:p>
              </w:tc>
            </w:tr>
            <w:bookmarkEnd w:id="44"/>
            <w:bookmarkEnd w:id="45"/>
            <w:bookmarkEnd w:id="46"/>
            <w:bookmarkEnd w:id="47"/>
          </w:tbl>
          <w:p w14:paraId="76081A7B">
            <w:pPr>
              <w:pStyle w:val="26"/>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Cs w:val="21"/>
              </w:rPr>
            </w:pPr>
          </w:p>
        </w:tc>
      </w:tr>
      <w:tr w14:paraId="59710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noWrap w:val="0"/>
            <w:vAlign w:val="center"/>
          </w:tcPr>
          <w:p w14:paraId="7E8801E6">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p>
        </w:tc>
        <w:tc>
          <w:tcPr>
            <w:tcW w:w="8420" w:type="dxa"/>
            <w:noWrap w:val="0"/>
            <w:vAlign w:val="center"/>
          </w:tcPr>
          <w:p w14:paraId="60657576">
            <w:pPr>
              <w:spacing w:line="36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2.3.7</w:t>
            </w:r>
            <w:r>
              <w:rPr>
                <w:rFonts w:hint="eastAsia" w:ascii="Times New Roman" w:hAnsi="Times New Roman" w:cs="Times New Roman"/>
                <w:b/>
                <w:color w:val="auto"/>
                <w:sz w:val="21"/>
                <w:szCs w:val="21"/>
                <w:lang w:eastAsia="zh-CN"/>
              </w:rPr>
              <w:t>重庆三花门业有限公司</w:t>
            </w:r>
            <w:r>
              <w:rPr>
                <w:rFonts w:hint="default" w:ascii="Times New Roman" w:hAnsi="Times New Roman" w:eastAsia="宋体" w:cs="Times New Roman"/>
                <w:b/>
                <w:color w:val="auto"/>
                <w:sz w:val="21"/>
                <w:szCs w:val="21"/>
                <w:lang w:eastAsia="zh-CN"/>
              </w:rPr>
              <w:t>概况</w:t>
            </w:r>
          </w:p>
          <w:p w14:paraId="1A121A4D">
            <w:pPr>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重庆三花门业有限公司位于</w:t>
            </w:r>
            <w:r>
              <w:rPr>
                <w:rFonts w:hint="eastAsia" w:ascii="Times New Roman" w:hAnsi="Times New Roman" w:cs="Times New Roman"/>
                <w:color w:val="auto"/>
                <w:szCs w:val="21"/>
                <w:lang w:eastAsia="zh-CN"/>
              </w:rPr>
              <w:t>重庆市合川区南溪组团A区，该公司</w:t>
            </w:r>
            <w:r>
              <w:rPr>
                <w:rFonts w:hint="eastAsia" w:ascii="Times New Roman" w:hAnsi="Times New Roman" w:cs="Times New Roman"/>
                <w:bCs/>
                <w:color w:val="auto"/>
                <w:sz w:val="21"/>
                <w:szCs w:val="21"/>
                <w:lang w:eastAsia="zh-CN"/>
              </w:rPr>
              <w:t>于</w:t>
            </w:r>
            <w:r>
              <w:rPr>
                <w:rFonts w:hint="eastAsia" w:ascii="Times New Roman" w:hAnsi="Times New Roman" w:cs="Times New Roman"/>
                <w:bCs/>
                <w:color w:val="auto"/>
                <w:sz w:val="21"/>
                <w:szCs w:val="21"/>
                <w:lang w:val="en-US" w:eastAsia="zh-CN"/>
              </w:rPr>
              <w:t>2019年租赁重庆市合川区教育建筑工程有限公司2#厂房1F闲置区域、1#附属综合楼部分办公区建设“防火门、防盗门、消防器材、五金配件生产项目”，建筑面积53884.4m</w:t>
            </w:r>
            <w:r>
              <w:rPr>
                <w:rFonts w:hint="eastAsia" w:ascii="Times New Roman" w:hAnsi="Times New Roman" w:cs="Times New Roman"/>
                <w:bCs/>
                <w:color w:val="auto"/>
                <w:sz w:val="21"/>
                <w:szCs w:val="21"/>
                <w:vertAlign w:val="superscript"/>
                <w:lang w:val="en-US" w:eastAsia="zh-CN"/>
              </w:rPr>
              <w:t>2</w:t>
            </w:r>
            <w:r>
              <w:rPr>
                <w:rFonts w:hint="eastAsia" w:ascii="Times New Roman" w:hAnsi="Times New Roman" w:cs="Times New Roman"/>
                <w:bCs/>
                <w:color w:val="auto"/>
                <w:sz w:val="21"/>
                <w:szCs w:val="21"/>
                <w:vertAlign w:val="baseline"/>
                <w:lang w:val="en-US" w:eastAsia="zh-CN"/>
              </w:rPr>
              <w:t>，</w:t>
            </w:r>
            <w:r>
              <w:rPr>
                <w:rFonts w:hint="eastAsia" w:ascii="Times New Roman" w:hAnsi="Times New Roman" w:cs="Times New Roman"/>
                <w:bCs/>
                <w:color w:val="auto"/>
                <w:sz w:val="21"/>
                <w:szCs w:val="21"/>
                <w:lang w:val="en-US" w:eastAsia="zh-CN"/>
              </w:rPr>
              <w:t>该项目于2019年11月取得了环评批复手续：渝（合）环准〔2019〕99号，并</w:t>
            </w:r>
            <w:r>
              <w:rPr>
                <w:rFonts w:hint="eastAsia" w:ascii="Times New Roman" w:hAnsi="Times New Roman" w:cs="Times New Roman"/>
                <w:bCs/>
                <w:color w:val="auto"/>
                <w:sz w:val="21"/>
                <w:szCs w:val="21"/>
                <w:lang w:eastAsia="zh-CN"/>
              </w:rPr>
              <w:t>于</w:t>
            </w:r>
            <w:r>
              <w:rPr>
                <w:rFonts w:hint="eastAsia" w:ascii="Times New Roman" w:hAnsi="Times New Roman" w:cs="Times New Roman"/>
                <w:bCs/>
                <w:color w:val="auto"/>
                <w:sz w:val="21"/>
                <w:szCs w:val="21"/>
                <w:lang w:val="en-US" w:eastAsia="zh-CN"/>
              </w:rPr>
              <w:t>2020年8月通过了竣工环境保护验收（渝(合)环验〔2020〕40号），主要</w:t>
            </w:r>
            <w:r>
              <w:rPr>
                <w:rFonts w:hint="default" w:ascii="Times New Roman" w:hAnsi="Times New Roman" w:eastAsia="宋体" w:cs="Times New Roman"/>
                <w:bCs/>
                <w:color w:val="auto"/>
                <w:sz w:val="21"/>
                <w:szCs w:val="21"/>
                <w:lang w:eastAsia="zh-CN"/>
              </w:rPr>
              <w:t>设置钢板加工区、木板加工区、填芯区等生产区域，</w:t>
            </w:r>
            <w:r>
              <w:rPr>
                <w:rFonts w:hint="default" w:ascii="Times New Roman" w:hAnsi="Times New Roman" w:eastAsia="宋体" w:cs="Times New Roman"/>
                <w:color w:val="auto"/>
                <w:sz w:val="21"/>
                <w:szCs w:val="21"/>
              </w:rPr>
              <w:t>其</w:t>
            </w:r>
            <w:r>
              <w:rPr>
                <w:rFonts w:hint="default" w:ascii="Times New Roman" w:hAnsi="Times New Roman" w:eastAsia="宋体" w:cs="Times New Roman"/>
                <w:color w:val="auto"/>
                <w:sz w:val="21"/>
                <w:szCs w:val="21"/>
                <w:lang w:eastAsia="zh-CN"/>
              </w:rPr>
              <w:t>配套建设了</w:t>
            </w:r>
            <w:r>
              <w:rPr>
                <w:rFonts w:hint="default" w:ascii="Times New Roman" w:hAnsi="Times New Roman" w:eastAsia="宋体" w:cs="Times New Roman"/>
                <w:color w:val="auto"/>
                <w:sz w:val="21"/>
                <w:szCs w:val="21"/>
              </w:rPr>
              <w:t>供水、供电</w:t>
            </w:r>
            <w:r>
              <w:rPr>
                <w:rFonts w:hint="default" w:ascii="Times New Roman" w:hAnsi="Times New Roman" w:eastAsia="宋体" w:cs="Times New Roman"/>
                <w:color w:val="auto"/>
                <w:sz w:val="21"/>
                <w:szCs w:val="21"/>
                <w:lang w:eastAsia="zh-CN"/>
              </w:rPr>
              <w:t>、生化池</w:t>
            </w:r>
            <w:r>
              <w:rPr>
                <w:rFonts w:hint="default" w:ascii="Times New Roman" w:hAnsi="Times New Roman" w:eastAsia="宋体" w:cs="Times New Roman"/>
                <w:color w:val="auto"/>
                <w:sz w:val="21"/>
                <w:szCs w:val="21"/>
              </w:rPr>
              <w:t>等设施</w:t>
            </w:r>
            <w:r>
              <w:rPr>
                <w:rFonts w:hint="default" w:ascii="Times New Roman" w:hAnsi="Times New Roman" w:eastAsia="宋体" w:cs="Times New Roman"/>
                <w:color w:val="auto"/>
                <w:sz w:val="21"/>
                <w:szCs w:val="21"/>
                <w:lang w:eastAsia="zh-CN"/>
              </w:rPr>
              <w:t>，因此本项目依托其</w:t>
            </w:r>
            <w:r>
              <w:rPr>
                <w:rFonts w:hint="default" w:ascii="Times New Roman" w:hAnsi="Times New Roman" w:eastAsia="宋体" w:cs="Times New Roman"/>
                <w:color w:val="auto"/>
                <w:sz w:val="21"/>
                <w:szCs w:val="21"/>
              </w:rPr>
              <w:t>供水、供电</w:t>
            </w:r>
            <w:r>
              <w:rPr>
                <w:rFonts w:hint="default" w:ascii="Times New Roman" w:hAnsi="Times New Roman" w:eastAsia="宋体" w:cs="Times New Roman"/>
                <w:color w:val="auto"/>
                <w:sz w:val="21"/>
                <w:szCs w:val="21"/>
                <w:lang w:eastAsia="zh-CN"/>
              </w:rPr>
              <w:t>、生化池</w:t>
            </w:r>
            <w:r>
              <w:rPr>
                <w:rFonts w:hint="default" w:ascii="Times New Roman" w:hAnsi="Times New Roman" w:eastAsia="宋体" w:cs="Times New Roman"/>
                <w:color w:val="auto"/>
                <w:sz w:val="21"/>
                <w:szCs w:val="21"/>
              </w:rPr>
              <w:t>等设施</w:t>
            </w:r>
            <w:r>
              <w:rPr>
                <w:rFonts w:hint="default" w:ascii="Times New Roman" w:hAnsi="Times New Roman" w:eastAsia="宋体" w:cs="Times New Roman"/>
                <w:color w:val="auto"/>
                <w:sz w:val="21"/>
                <w:szCs w:val="21"/>
                <w:lang w:eastAsia="zh-CN"/>
              </w:rPr>
              <w:t>可行。</w:t>
            </w:r>
            <w:r>
              <w:rPr>
                <w:rFonts w:hint="eastAsia" w:ascii="Times New Roman" w:hAnsi="Times New Roman" w:eastAsia="宋体" w:cs="Times New Roman"/>
                <w:color w:val="auto"/>
                <w:sz w:val="21"/>
                <w:szCs w:val="21"/>
                <w:lang w:eastAsia="zh-CN"/>
              </w:rPr>
              <w:t>项目主要</w:t>
            </w:r>
            <w:r>
              <w:rPr>
                <w:rFonts w:hint="default" w:ascii="Times New Roman" w:hAnsi="Times New Roman" w:eastAsia="宋体" w:cs="Times New Roman"/>
                <w:bCs/>
                <w:color w:val="auto"/>
                <w:sz w:val="21"/>
                <w:szCs w:val="21"/>
                <w:lang w:eastAsia="zh-CN"/>
              </w:rPr>
              <w:t>从事防火门、防盗门的生产，年产钢质防火门5.1万套、钢木质防火门3万套、钢制防盗门3.5万套。</w:t>
            </w:r>
            <w:r>
              <w:rPr>
                <w:rFonts w:hint="eastAsia" w:ascii="Times New Roman" w:hAnsi="Times New Roman" w:cs="Times New Roman"/>
                <w:bCs/>
                <w:color w:val="auto"/>
                <w:sz w:val="21"/>
                <w:szCs w:val="21"/>
                <w:lang w:val="en-US" w:eastAsia="zh-CN"/>
              </w:rPr>
              <w:t>2023年受市场影响，</w:t>
            </w:r>
            <w:r>
              <w:rPr>
                <w:rFonts w:hint="eastAsia" w:ascii="Times New Roman" w:hAnsi="Times New Roman" w:cs="Times New Roman"/>
                <w:bCs/>
                <w:color w:val="auto"/>
                <w:sz w:val="21"/>
                <w:szCs w:val="21"/>
                <w:lang w:eastAsia="zh-CN"/>
              </w:rPr>
              <w:t>重庆三花门业有限公司决定停止项目的运营，并将厂区内的设备腾空，将厂房对外进行出租，本项目租赁其</w:t>
            </w:r>
            <w:r>
              <w:rPr>
                <w:rFonts w:hint="eastAsia" w:ascii="Times New Roman" w:hAnsi="Times New Roman" w:cs="Times New Roman"/>
                <w:color w:val="auto"/>
                <w:szCs w:val="21"/>
                <w:lang w:eastAsia="zh-CN"/>
              </w:rPr>
              <w:t>1楼B区、C区厂房进行生产。</w:t>
            </w:r>
          </w:p>
          <w:p w14:paraId="4BA544C3">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项目依托</w:t>
            </w:r>
            <w:r>
              <w:rPr>
                <w:rFonts w:hint="eastAsia" w:ascii="Times New Roman" w:hAnsi="Times New Roman" w:cs="Times New Roman"/>
                <w:bCs/>
                <w:color w:val="auto"/>
                <w:sz w:val="21"/>
                <w:szCs w:val="21"/>
                <w:lang w:eastAsia="zh-CN"/>
              </w:rPr>
              <w:t>重庆三花门业有限公司</w:t>
            </w:r>
            <w:r>
              <w:rPr>
                <w:rFonts w:hint="default" w:ascii="Times New Roman" w:hAnsi="Times New Roman" w:eastAsia="宋体" w:cs="Times New Roman"/>
                <w:bCs/>
                <w:color w:val="auto"/>
                <w:sz w:val="21"/>
                <w:szCs w:val="21"/>
                <w:lang w:eastAsia="zh-CN"/>
              </w:rPr>
              <w:t>项目</w:t>
            </w:r>
            <w:r>
              <w:rPr>
                <w:rFonts w:hint="default" w:ascii="Times New Roman" w:hAnsi="Times New Roman" w:eastAsia="宋体" w:cs="Times New Roman"/>
                <w:color w:val="auto"/>
                <w:sz w:val="21"/>
                <w:szCs w:val="21"/>
              </w:rPr>
              <w:t>内已有设施，经过现场</w:t>
            </w:r>
            <w:r>
              <w:rPr>
                <w:rFonts w:hint="eastAsia" w:cs="Times New Roman"/>
                <w:color w:val="auto"/>
                <w:sz w:val="21"/>
                <w:szCs w:val="21"/>
                <w:lang w:eastAsia="zh-CN"/>
              </w:rPr>
              <w:t>勘察</w:t>
            </w:r>
            <w:r>
              <w:rPr>
                <w:rFonts w:hint="default" w:ascii="Times New Roman" w:hAnsi="Times New Roman" w:eastAsia="宋体" w:cs="Times New Roman"/>
                <w:color w:val="auto"/>
                <w:sz w:val="21"/>
                <w:szCs w:val="21"/>
              </w:rPr>
              <w:t>和企业介绍，其依托情况见表</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rPr>
              <w:t>。</w:t>
            </w:r>
          </w:p>
          <w:p w14:paraId="32C189F8">
            <w:pPr>
              <w:autoSpaceDE w:val="0"/>
              <w:autoSpaceDN w:val="0"/>
              <w:spacing w:line="360" w:lineRule="auto"/>
              <w:ind w:firstLine="422" w:firstLineChars="20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2-</w:t>
            </w:r>
            <w:r>
              <w:rPr>
                <w:rFonts w:hint="eastAsia" w:ascii="Times New Roman" w:hAnsi="Times New Roman" w:cs="Times New Roman"/>
                <w:b/>
                <w:color w:val="auto"/>
                <w:kern w:val="0"/>
                <w:sz w:val="21"/>
                <w:szCs w:val="21"/>
                <w:lang w:val="en-US" w:eastAsia="zh-CN"/>
              </w:rPr>
              <w:t>7</w:t>
            </w:r>
            <w:r>
              <w:rPr>
                <w:rFonts w:hint="default" w:ascii="Times New Roman" w:hAnsi="Times New Roman" w:eastAsia="宋体" w:cs="Times New Roman"/>
                <w:b/>
                <w:color w:val="auto"/>
                <w:kern w:val="0"/>
                <w:sz w:val="21"/>
                <w:szCs w:val="21"/>
              </w:rPr>
              <w:t xml:space="preserve">  本项目与</w:t>
            </w:r>
            <w:r>
              <w:rPr>
                <w:rFonts w:hint="eastAsia" w:ascii="Times New Roman" w:hAnsi="Times New Roman" w:cs="Times New Roman"/>
                <w:b/>
                <w:bCs/>
                <w:color w:val="auto"/>
                <w:sz w:val="21"/>
                <w:szCs w:val="21"/>
                <w:lang w:eastAsia="zh-CN"/>
              </w:rPr>
              <w:t>重庆三花门业有限公司</w:t>
            </w: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color w:val="auto"/>
                <w:kern w:val="0"/>
                <w:sz w:val="21"/>
                <w:szCs w:val="21"/>
              </w:rPr>
              <w:t>的依托关系</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05"/>
              <w:gridCol w:w="768"/>
              <w:gridCol w:w="5868"/>
              <w:gridCol w:w="1030"/>
            </w:tblGrid>
            <w:tr w14:paraId="635C0F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5" w:hRule="atLeast"/>
                <w:jc w:val="center"/>
              </w:trPr>
              <w:tc>
                <w:tcPr>
                  <w:tcW w:w="779" w:type="pct"/>
                  <w:gridSpan w:val="2"/>
                  <w:noWrap w:val="0"/>
                  <w:vAlign w:val="center"/>
                </w:tcPr>
                <w:p w14:paraId="58F8B911">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工程类别</w:t>
                  </w:r>
                </w:p>
              </w:tc>
              <w:tc>
                <w:tcPr>
                  <w:tcW w:w="3590" w:type="pct"/>
                  <w:noWrap w:val="0"/>
                  <w:vAlign w:val="center"/>
                </w:tcPr>
                <w:p w14:paraId="7DF7B20A">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依托内容</w:t>
                  </w:r>
                </w:p>
              </w:tc>
              <w:tc>
                <w:tcPr>
                  <w:tcW w:w="630" w:type="pct"/>
                  <w:noWrap w:val="0"/>
                  <w:vAlign w:val="center"/>
                </w:tcPr>
                <w:p w14:paraId="1795A62A">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可行性</w:t>
                  </w:r>
                </w:p>
              </w:tc>
            </w:tr>
            <w:tr w14:paraId="3FBB53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309" w:type="pct"/>
                  <w:vMerge w:val="restart"/>
                  <w:noWrap w:val="0"/>
                  <w:vAlign w:val="center"/>
                </w:tcPr>
                <w:p w14:paraId="767ECC19">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公用</w:t>
                  </w:r>
                </w:p>
                <w:p w14:paraId="6068565C">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470" w:type="pct"/>
                  <w:noWrap w:val="0"/>
                  <w:vAlign w:val="center"/>
                </w:tcPr>
                <w:p w14:paraId="7108E58B">
                  <w:pPr>
                    <w:tabs>
                      <w:tab w:val="left" w:pos="2835"/>
                    </w:tabs>
                    <w:spacing w:line="24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给水</w:t>
                  </w:r>
                </w:p>
              </w:tc>
              <w:tc>
                <w:tcPr>
                  <w:tcW w:w="3590" w:type="pct"/>
                  <w:noWrap w:val="0"/>
                  <w:vAlign w:val="center"/>
                </w:tcPr>
                <w:p w14:paraId="241F54F8">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由</w:t>
                  </w:r>
                  <w:r>
                    <w:rPr>
                      <w:rFonts w:hint="eastAsia" w:ascii="Times New Roman" w:hAnsi="Times New Roman" w:cs="Times New Roman"/>
                      <w:bCs/>
                      <w:color w:val="auto"/>
                      <w:sz w:val="18"/>
                      <w:szCs w:val="18"/>
                      <w:lang w:eastAsia="zh-CN"/>
                    </w:rPr>
                    <w:t>重庆三花门业有限公司</w:t>
                  </w:r>
                  <w:r>
                    <w:rPr>
                      <w:rFonts w:hint="default" w:ascii="Times New Roman" w:hAnsi="Times New Roman" w:eastAsia="宋体" w:cs="Times New Roman"/>
                      <w:color w:val="auto"/>
                      <w:sz w:val="18"/>
                      <w:szCs w:val="18"/>
                    </w:rPr>
                    <w:t>供水管网接入室内。</w:t>
                  </w:r>
                </w:p>
              </w:tc>
              <w:tc>
                <w:tcPr>
                  <w:tcW w:w="630" w:type="pct"/>
                  <w:noWrap w:val="0"/>
                  <w:vAlign w:val="center"/>
                </w:tcPr>
                <w:p w14:paraId="2CB8467C">
                  <w:pPr>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依托可行</w:t>
                  </w:r>
                </w:p>
              </w:tc>
            </w:tr>
            <w:tr w14:paraId="33417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309" w:type="pct"/>
                  <w:vMerge w:val="continue"/>
                  <w:noWrap w:val="0"/>
                  <w:vAlign w:val="center"/>
                </w:tcPr>
                <w:p w14:paraId="6EBE0433">
                  <w:pPr>
                    <w:tabs>
                      <w:tab w:val="left" w:pos="2835"/>
                    </w:tabs>
                    <w:spacing w:line="240" w:lineRule="exact"/>
                    <w:jc w:val="center"/>
                    <w:rPr>
                      <w:rFonts w:hint="default" w:ascii="Times New Roman" w:hAnsi="Times New Roman" w:eastAsia="宋体" w:cs="Times New Roman"/>
                      <w:color w:val="auto"/>
                      <w:sz w:val="18"/>
                      <w:szCs w:val="18"/>
                    </w:rPr>
                  </w:pPr>
                </w:p>
              </w:tc>
              <w:tc>
                <w:tcPr>
                  <w:tcW w:w="470" w:type="pct"/>
                  <w:noWrap w:val="0"/>
                  <w:vAlign w:val="center"/>
                </w:tcPr>
                <w:p w14:paraId="44D0EEE9">
                  <w:pPr>
                    <w:tabs>
                      <w:tab w:val="left" w:pos="2835"/>
                    </w:tabs>
                    <w:spacing w:line="24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供电</w:t>
                  </w:r>
                </w:p>
              </w:tc>
              <w:tc>
                <w:tcPr>
                  <w:tcW w:w="3590" w:type="pct"/>
                  <w:noWrap w:val="0"/>
                  <w:vAlign w:val="center"/>
                </w:tcPr>
                <w:p w14:paraId="22531525">
                  <w:pPr>
                    <w:spacing w:line="240" w:lineRule="exact"/>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由</w:t>
                  </w:r>
                  <w:r>
                    <w:rPr>
                      <w:rFonts w:hint="eastAsia" w:ascii="Times New Roman" w:hAnsi="Times New Roman" w:cs="Times New Roman"/>
                      <w:bCs/>
                      <w:color w:val="auto"/>
                      <w:sz w:val="18"/>
                      <w:szCs w:val="18"/>
                      <w:lang w:eastAsia="zh-CN"/>
                    </w:rPr>
                    <w:t>重庆三花门业有限公司</w:t>
                  </w:r>
                  <w:r>
                    <w:rPr>
                      <w:rFonts w:hint="default" w:ascii="Times New Roman" w:hAnsi="Times New Roman" w:eastAsia="宋体" w:cs="Times New Roman"/>
                      <w:color w:val="auto"/>
                      <w:sz w:val="18"/>
                      <w:szCs w:val="18"/>
                    </w:rPr>
                    <w:t>电网接入室内。</w:t>
                  </w:r>
                </w:p>
              </w:tc>
              <w:tc>
                <w:tcPr>
                  <w:tcW w:w="630" w:type="pct"/>
                  <w:noWrap w:val="0"/>
                  <w:vAlign w:val="center"/>
                </w:tcPr>
                <w:p w14:paraId="57CAD9C3">
                  <w:pPr>
                    <w:pStyle w:val="90"/>
                    <w:adjustRightInd/>
                    <w:spacing w:line="24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依托可行</w:t>
                  </w:r>
                </w:p>
              </w:tc>
            </w:tr>
            <w:tr w14:paraId="3EE951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9" w:type="pct"/>
                  <w:vMerge w:val="continue"/>
                  <w:noWrap w:val="0"/>
                  <w:vAlign w:val="center"/>
                </w:tcPr>
                <w:p w14:paraId="03D1B50E">
                  <w:pPr>
                    <w:tabs>
                      <w:tab w:val="left" w:pos="2835"/>
                    </w:tabs>
                    <w:spacing w:line="240" w:lineRule="exact"/>
                    <w:jc w:val="center"/>
                    <w:rPr>
                      <w:rFonts w:hint="default" w:ascii="Times New Roman" w:hAnsi="Times New Roman" w:eastAsia="宋体" w:cs="Times New Roman"/>
                      <w:color w:val="auto"/>
                      <w:sz w:val="18"/>
                      <w:szCs w:val="18"/>
                    </w:rPr>
                  </w:pPr>
                </w:p>
              </w:tc>
              <w:tc>
                <w:tcPr>
                  <w:tcW w:w="470" w:type="pct"/>
                  <w:noWrap w:val="0"/>
                  <w:vAlign w:val="center"/>
                </w:tcPr>
                <w:p w14:paraId="18D691F2">
                  <w:pPr>
                    <w:spacing w:line="24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排水</w:t>
                  </w:r>
                </w:p>
              </w:tc>
              <w:tc>
                <w:tcPr>
                  <w:tcW w:w="3590" w:type="pct"/>
                  <w:noWrap w:val="0"/>
                  <w:vAlign w:val="center"/>
                </w:tcPr>
                <w:p w14:paraId="6AE6A540">
                  <w:pPr>
                    <w:pStyle w:val="93"/>
                    <w:spacing w:line="240" w:lineRule="exact"/>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雨水依</w:t>
                  </w:r>
                  <w:r>
                    <w:rPr>
                      <w:rFonts w:hint="default" w:ascii="Times New Roman" w:hAnsi="Times New Roman" w:eastAsia="宋体" w:cs="Times New Roman"/>
                      <w:color w:val="auto"/>
                      <w:sz w:val="18"/>
                      <w:szCs w:val="18"/>
                    </w:rPr>
                    <w:t>托</w:t>
                  </w:r>
                  <w:r>
                    <w:rPr>
                      <w:rFonts w:hint="eastAsia" w:ascii="Times New Roman" w:hAnsi="Times New Roman" w:cs="Times New Roman"/>
                      <w:bCs/>
                      <w:color w:val="auto"/>
                      <w:sz w:val="18"/>
                      <w:szCs w:val="18"/>
                      <w:lang w:eastAsia="zh-CN"/>
                    </w:rPr>
                    <w:t>重庆三花门业有限公司</w:t>
                  </w:r>
                  <w:r>
                    <w:rPr>
                      <w:rFonts w:hint="default" w:ascii="Times New Roman" w:hAnsi="Times New Roman" w:eastAsia="宋体" w:cs="Times New Roman"/>
                      <w:color w:val="auto"/>
                      <w:sz w:val="18"/>
                      <w:szCs w:val="18"/>
                    </w:rPr>
                    <w:t>已建室外雨水管网排入</w:t>
                  </w:r>
                  <w:r>
                    <w:rPr>
                      <w:rFonts w:hint="default" w:ascii="Times New Roman" w:hAnsi="Times New Roman" w:eastAsia="宋体" w:cs="Times New Roman"/>
                      <w:color w:val="auto"/>
                      <w:sz w:val="18"/>
                      <w:szCs w:val="18"/>
                      <w:lang w:eastAsia="zh-CN"/>
                    </w:rPr>
                    <w:t>园区</w:t>
                  </w:r>
                  <w:r>
                    <w:rPr>
                      <w:rFonts w:hint="default" w:ascii="Times New Roman" w:hAnsi="Times New Roman" w:eastAsia="宋体" w:cs="Times New Roman"/>
                      <w:color w:val="auto"/>
                      <w:sz w:val="18"/>
                      <w:szCs w:val="18"/>
                    </w:rPr>
                    <w:t>雨水管网；</w:t>
                  </w:r>
                </w:p>
                <w:p w14:paraId="1D012368">
                  <w:pPr>
                    <w:pStyle w:val="93"/>
                    <w:spacing w:line="240" w:lineRule="exact"/>
                    <w:ind w:firstLine="0" w:firstLineChars="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eastAsia="zh-CN"/>
                    </w:rPr>
                    <w:t>依托</w:t>
                  </w:r>
                  <w:r>
                    <w:rPr>
                      <w:rFonts w:hint="eastAsia" w:ascii="Times New Roman" w:hAnsi="Times New Roman" w:cs="Times New Roman"/>
                      <w:color w:val="auto"/>
                      <w:sz w:val="18"/>
                      <w:szCs w:val="18"/>
                      <w:lang w:eastAsia="zh-CN"/>
                    </w:rPr>
                    <w:t>重庆三花门业有限公司</w:t>
                  </w:r>
                  <w:r>
                    <w:rPr>
                      <w:rFonts w:hint="default" w:ascii="Times New Roman" w:hAnsi="Times New Roman" w:eastAsia="宋体" w:cs="Times New Roman"/>
                      <w:color w:val="auto"/>
                      <w:sz w:val="18"/>
                      <w:szCs w:val="18"/>
                      <w:lang w:eastAsia="zh-CN"/>
                    </w:rPr>
                    <w:t>生化池处理达标后排入园区污水管网，再进入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lang w:eastAsia="zh-CN"/>
                    </w:rPr>
                    <w:t>进一步处理</w:t>
                  </w:r>
                </w:p>
              </w:tc>
              <w:tc>
                <w:tcPr>
                  <w:tcW w:w="630" w:type="pct"/>
                  <w:noWrap w:val="0"/>
                  <w:vAlign w:val="center"/>
                </w:tcPr>
                <w:p w14:paraId="532ACDDE">
                  <w:pPr>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依托可行</w:t>
                  </w:r>
                </w:p>
              </w:tc>
            </w:tr>
            <w:tr w14:paraId="71D0C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0" w:hRule="atLeast"/>
                <w:jc w:val="center"/>
              </w:trPr>
              <w:tc>
                <w:tcPr>
                  <w:tcW w:w="309" w:type="pct"/>
                  <w:noWrap w:val="0"/>
                  <w:vAlign w:val="center"/>
                </w:tcPr>
                <w:p w14:paraId="61366C57">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w:t>
                  </w:r>
                </w:p>
                <w:p w14:paraId="5EC8B52D">
                  <w:pPr>
                    <w:tabs>
                      <w:tab w:val="left" w:pos="2835"/>
                    </w:tabs>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470" w:type="pct"/>
                  <w:noWrap w:val="0"/>
                  <w:vAlign w:val="center"/>
                </w:tcPr>
                <w:p w14:paraId="035995E7">
                  <w:pPr>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生化池</w:t>
                  </w:r>
                </w:p>
              </w:tc>
              <w:tc>
                <w:tcPr>
                  <w:tcW w:w="3590" w:type="pct"/>
                  <w:noWrap w:val="0"/>
                  <w:vAlign w:val="center"/>
                </w:tcPr>
                <w:p w14:paraId="486F014E">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营运期产生的</w:t>
                  </w:r>
                  <w:r>
                    <w:rPr>
                      <w:rFonts w:hint="eastAsia" w:ascii="Times New Roman" w:hAnsi="Times New Roman" w:cs="Times New Roman"/>
                      <w:color w:val="auto"/>
                      <w:sz w:val="18"/>
                      <w:szCs w:val="18"/>
                      <w:lang w:val="en-US" w:eastAsia="zh-CN"/>
                    </w:rPr>
                    <w:t>地面清洁废水与生活污水</w:t>
                  </w:r>
                  <w:r>
                    <w:rPr>
                      <w:rFonts w:hint="default" w:ascii="Times New Roman" w:hAnsi="Times New Roman" w:eastAsia="宋体" w:cs="Times New Roman"/>
                      <w:color w:val="auto"/>
                      <w:sz w:val="18"/>
                      <w:szCs w:val="18"/>
                      <w:lang w:val="en-US" w:eastAsia="zh-CN"/>
                    </w:rPr>
                    <w:t>一起</w:t>
                  </w:r>
                  <w:r>
                    <w:rPr>
                      <w:rFonts w:hint="eastAsia" w:ascii="Times New Roman" w:hAnsi="Times New Roman" w:cs="Times New Roman"/>
                      <w:color w:val="auto"/>
                      <w:sz w:val="18"/>
                      <w:szCs w:val="18"/>
                      <w:lang w:val="en-US" w:eastAsia="zh-CN"/>
                    </w:rPr>
                    <w:t>排入重庆三花门业现有生化池处理达</w:t>
                  </w:r>
                  <w:r>
                    <w:rPr>
                      <w:rFonts w:hint="default" w:ascii="Times New Roman" w:hAnsi="Times New Roman" w:eastAsia="宋体" w:cs="Times New Roman"/>
                      <w:color w:val="auto"/>
                      <w:sz w:val="18"/>
                      <w:szCs w:val="18"/>
                    </w:rPr>
                    <w:t>《污水综合排放标准》（</w:t>
                  </w:r>
                  <w:r>
                    <w:rPr>
                      <w:rFonts w:hint="eastAsia" w:cs="Times New Roman"/>
                      <w:color w:val="auto"/>
                      <w:sz w:val="18"/>
                      <w:szCs w:val="18"/>
                      <w:lang w:eastAsia="zh-CN"/>
                    </w:rPr>
                    <w:t>GB 8978</w:t>
                  </w:r>
                  <w:r>
                    <w:rPr>
                      <w:rFonts w:hint="default" w:ascii="Times New Roman" w:hAnsi="Times New Roman" w:eastAsia="宋体" w:cs="Times New Roman"/>
                      <w:color w:val="auto"/>
                      <w:sz w:val="18"/>
                      <w:szCs w:val="18"/>
                    </w:rPr>
                    <w:t>-1996）三级标准后</w:t>
                  </w:r>
                  <w:r>
                    <w:rPr>
                      <w:rFonts w:hint="default" w:ascii="Times New Roman" w:hAnsi="Times New Roman" w:eastAsia="宋体" w:cs="Times New Roman"/>
                      <w:color w:val="auto"/>
                      <w:sz w:val="18"/>
                      <w:szCs w:val="18"/>
                      <w:lang w:eastAsia="zh-CN"/>
                    </w:rPr>
                    <w:t>排</w:t>
                  </w:r>
                  <w:r>
                    <w:rPr>
                      <w:rFonts w:hint="default" w:ascii="Times New Roman" w:hAnsi="Times New Roman" w:eastAsia="宋体" w:cs="Times New Roman"/>
                      <w:color w:val="auto"/>
                      <w:sz w:val="18"/>
                      <w:szCs w:val="18"/>
                    </w:rPr>
                    <w:t>入</w:t>
                  </w:r>
                  <w:r>
                    <w:rPr>
                      <w:rFonts w:hint="default" w:ascii="Times New Roman" w:hAnsi="Times New Roman" w:eastAsia="宋体" w:cs="Times New Roman"/>
                      <w:color w:val="auto"/>
                      <w:sz w:val="18"/>
                      <w:szCs w:val="18"/>
                      <w:lang w:eastAsia="zh-CN"/>
                    </w:rPr>
                    <w:t>园区</w:t>
                  </w:r>
                  <w:r>
                    <w:rPr>
                      <w:rFonts w:hint="default" w:ascii="Times New Roman" w:hAnsi="Times New Roman" w:eastAsia="宋体" w:cs="Times New Roman"/>
                      <w:color w:val="auto"/>
                      <w:sz w:val="18"/>
                      <w:szCs w:val="18"/>
                    </w:rPr>
                    <w:t>污水管网进入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进一步处理</w:t>
                  </w:r>
                  <w:r>
                    <w:rPr>
                      <w:rFonts w:hint="eastAsia" w:ascii="Times New Roman" w:hAnsi="Times New Roman" w:cs="Times New Roman"/>
                      <w:color w:val="auto"/>
                      <w:sz w:val="18"/>
                      <w:szCs w:val="18"/>
                      <w:lang w:eastAsia="zh-CN"/>
                    </w:rPr>
                    <w:t>达《城镇污水处理厂污染物排放标准》（</w:t>
                  </w:r>
                  <w:r>
                    <w:rPr>
                      <w:rFonts w:hint="eastAsia" w:cs="Times New Roman"/>
                      <w:color w:val="auto"/>
                      <w:sz w:val="18"/>
                      <w:szCs w:val="18"/>
                      <w:lang w:eastAsia="zh-CN"/>
                    </w:rPr>
                    <w:t>GB 1891</w:t>
                  </w:r>
                  <w:r>
                    <w:rPr>
                      <w:rFonts w:hint="eastAsia" w:ascii="Times New Roman" w:hAnsi="Times New Roman" w:cs="Times New Roman"/>
                      <w:color w:val="auto"/>
                      <w:sz w:val="18"/>
                      <w:szCs w:val="18"/>
                      <w:lang w:eastAsia="zh-CN"/>
                    </w:rPr>
                    <w:t>8-2002）一级B标后排入建梁河，最后汇入嘉陵江</w:t>
                  </w:r>
                  <w:r>
                    <w:rPr>
                      <w:rFonts w:hint="default" w:ascii="Times New Roman" w:hAnsi="Times New Roman" w:eastAsia="宋体" w:cs="Times New Roman"/>
                      <w:color w:val="auto"/>
                      <w:sz w:val="18"/>
                      <w:szCs w:val="18"/>
                    </w:rPr>
                    <w:t>。</w:t>
                  </w:r>
                </w:p>
                <w:p w14:paraId="53CB313C">
                  <w:pPr>
                    <w:spacing w:line="24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该生化池位于</w:t>
                  </w:r>
                  <w:r>
                    <w:rPr>
                      <w:rFonts w:hint="eastAsia" w:ascii="Times New Roman" w:hAnsi="Times New Roman" w:cs="Times New Roman"/>
                      <w:color w:val="auto"/>
                      <w:sz w:val="18"/>
                      <w:szCs w:val="18"/>
                      <w:lang w:eastAsia="zh-CN"/>
                    </w:rPr>
                    <w:t>重庆三花门业有限公司</w:t>
                  </w:r>
                  <w:r>
                    <w:rPr>
                      <w:rFonts w:hint="default" w:ascii="Times New Roman" w:hAnsi="Times New Roman" w:eastAsia="宋体" w:cs="Times New Roman"/>
                      <w:color w:val="auto"/>
                      <w:sz w:val="18"/>
                      <w:szCs w:val="18"/>
                      <w:lang w:eastAsia="zh-CN"/>
                    </w:rPr>
                    <w:t>东</w:t>
                  </w:r>
                  <w:r>
                    <w:rPr>
                      <w:rFonts w:hint="default" w:ascii="Times New Roman" w:hAnsi="Times New Roman" w:eastAsia="宋体" w:cs="Times New Roman"/>
                      <w:color w:val="auto"/>
                      <w:sz w:val="18"/>
                      <w:szCs w:val="18"/>
                    </w:rPr>
                    <w:t>南</w:t>
                  </w:r>
                  <w:r>
                    <w:rPr>
                      <w:rFonts w:hint="default" w:ascii="Times New Roman" w:hAnsi="Times New Roman" w:eastAsia="宋体" w:cs="Times New Roman"/>
                      <w:color w:val="auto"/>
                      <w:sz w:val="18"/>
                      <w:szCs w:val="18"/>
                      <w:lang w:eastAsia="zh-CN"/>
                    </w:rPr>
                    <w:t>角</w:t>
                  </w:r>
                  <w:r>
                    <w:rPr>
                      <w:rFonts w:hint="default" w:ascii="Times New Roman" w:hAnsi="Times New Roman" w:eastAsia="宋体" w:cs="Times New Roman"/>
                      <w:color w:val="auto"/>
                      <w:kern w:val="0"/>
                      <w:sz w:val="18"/>
                      <w:szCs w:val="18"/>
                    </w:rPr>
                    <w:t>，处理能力</w:t>
                  </w:r>
                  <w:r>
                    <w:rPr>
                      <w:rFonts w:hint="eastAsia" w:ascii="Times New Roman" w:hAnsi="Times New Roman" w:cs="Times New Roman"/>
                      <w:color w:val="auto"/>
                      <w:kern w:val="0"/>
                      <w:sz w:val="18"/>
                      <w:szCs w:val="18"/>
                      <w:lang w:val="en-US" w:eastAsia="zh-CN"/>
                    </w:rPr>
                    <w:t>70</w:t>
                  </w:r>
                  <w:r>
                    <w:rPr>
                      <w:rFonts w:hint="default" w:ascii="Times New Roman" w:hAnsi="Times New Roman" w:eastAsia="宋体" w:cs="Times New Roman"/>
                      <w:color w:val="auto"/>
                      <w:kern w:val="0"/>
                      <w:sz w:val="18"/>
                      <w:szCs w:val="18"/>
                      <w:highlight w:val="none"/>
                    </w:rPr>
                    <w:t>m</w:t>
                  </w:r>
                  <w:r>
                    <w:rPr>
                      <w:rFonts w:hint="default" w:ascii="Times New Roman" w:hAnsi="Times New Roman" w:eastAsia="宋体" w:cs="Times New Roman"/>
                      <w:color w:val="auto"/>
                      <w:kern w:val="0"/>
                      <w:sz w:val="18"/>
                      <w:szCs w:val="18"/>
                      <w:highlight w:val="none"/>
                      <w:vertAlign w:val="superscript"/>
                    </w:rPr>
                    <w:t>3</w:t>
                  </w:r>
                  <w:r>
                    <w:rPr>
                      <w:rFonts w:hint="default" w:ascii="Times New Roman" w:hAnsi="Times New Roman" w:eastAsia="宋体" w:cs="Times New Roman"/>
                      <w:color w:val="auto"/>
                      <w:kern w:val="0"/>
                      <w:sz w:val="18"/>
                      <w:szCs w:val="18"/>
                    </w:rPr>
                    <w:t>/d</w:t>
                  </w:r>
                  <w:r>
                    <w:rPr>
                      <w:rFonts w:hint="default" w:ascii="Times New Roman" w:hAnsi="Times New Roman" w:eastAsia="宋体" w:cs="Times New Roman"/>
                      <w:color w:val="auto"/>
                      <w:sz w:val="18"/>
                      <w:szCs w:val="18"/>
                    </w:rPr>
                    <w:t>，该生化池</w:t>
                  </w:r>
                  <w:r>
                    <w:rPr>
                      <w:rFonts w:hint="default" w:ascii="Times New Roman" w:hAnsi="Times New Roman" w:eastAsia="宋体" w:cs="Times New Roman"/>
                      <w:color w:val="auto"/>
                      <w:sz w:val="18"/>
                      <w:szCs w:val="18"/>
                      <w:lang w:val="en-US" w:eastAsia="zh-CN"/>
                    </w:rPr>
                    <w:t>目前</w:t>
                  </w:r>
                  <w:r>
                    <w:rPr>
                      <w:rFonts w:hint="default" w:ascii="Times New Roman" w:hAnsi="Times New Roman" w:eastAsia="宋体" w:cs="Times New Roman"/>
                      <w:color w:val="auto"/>
                      <w:sz w:val="18"/>
                      <w:szCs w:val="18"/>
                    </w:rPr>
                    <w:t>剩余接纳能力</w:t>
                  </w:r>
                  <w:r>
                    <w:rPr>
                      <w:rFonts w:hint="eastAsia" w:ascii="Times New Roman" w:hAnsi="Times New Roman" w:cs="Times New Roman"/>
                      <w:color w:val="auto"/>
                      <w:sz w:val="18"/>
                      <w:szCs w:val="18"/>
                      <w:lang w:val="en-US" w:eastAsia="zh-CN"/>
                    </w:rPr>
                    <w:t>50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lang w:eastAsia="zh-CN"/>
                    </w:rPr>
                    <w:t>，剩余处理能力充足</w:t>
                  </w:r>
                  <w:r>
                    <w:rPr>
                      <w:rFonts w:hint="default" w:ascii="Times New Roman" w:hAnsi="Times New Roman" w:eastAsia="宋体" w:cs="Times New Roman"/>
                      <w:color w:val="auto"/>
                      <w:sz w:val="18"/>
                      <w:szCs w:val="18"/>
                    </w:rPr>
                    <w:t>，本项目新增生活污水量为</w:t>
                  </w:r>
                  <w:r>
                    <w:rPr>
                      <w:rFonts w:hint="eastAsia" w:ascii="Times New Roman" w:hAnsi="Times New Roman" w:cs="Times New Roman"/>
                      <w:color w:val="auto"/>
                      <w:sz w:val="18"/>
                      <w:szCs w:val="18"/>
                      <w:lang w:val="en-US" w:eastAsia="zh-CN"/>
                    </w:rPr>
                    <w:t>0.972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bCs/>
                      <w:color w:val="auto"/>
                      <w:sz w:val="18"/>
                      <w:szCs w:val="18"/>
                    </w:rPr>
                    <w:t>污水成分简单，满足生化池的进水水质要求。因此，</w:t>
                  </w:r>
                  <w:r>
                    <w:rPr>
                      <w:rFonts w:hint="eastAsia" w:ascii="Times New Roman" w:hAnsi="Times New Roman" w:cs="Times New Roman"/>
                      <w:bCs/>
                      <w:color w:val="auto"/>
                      <w:sz w:val="18"/>
                      <w:szCs w:val="18"/>
                      <w:lang w:eastAsia="zh-CN"/>
                    </w:rPr>
                    <w:t>重庆三花门业有限公司</w:t>
                  </w:r>
                  <w:r>
                    <w:rPr>
                      <w:rFonts w:hint="default" w:ascii="Times New Roman" w:hAnsi="Times New Roman" w:eastAsia="宋体" w:cs="Times New Roman"/>
                      <w:bCs/>
                      <w:color w:val="auto"/>
                      <w:sz w:val="18"/>
                      <w:szCs w:val="18"/>
                    </w:rPr>
                    <w:t>已建生化池能够接纳和处理项目的污废水。</w:t>
                  </w:r>
                </w:p>
              </w:tc>
              <w:tc>
                <w:tcPr>
                  <w:tcW w:w="630" w:type="pct"/>
                  <w:noWrap w:val="0"/>
                  <w:vAlign w:val="center"/>
                </w:tcPr>
                <w:p w14:paraId="152D6C17">
                  <w:pPr>
                    <w:spacing w:line="24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依托可行</w:t>
                  </w:r>
                </w:p>
              </w:tc>
            </w:tr>
          </w:tbl>
          <w:p w14:paraId="71BAA003">
            <w:pPr>
              <w:pStyle w:val="26"/>
              <w:adjustRightInd w:val="0"/>
              <w:snapToGrid w:val="0"/>
              <w:spacing w:before="0" w:beforeAutospacing="0" w:after="0" w:afterAutospacing="0" w:line="360" w:lineRule="auto"/>
              <w:jc w:val="both"/>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2.3.9厂区平面布置</w:t>
            </w:r>
          </w:p>
          <w:p w14:paraId="742F8FFF">
            <w:pPr>
              <w:spacing w:line="360" w:lineRule="auto"/>
              <w:ind w:firstLine="422" w:firstLineChars="200"/>
              <w:rPr>
                <w:rFonts w:hint="default" w:ascii="Times New Roman" w:hAnsi="Times New Roman" w:cs="Times New Roman"/>
                <w:b/>
                <w:bCs/>
                <w:color w:val="auto"/>
                <w:szCs w:val="21"/>
                <w:highlight w:val="yellow"/>
              </w:rPr>
            </w:pPr>
            <w:r>
              <w:rPr>
                <w:rFonts w:hint="default" w:ascii="Times New Roman" w:hAnsi="Times New Roman" w:cs="Times New Roman"/>
                <w:b/>
                <w:bCs/>
                <w:color w:val="auto"/>
                <w:szCs w:val="21"/>
              </w:rPr>
              <w:t>（1）</w:t>
            </w:r>
            <w:r>
              <w:rPr>
                <w:rFonts w:hint="eastAsia" w:ascii="Times New Roman" w:hAnsi="Times New Roman" w:cs="Times New Roman"/>
                <w:b/>
                <w:bCs/>
                <w:color w:val="auto"/>
                <w:szCs w:val="21"/>
                <w:lang w:eastAsia="zh-CN"/>
              </w:rPr>
              <w:t>重庆三花门业有限公司</w:t>
            </w:r>
            <w:r>
              <w:rPr>
                <w:rFonts w:hint="default" w:ascii="Times New Roman" w:hAnsi="Times New Roman" w:cs="Times New Roman"/>
                <w:b/>
                <w:bCs/>
                <w:color w:val="auto"/>
                <w:szCs w:val="21"/>
              </w:rPr>
              <w:t>总平面布置</w:t>
            </w:r>
          </w:p>
          <w:p w14:paraId="6D5C5772">
            <w:pPr>
              <w:spacing w:line="360" w:lineRule="auto"/>
              <w:ind w:firstLine="420" w:firstLineChars="200"/>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eastAsia="zh-CN"/>
              </w:rPr>
              <w:t>重庆三花门业有限公司</w:t>
            </w:r>
            <w:r>
              <w:rPr>
                <w:rFonts w:hint="default" w:ascii="Times New Roman" w:hAnsi="Times New Roman" w:eastAsia="宋体" w:cs="Times New Roman"/>
                <w:color w:val="auto"/>
                <w:sz w:val="21"/>
                <w:szCs w:val="21"/>
                <w:lang w:eastAsia="zh-CN"/>
              </w:rPr>
              <w:t>整个</w:t>
            </w:r>
            <w:r>
              <w:rPr>
                <w:rFonts w:hint="eastAsia" w:ascii="Times New Roman" w:hAnsi="Times New Roman" w:cs="Times New Roman"/>
                <w:color w:val="auto"/>
                <w:sz w:val="21"/>
                <w:szCs w:val="21"/>
                <w:lang w:eastAsia="zh-CN"/>
              </w:rPr>
              <w:t>厂区共设置有</w:t>
            </w:r>
            <w:r>
              <w:rPr>
                <w:rFonts w:hint="eastAsia" w:ascii="Times New Roman" w:hAnsi="Times New Roman" w:cs="Times New Roman"/>
                <w:color w:val="auto"/>
                <w:sz w:val="21"/>
                <w:szCs w:val="21"/>
                <w:lang w:val="en-US" w:eastAsia="zh-CN"/>
              </w:rPr>
              <w:t>1栋标准厂房，共3F，H=21m，共分为ABCD四个区，建筑面积15099.86m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，并配套建设有办公楼，宿舍楼等，其中办公楼位于厂区西北侧，宿舍楼位于厂区东北侧</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lang w:eastAsia="zh-CN"/>
              </w:rPr>
              <w:t>园区</w:t>
            </w:r>
            <w:r>
              <w:rPr>
                <w:rFonts w:hint="default" w:ascii="Times New Roman" w:hAnsi="Times New Roman" w:eastAsia="宋体" w:cs="Times New Roman"/>
                <w:color w:val="auto"/>
                <w:sz w:val="21"/>
                <w:szCs w:val="21"/>
              </w:rPr>
              <w:t>整体呈</w:t>
            </w:r>
            <w:r>
              <w:rPr>
                <w:rFonts w:hint="default" w:ascii="Times New Roman" w:hAnsi="Times New Roman" w:eastAsia="宋体" w:cs="Times New Roman"/>
                <w:color w:val="auto"/>
                <w:sz w:val="21"/>
                <w:szCs w:val="21"/>
                <w:lang w:eastAsia="zh-CN"/>
              </w:rPr>
              <w:t>一</w:t>
            </w:r>
            <w:r>
              <w:rPr>
                <w:rFonts w:hint="eastAsia" w:ascii="Times New Roman" w:hAnsi="Times New Roman" w:cs="Times New Roman"/>
                <w:color w:val="auto"/>
                <w:sz w:val="21"/>
                <w:szCs w:val="21"/>
                <w:lang w:eastAsia="zh-CN"/>
              </w:rPr>
              <w:t>不</w:t>
            </w:r>
            <w:r>
              <w:rPr>
                <w:rFonts w:hint="default" w:ascii="Times New Roman" w:hAnsi="Times New Roman" w:eastAsia="宋体" w:cs="Times New Roman"/>
                <w:color w:val="auto"/>
                <w:sz w:val="21"/>
                <w:szCs w:val="21"/>
                <w:lang w:eastAsia="zh-CN"/>
              </w:rPr>
              <w:t>规则</w:t>
            </w:r>
            <w:r>
              <w:rPr>
                <w:rFonts w:hint="default" w:ascii="Times New Roman" w:hAnsi="Times New Roman" w:eastAsia="宋体" w:cs="Times New Roman"/>
                <w:color w:val="auto"/>
                <w:sz w:val="21"/>
                <w:szCs w:val="21"/>
                <w:highlight w:val="none"/>
                <w:lang w:eastAsia="zh-CN"/>
              </w:rPr>
              <w:t>矩形</w:t>
            </w:r>
            <w:r>
              <w:rPr>
                <w:rFonts w:hint="default" w:ascii="Times New Roman" w:hAnsi="Times New Roman" w:eastAsia="宋体" w:cs="Times New Roman"/>
                <w:color w:val="auto"/>
                <w:sz w:val="21"/>
                <w:szCs w:val="21"/>
              </w:rPr>
              <w:t>，入口</w:t>
            </w:r>
            <w:r>
              <w:rPr>
                <w:rFonts w:hint="default" w:ascii="Times New Roman" w:hAnsi="Times New Roman" w:eastAsia="宋体" w:cs="Times New Roman"/>
                <w:color w:val="auto"/>
                <w:sz w:val="21"/>
                <w:szCs w:val="21"/>
                <w:highlight w:val="none"/>
                <w:lang w:eastAsia="zh-CN"/>
              </w:rPr>
              <w:t>位于</w:t>
            </w:r>
            <w:r>
              <w:rPr>
                <w:rFonts w:hint="eastAsia" w:ascii="Times New Roman" w:hAnsi="Times New Roman" w:cs="Times New Roman"/>
                <w:color w:val="auto"/>
                <w:sz w:val="21"/>
                <w:szCs w:val="21"/>
                <w:highlight w:val="none"/>
                <w:lang w:eastAsia="zh-CN"/>
              </w:rPr>
              <w:t>厂区</w:t>
            </w: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rPr>
              <w:t>侧</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本项目所在</w:t>
            </w:r>
            <w:r>
              <w:rPr>
                <w:rFonts w:hint="eastAsia" w:ascii="Times New Roman" w:hAnsi="Times New Roman" w:cs="Times New Roman"/>
                <w:color w:val="auto"/>
                <w:sz w:val="21"/>
                <w:szCs w:val="21"/>
                <w:lang w:eastAsia="zh-CN"/>
              </w:rPr>
              <w:t>区域为标准厂房的</w:t>
            </w:r>
            <w:r>
              <w:rPr>
                <w:rFonts w:hint="eastAsia" w:ascii="Times New Roman" w:hAnsi="Times New Roman" w:cs="Times New Roman"/>
                <w:color w:val="auto"/>
                <w:sz w:val="21"/>
                <w:szCs w:val="21"/>
                <w:lang w:val="en-US" w:eastAsia="zh-CN"/>
              </w:rPr>
              <w:t>B、C区，位于厂区中南部分，</w:t>
            </w:r>
            <w:r>
              <w:rPr>
                <w:rFonts w:hint="default" w:ascii="Times New Roman" w:hAnsi="Times New Roman" w:eastAsia="宋体" w:cs="Times New Roman"/>
                <w:color w:val="auto"/>
                <w:sz w:val="21"/>
                <w:szCs w:val="21"/>
              </w:rPr>
              <w:t>整个</w:t>
            </w:r>
            <w:r>
              <w:rPr>
                <w:rFonts w:hint="default" w:ascii="Times New Roman" w:hAnsi="Times New Roman" w:eastAsia="宋体" w:cs="Times New Roman"/>
                <w:color w:val="auto"/>
                <w:sz w:val="21"/>
                <w:szCs w:val="21"/>
                <w:lang w:eastAsia="zh-CN"/>
              </w:rPr>
              <w:t>园区</w:t>
            </w:r>
            <w:r>
              <w:rPr>
                <w:rFonts w:hint="default" w:ascii="Times New Roman" w:hAnsi="Times New Roman" w:eastAsia="宋体" w:cs="Times New Roman"/>
                <w:color w:val="auto"/>
                <w:sz w:val="21"/>
                <w:szCs w:val="21"/>
              </w:rPr>
              <w:t>内布置有环形道路，</w:t>
            </w:r>
            <w:r>
              <w:rPr>
                <w:rFonts w:hint="default" w:ascii="Times New Roman" w:hAnsi="Times New Roman" w:eastAsia="宋体" w:cs="Times New Roman"/>
                <w:color w:val="auto"/>
                <w:sz w:val="21"/>
                <w:szCs w:val="21"/>
                <w:lang w:eastAsia="zh-CN"/>
              </w:rPr>
              <w:t>便于运输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生化池位于</w:t>
            </w:r>
            <w:r>
              <w:rPr>
                <w:rFonts w:hint="eastAsia" w:ascii="Times New Roman" w:hAnsi="Times New Roman" w:cs="Times New Roman"/>
                <w:color w:val="auto"/>
                <w:sz w:val="21"/>
                <w:szCs w:val="21"/>
                <w:lang w:eastAsia="zh-CN"/>
              </w:rPr>
              <w:t>厂区东侧</w:t>
            </w:r>
            <w:r>
              <w:rPr>
                <w:rFonts w:hint="default" w:ascii="Times New Roman" w:hAnsi="Times New Roman" w:eastAsia="宋体" w:cs="Times New Roman"/>
                <w:color w:val="auto"/>
                <w:sz w:val="21"/>
                <w:szCs w:val="21"/>
                <w:lang w:eastAsia="zh-CN"/>
              </w:rPr>
              <w:t>。</w:t>
            </w:r>
          </w:p>
          <w:p w14:paraId="6765D7FF">
            <w:pPr>
              <w:pStyle w:val="26"/>
              <w:numPr>
                <w:ilvl w:val="0"/>
                <w:numId w:val="1"/>
              </w:numPr>
              <w:adjustRightInd w:val="0"/>
              <w:snapToGrid w:val="0"/>
              <w:spacing w:before="0" w:beforeAutospacing="0" w:after="0" w:afterAutospacing="0" w:line="360" w:lineRule="auto"/>
              <w:ind w:firstLine="422" w:firstLineChars="200"/>
              <w:jc w:val="both"/>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本项目平面布置</w:t>
            </w:r>
          </w:p>
          <w:p w14:paraId="41F5F54D">
            <w:pPr>
              <w:pStyle w:val="54"/>
              <w:spacing w:line="360" w:lineRule="auto"/>
              <w:ind w:firstLine="422" w:firstLineChars="200"/>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bCs/>
                <w:color w:val="auto"/>
                <w:sz w:val="21"/>
                <w:szCs w:val="21"/>
                <w:lang w:val="en-US" w:eastAsia="zh-CN"/>
              </w:rPr>
              <w:t>厂区内：</w:t>
            </w:r>
            <w:r>
              <w:rPr>
                <w:rFonts w:hint="default" w:ascii="Times New Roman" w:hAnsi="Times New Roman" w:eastAsia="宋体" w:cs="Times New Roman"/>
                <w:b w:val="0"/>
                <w:bCs w:val="0"/>
                <w:color w:val="auto"/>
                <w:sz w:val="21"/>
                <w:szCs w:val="21"/>
                <w:lang w:val="en-US" w:eastAsia="zh-CN"/>
              </w:rPr>
              <w:t>本项目位于重庆三花门业有限公司厂区内</w:t>
            </w:r>
            <w:r>
              <w:rPr>
                <w:rFonts w:hint="eastAsia" w:ascii="Times New Roman" w:eastAsia="宋体" w:cs="Times New Roman"/>
                <w:b w:val="0"/>
                <w:bCs w:val="0"/>
                <w:color w:val="auto"/>
                <w:sz w:val="21"/>
                <w:szCs w:val="21"/>
                <w:lang w:val="en-US" w:eastAsia="zh-CN"/>
              </w:rPr>
              <w:t>的B、C区，</w:t>
            </w:r>
            <w:r>
              <w:rPr>
                <w:rFonts w:hint="default" w:ascii="Times New Roman" w:hAnsi="Times New Roman" w:eastAsia="宋体" w:cs="Times New Roman"/>
                <w:color w:val="auto"/>
                <w:sz w:val="21"/>
                <w:szCs w:val="21"/>
              </w:rPr>
              <w:t>北侧为</w:t>
            </w:r>
            <w:r>
              <w:rPr>
                <w:rFonts w:hint="default" w:ascii="Times New Roman" w:hAnsi="Times New Roman" w:eastAsia="宋体" w:cs="Times New Roman"/>
                <w:color w:val="auto"/>
                <w:sz w:val="21"/>
                <w:szCs w:val="21"/>
                <w:lang w:val="en-US" w:eastAsia="zh-CN"/>
              </w:rPr>
              <w:t>办公区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主要布置有办公室、会议室</w:t>
            </w:r>
            <w:r>
              <w:rPr>
                <w:rFonts w:hint="eastAsia" w:ascii="Times New Roman" w:hAnsi="Times New Roman" w:eastAsia="宋体" w:cs="Times New Roman"/>
                <w:color w:val="auto"/>
                <w:sz w:val="21"/>
                <w:szCs w:val="21"/>
                <w:lang w:eastAsia="zh-CN"/>
              </w:rPr>
              <w:t>等</w:t>
            </w:r>
            <w:r>
              <w:rPr>
                <w:rFonts w:hint="default" w:ascii="Times New Roman" w:hAnsi="Times New Roman" w:eastAsia="宋体" w:cs="Times New Roman"/>
                <w:color w:val="auto"/>
                <w:sz w:val="21"/>
                <w:szCs w:val="21"/>
                <w:lang w:eastAsia="zh-CN"/>
              </w:rPr>
              <w:t>，西侧和东南侧为生产区，主要布置有</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台注塑机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1台破碎机</w:t>
            </w:r>
            <w:r>
              <w:rPr>
                <w:rFonts w:hint="eastAsia" w:ascii="Times New Roman" w:hAnsi="Times New Roman" w:eastAsia="宋体" w:cs="Times New Roman"/>
                <w:color w:val="auto"/>
                <w:sz w:val="21"/>
                <w:szCs w:val="21"/>
                <w:lang w:val="en-US" w:eastAsia="zh-CN"/>
              </w:rPr>
              <w:t>和模具区</w:t>
            </w:r>
            <w:r>
              <w:rPr>
                <w:rFonts w:hint="default" w:ascii="Times New Roman" w:hAnsi="Times New Roman" w:eastAsia="宋体" w:cs="Times New Roman"/>
                <w:color w:val="auto"/>
                <w:sz w:val="21"/>
                <w:szCs w:val="21"/>
                <w:lang w:val="en-US" w:eastAsia="zh-CN"/>
              </w:rPr>
              <w:t>，东北侧为原材料仓库和成品仓库，</w:t>
            </w:r>
            <w:r>
              <w:rPr>
                <w:rFonts w:hint="default" w:ascii="Times New Roman" w:hAnsi="Times New Roman" w:eastAsia="宋体" w:cs="Times New Roman"/>
                <w:color w:val="auto"/>
                <w:kern w:val="0"/>
                <w:sz w:val="21"/>
                <w:szCs w:val="21"/>
                <w:lang w:val="en-US" w:eastAsia="zh-CN" w:bidi="ar-SA"/>
              </w:rPr>
              <w:t>一般固废暂存点位于厂区西南侧，危险废物贮存库均位于厂区东南侧，各个功能区分区明确，布置合理。</w:t>
            </w:r>
          </w:p>
        </w:tc>
      </w:tr>
      <w:tr w14:paraId="7A6E8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noWrap w:val="0"/>
            <w:vAlign w:val="center"/>
          </w:tcPr>
          <w:p w14:paraId="5AFCD388">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420" w:type="dxa"/>
            <w:noWrap w:val="0"/>
            <w:vAlign w:val="center"/>
          </w:tcPr>
          <w:p w14:paraId="4BD531FA">
            <w:pPr>
              <w:tabs>
                <w:tab w:val="left" w:pos="612"/>
              </w:tabs>
              <w:spacing w:line="360" w:lineRule="auto"/>
              <w:contextualSpacing/>
              <w:outlineLvl w:val="1"/>
              <w:rPr>
                <w:rFonts w:hint="default" w:ascii="Times New Roman" w:hAnsi="Times New Roman" w:cs="Times New Roman"/>
                <w:b/>
                <w:bCs/>
                <w:color w:val="auto"/>
                <w:szCs w:val="21"/>
              </w:rPr>
            </w:pPr>
            <w:r>
              <w:rPr>
                <w:rFonts w:hint="default" w:ascii="Times New Roman" w:hAnsi="Times New Roman" w:cs="Times New Roman"/>
                <w:b/>
                <w:bCs/>
                <w:color w:val="auto"/>
                <w:szCs w:val="21"/>
              </w:rPr>
              <w:t>2.4</w:t>
            </w:r>
            <w:r>
              <w:rPr>
                <w:rFonts w:hint="default" w:ascii="Times New Roman" w:hAnsi="Times New Roman" w:cs="Times New Roman"/>
                <w:b/>
                <w:color w:val="auto"/>
                <w:szCs w:val="21"/>
              </w:rPr>
              <w:t>工艺流程和产排污环节</w:t>
            </w:r>
          </w:p>
          <w:p w14:paraId="0E4E63DD">
            <w:pPr>
              <w:pStyle w:val="16"/>
              <w:adjustRightInd w:val="0"/>
              <w:snapToGrid w:val="0"/>
              <w:spacing w:after="0" w:line="360" w:lineRule="auto"/>
              <w:ind w:left="0" w:leftChars="0"/>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snapToGrid w:val="0"/>
                <w:color w:val="auto"/>
                <w:kern w:val="0"/>
                <w:sz w:val="24"/>
                <w:highlight w:val="none"/>
                <w:lang w:eastAsia="zh-CN"/>
              </w:rPr>
              <w:object>
                <v:shape id="_x0000_i1025" o:spt="75" type="#_x0000_t75" style="height:177.35pt;width:503.75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r>
              <w:rPr>
                <w:rFonts w:hint="default" w:ascii="Times New Roman" w:hAnsi="Times New Roman" w:eastAsia="宋体" w:cs="Times New Roman"/>
                <w:b/>
                <w:color w:val="auto"/>
                <w:szCs w:val="21"/>
                <w:lang w:val="en-US" w:eastAsia="zh-CN"/>
              </w:rPr>
              <w:t>图2.</w:t>
            </w:r>
            <w:r>
              <w:rPr>
                <w:rFonts w:hint="eastAsia" w:ascii="Times New Roman" w:hAnsi="Times New Roman" w:cs="Times New Roman"/>
                <w:b/>
                <w:color w:val="auto"/>
                <w:szCs w:val="21"/>
                <w:lang w:val="en-US" w:eastAsia="zh-CN"/>
              </w:rPr>
              <w:t>1</w:t>
            </w:r>
            <w:r>
              <w:rPr>
                <w:rFonts w:hint="default" w:ascii="Times New Roman" w:hAnsi="Times New Roman" w:eastAsia="宋体" w:cs="Times New Roman"/>
                <w:b/>
                <w:color w:val="auto"/>
                <w:szCs w:val="21"/>
                <w:lang w:val="en-US" w:eastAsia="zh-CN"/>
              </w:rPr>
              <w:t xml:space="preserve">  生产工艺流程及产排污节点图</w:t>
            </w:r>
          </w:p>
          <w:p w14:paraId="7C411D8E">
            <w:pPr>
              <w:tabs>
                <w:tab w:val="left" w:pos="612"/>
              </w:tabs>
              <w:spacing w:line="360" w:lineRule="auto"/>
              <w:contextualSpacing/>
              <w:jc w:val="both"/>
              <w:outlineLvl w:val="1"/>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工艺流程简述：</w:t>
            </w:r>
          </w:p>
          <w:p w14:paraId="2501B9A8">
            <w:pPr>
              <w:spacing w:line="360" w:lineRule="auto"/>
              <w:ind w:firstLine="422"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进料</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color w:val="auto"/>
                <w:sz w:val="21"/>
                <w:szCs w:val="21"/>
                <w:lang w:val="en-US" w:eastAsia="zh-CN"/>
              </w:rPr>
              <w:t>ABS</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PP/</w:t>
            </w:r>
            <w:r>
              <w:rPr>
                <w:rFonts w:hint="eastAsia" w:ascii="Times New Roman" w:hAnsi="Times New Roman" w:cs="Times New Roman"/>
                <w:bCs/>
                <w:color w:val="auto"/>
                <w:szCs w:val="21"/>
              </w:rPr>
              <w:t>PA</w:t>
            </w:r>
            <w:r>
              <w:rPr>
                <w:rFonts w:hint="default" w:ascii="Times New Roman" w:hAnsi="Times New Roman" w:eastAsia="宋体" w:cs="Times New Roman"/>
                <w:color w:val="auto"/>
                <w:sz w:val="21"/>
                <w:szCs w:val="21"/>
              </w:rPr>
              <w:t>塑料颗粒</w:t>
            </w:r>
            <w:r>
              <w:rPr>
                <w:rFonts w:hint="default" w:ascii="Times New Roman" w:hAnsi="Times New Roman" w:eastAsia="宋体" w:cs="Times New Roman"/>
                <w:color w:val="auto"/>
                <w:sz w:val="21"/>
                <w:szCs w:val="21"/>
                <w:lang w:eastAsia="zh-CN"/>
              </w:rPr>
              <w:t>拆袋后</w:t>
            </w:r>
            <w:r>
              <w:rPr>
                <w:rFonts w:hint="eastAsia" w:ascii="Times New Roman" w:hAnsi="Times New Roman" w:cs="Times New Roman"/>
                <w:color w:val="auto"/>
                <w:sz w:val="21"/>
                <w:szCs w:val="21"/>
                <w:lang w:eastAsia="zh-CN"/>
              </w:rPr>
              <w:t>按需求</w:t>
            </w:r>
            <w:r>
              <w:rPr>
                <w:rFonts w:hint="default" w:ascii="Times New Roman" w:hAnsi="Times New Roman" w:eastAsia="宋体" w:cs="Times New Roman"/>
                <w:color w:val="auto"/>
                <w:sz w:val="21"/>
                <w:szCs w:val="21"/>
                <w:lang w:eastAsia="zh-CN"/>
              </w:rPr>
              <w:t>倒入注塑机料斗</w:t>
            </w:r>
            <w:r>
              <w:rPr>
                <w:rFonts w:hint="default" w:ascii="Times New Roman" w:hAnsi="Times New Roman" w:eastAsia="宋体" w:cs="Times New Roman"/>
                <w:color w:val="auto"/>
                <w:sz w:val="21"/>
                <w:szCs w:val="21"/>
              </w:rPr>
              <w:t>内</w:t>
            </w:r>
            <w:r>
              <w:rPr>
                <w:rFonts w:hint="default" w:ascii="Times New Roman" w:hAnsi="Times New Roman" w:eastAsia="宋体" w:cs="Times New Roman"/>
                <w:color w:val="auto"/>
                <w:sz w:val="21"/>
                <w:szCs w:val="21"/>
                <w:lang w:eastAsia="zh-CN"/>
              </w:rPr>
              <w:t>，由于</w:t>
            </w:r>
            <w:r>
              <w:rPr>
                <w:rFonts w:hint="default" w:ascii="Times New Roman" w:hAnsi="Times New Roman" w:eastAsia="宋体" w:cs="Times New Roman"/>
                <w:color w:val="auto"/>
                <w:sz w:val="21"/>
                <w:szCs w:val="21"/>
                <w:lang w:val="en-US" w:eastAsia="zh-CN"/>
              </w:rPr>
              <w:t>ABS</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PP/</w:t>
            </w:r>
            <w:r>
              <w:rPr>
                <w:rFonts w:hint="eastAsia" w:ascii="Times New Roman" w:hAnsi="Times New Roman" w:cs="Times New Roman"/>
                <w:bCs/>
                <w:color w:val="auto"/>
                <w:szCs w:val="21"/>
              </w:rPr>
              <w:t>PA</w:t>
            </w:r>
            <w:r>
              <w:rPr>
                <w:rFonts w:hint="default" w:ascii="Times New Roman" w:hAnsi="Times New Roman" w:eastAsia="宋体" w:cs="Times New Roman"/>
                <w:color w:val="auto"/>
                <w:sz w:val="21"/>
                <w:szCs w:val="21"/>
                <w:lang w:eastAsia="zh-CN"/>
              </w:rPr>
              <w:t>均为粒径</w:t>
            </w:r>
            <w:r>
              <w:rPr>
                <w:rFonts w:hint="default" w:ascii="Times New Roman" w:hAnsi="Times New Roman" w:eastAsia="宋体" w:cs="Times New Roman"/>
                <w:color w:val="auto"/>
                <w:sz w:val="21"/>
                <w:szCs w:val="21"/>
                <w:highlight w:val="none"/>
                <w:lang w:eastAsia="zh-CN"/>
              </w:rPr>
              <w:t>较大的</w:t>
            </w:r>
            <w:r>
              <w:rPr>
                <w:rFonts w:hint="eastAsia" w:ascii="Times New Roman" w:hAnsi="Times New Roman" w:cs="Times New Roman"/>
                <w:color w:val="auto"/>
                <w:sz w:val="21"/>
                <w:szCs w:val="21"/>
                <w:lang w:val="en-US" w:eastAsia="zh-CN"/>
              </w:rPr>
              <w:t>塑料</w:t>
            </w:r>
            <w:r>
              <w:rPr>
                <w:rFonts w:hint="default" w:ascii="Times New Roman" w:hAnsi="Times New Roman" w:eastAsia="宋体" w:cs="Times New Roman"/>
                <w:color w:val="auto"/>
                <w:sz w:val="21"/>
                <w:szCs w:val="21"/>
                <w:lang w:eastAsia="zh-CN"/>
              </w:rPr>
              <w:t>颗粒</w:t>
            </w:r>
            <w:r>
              <w:rPr>
                <w:rFonts w:hint="default" w:ascii="Times New Roman" w:hAnsi="Times New Roman" w:eastAsia="宋体" w:cs="Times New Roman"/>
                <w:color w:val="auto"/>
                <w:sz w:val="21"/>
                <w:szCs w:val="21"/>
                <w:lang w:val="en-US" w:eastAsia="zh-CN"/>
              </w:rPr>
              <w:t>，无粉料</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因此</w:t>
            </w:r>
            <w:r>
              <w:rPr>
                <w:rFonts w:hint="default" w:ascii="Times New Roman" w:hAnsi="Times New Roman" w:eastAsia="宋体" w:cs="Times New Roman"/>
                <w:color w:val="auto"/>
                <w:sz w:val="21"/>
                <w:szCs w:val="21"/>
                <w:lang w:val="en-US" w:eastAsia="zh-CN"/>
              </w:rPr>
              <w:t>投料过程中基本无粉尘产生</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本项目模具主要为金属</w:t>
            </w:r>
            <w:r>
              <w:rPr>
                <w:rFonts w:hint="default" w:ascii="Times New Roman" w:hAnsi="Times New Roman" w:eastAsia="宋体" w:cs="Times New Roman"/>
                <w:bCs/>
                <w:color w:val="auto"/>
                <w:sz w:val="21"/>
                <w:szCs w:val="21"/>
              </w:rPr>
              <w:t>模具</w:t>
            </w:r>
            <w:r>
              <w:rPr>
                <w:rFonts w:hint="default" w:ascii="Times New Roman" w:hAnsi="Times New Roman" w:eastAsia="宋体" w:cs="Times New Roman"/>
                <w:bCs/>
                <w:color w:val="auto"/>
                <w:sz w:val="21"/>
                <w:szCs w:val="21"/>
                <w:lang w:eastAsia="zh-CN"/>
              </w:rPr>
              <w:t>，</w:t>
            </w:r>
            <w:r>
              <w:rPr>
                <w:rFonts w:hint="default" w:ascii="Times New Roman" w:hAnsi="Times New Roman" w:cs="Times New Roman"/>
                <w:color w:val="auto"/>
                <w:szCs w:val="21"/>
                <w:lang w:val="en-US" w:eastAsia="zh-CN"/>
              </w:rPr>
              <w:t>本项目模具维修均委外进行，</w:t>
            </w:r>
            <w:r>
              <w:rPr>
                <w:rFonts w:hint="default" w:ascii="Times New Roman" w:hAnsi="Times New Roman" w:eastAsia="宋体" w:cs="Times New Roman"/>
                <w:color w:val="auto"/>
                <w:sz w:val="21"/>
                <w:szCs w:val="21"/>
                <w:lang w:eastAsia="zh-CN"/>
              </w:rPr>
              <w:t>因此进料过程会产生噪声</w:t>
            </w:r>
            <w:r>
              <w:rPr>
                <w:rFonts w:hint="default" w:ascii="Times New Roman" w:hAnsi="Times New Roman" w:eastAsia="宋体" w:cs="Times New Roman"/>
                <w:color w:val="auto"/>
                <w:sz w:val="21"/>
                <w:szCs w:val="21"/>
                <w:lang w:val="en-US" w:eastAsia="zh-CN"/>
              </w:rPr>
              <w:t>N和废包装材料S</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p>
          <w:p w14:paraId="6323D124">
            <w:pPr>
              <w:spacing w:line="360" w:lineRule="auto"/>
              <w:ind w:firstLine="422"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加热、注塑</w:t>
            </w:r>
            <w:r>
              <w:rPr>
                <w:rFonts w:hint="eastAsia" w:cs="Times New Roman"/>
                <w:b/>
                <w:color w:val="auto"/>
                <w:sz w:val="21"/>
                <w:szCs w:val="21"/>
                <w:lang w:eastAsia="zh-CN"/>
              </w:rPr>
              <w:t>成形</w:t>
            </w:r>
            <w:r>
              <w:rPr>
                <w:rFonts w:hint="default" w:ascii="Times New Roman" w:hAnsi="Times New Roman" w:eastAsia="宋体" w:cs="Times New Roman"/>
                <w:b/>
                <w:color w:val="auto"/>
                <w:sz w:val="21"/>
                <w:szCs w:val="21"/>
              </w:rPr>
              <w:t>、冷却、脱模：</w:t>
            </w:r>
            <w:r>
              <w:rPr>
                <w:rFonts w:hint="default" w:ascii="Times New Roman" w:hAnsi="Times New Roman" w:eastAsia="宋体" w:cs="Times New Roman"/>
                <w:color w:val="auto"/>
                <w:sz w:val="21"/>
                <w:szCs w:val="21"/>
              </w:rPr>
              <w:t>塑料颗粒通过管道气力输送至</w:t>
            </w:r>
            <w:r>
              <w:rPr>
                <w:rFonts w:hint="default" w:ascii="Times New Roman" w:hAnsi="Times New Roman" w:eastAsia="宋体" w:cs="Times New Roman"/>
                <w:color w:val="auto"/>
                <w:sz w:val="21"/>
                <w:szCs w:val="21"/>
                <w:lang w:eastAsia="zh-CN"/>
              </w:rPr>
              <w:t>注塑机</w:t>
            </w:r>
            <w:r>
              <w:rPr>
                <w:rFonts w:hint="default" w:ascii="Times New Roman" w:hAnsi="Times New Roman" w:eastAsia="宋体" w:cs="Times New Roman"/>
                <w:color w:val="auto"/>
                <w:sz w:val="21"/>
                <w:szCs w:val="21"/>
              </w:rPr>
              <w:t>内加热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ABS加热温度约200℃到230℃，</w:t>
            </w:r>
            <w:r>
              <w:rPr>
                <w:rFonts w:hint="eastAsia" w:ascii="Times New Roman" w:hAnsi="Times New Roman" w:cs="Times New Roman"/>
                <w:bCs/>
                <w:color w:val="auto"/>
                <w:szCs w:val="21"/>
              </w:rPr>
              <w:t>PA</w:t>
            </w:r>
            <w:r>
              <w:rPr>
                <w:rFonts w:hint="default" w:ascii="Times New Roman" w:hAnsi="Times New Roman" w:cs="Times New Roman"/>
                <w:color w:val="auto"/>
                <w:sz w:val="21"/>
                <w:szCs w:val="21"/>
                <w:lang w:val="en-US" w:eastAsia="zh-CN"/>
              </w:rPr>
              <w:t>加热温度约</w:t>
            </w:r>
            <w:r>
              <w:rPr>
                <w:rFonts w:hint="eastAsia" w:ascii="Times New Roman" w:hAnsi="Times New Roman" w:cs="Times New Roman"/>
                <w:color w:val="auto"/>
                <w:sz w:val="21"/>
                <w:szCs w:val="21"/>
                <w:lang w:val="en-US" w:eastAsia="zh-CN"/>
              </w:rPr>
              <w:t>210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、pp加热温度约230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加热过程中可以使塑料颗粒中的水分挥发，同时</w:t>
            </w:r>
            <w:r>
              <w:rPr>
                <w:rFonts w:hint="default" w:ascii="Times New Roman" w:hAnsi="Times New Roman" w:eastAsia="宋体" w:cs="Times New Roman"/>
                <w:color w:val="auto"/>
                <w:sz w:val="21"/>
                <w:szCs w:val="21"/>
              </w:rPr>
              <w:t>塑料颗粒</w:t>
            </w:r>
            <w:r>
              <w:rPr>
                <w:rFonts w:hint="default" w:ascii="Times New Roman" w:hAnsi="Times New Roman" w:eastAsia="宋体" w:cs="Times New Roman"/>
                <w:color w:val="auto"/>
                <w:sz w:val="21"/>
                <w:szCs w:val="21"/>
                <w:lang w:eastAsia="zh-CN"/>
              </w:rPr>
              <w:t>加热</w:t>
            </w:r>
            <w:r>
              <w:rPr>
                <w:rFonts w:hint="default" w:ascii="Times New Roman" w:hAnsi="Times New Roman" w:eastAsia="宋体" w:cs="Times New Roman"/>
                <w:color w:val="auto"/>
                <w:sz w:val="21"/>
                <w:szCs w:val="21"/>
              </w:rPr>
              <w:t>熔融成粘流状态，随后在一定的压力和速度下将熔融状态的原料注入闭合模具腔内，最后经冷却水进行间接冷却，</w:t>
            </w:r>
            <w:r>
              <w:rPr>
                <w:rFonts w:hint="default" w:ascii="Times New Roman" w:hAnsi="Times New Roman" w:eastAsia="宋体" w:cs="Times New Roman"/>
                <w:color w:val="auto"/>
                <w:sz w:val="21"/>
                <w:szCs w:val="21"/>
                <w:lang w:eastAsia="zh-CN"/>
              </w:rPr>
              <w:t>工件</w:t>
            </w:r>
            <w:r>
              <w:rPr>
                <w:rFonts w:hint="default" w:ascii="Times New Roman" w:hAnsi="Times New Roman" w:eastAsia="宋体" w:cs="Times New Roman"/>
                <w:color w:val="auto"/>
                <w:sz w:val="21"/>
                <w:szCs w:val="21"/>
              </w:rPr>
              <w:t>经冷却后硬化</w:t>
            </w:r>
            <w:r>
              <w:rPr>
                <w:rFonts w:hint="default" w:ascii="Times New Roman" w:hAnsi="Times New Roman" w:eastAsia="宋体" w:cs="Times New Roman"/>
                <w:color w:val="auto"/>
                <w:sz w:val="21"/>
                <w:szCs w:val="21"/>
                <w:lang w:eastAsia="zh-CN"/>
              </w:rPr>
              <w:t>定型，</w:t>
            </w:r>
            <w:r>
              <w:rPr>
                <w:rFonts w:hint="default" w:ascii="Times New Roman" w:hAnsi="Times New Roman" w:eastAsia="宋体" w:cs="Times New Roman"/>
                <w:color w:val="auto"/>
                <w:sz w:val="21"/>
                <w:szCs w:val="21"/>
              </w:rPr>
              <w:t>再开模取件，</w:t>
            </w:r>
            <w:r>
              <w:rPr>
                <w:rFonts w:hint="default" w:ascii="Times New Roman" w:hAnsi="Times New Roman" w:eastAsia="宋体" w:cs="Times New Roman"/>
                <w:bCs/>
                <w:color w:val="auto"/>
                <w:sz w:val="21"/>
                <w:szCs w:val="21"/>
                <w:lang w:eastAsia="zh-CN"/>
              </w:rPr>
              <w:t>产品和模具</w:t>
            </w:r>
            <w:r>
              <w:rPr>
                <w:rFonts w:hint="default" w:ascii="Times New Roman" w:hAnsi="Times New Roman" w:eastAsia="宋体" w:cs="Times New Roman"/>
                <w:bCs/>
                <w:color w:val="auto"/>
                <w:sz w:val="21"/>
                <w:szCs w:val="21"/>
              </w:rPr>
              <w:t>装卸时不使用清洗剂和脱模剂</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注塑机</w:t>
            </w:r>
            <w:r>
              <w:rPr>
                <w:rFonts w:hint="default" w:ascii="Times New Roman" w:hAnsi="Times New Roman" w:eastAsia="宋体" w:cs="Times New Roman"/>
                <w:color w:val="auto"/>
                <w:sz w:val="21"/>
                <w:szCs w:val="21"/>
              </w:rPr>
              <w:t>采用电加热，另采用管道循环水冷却</w:t>
            </w:r>
            <w:r>
              <w:rPr>
                <w:rFonts w:hint="default" w:ascii="Times New Roman" w:hAnsi="Times New Roman" w:eastAsia="宋体" w:cs="Times New Roman"/>
                <w:color w:val="auto"/>
                <w:sz w:val="21"/>
                <w:szCs w:val="21"/>
                <w:lang w:eastAsia="zh-CN"/>
              </w:rPr>
              <w:t>注塑机设</w:t>
            </w:r>
            <w:r>
              <w:rPr>
                <w:rFonts w:hint="default" w:ascii="Times New Roman" w:hAnsi="Times New Roman" w:eastAsia="宋体" w:cs="Times New Roman"/>
                <w:color w:val="auto"/>
                <w:sz w:val="21"/>
                <w:szCs w:val="21"/>
              </w:rPr>
              <w:t>备，冷却水</w:t>
            </w:r>
            <w:r>
              <w:rPr>
                <w:rFonts w:hint="default" w:ascii="Times New Roman" w:hAnsi="Times New Roman" w:eastAsia="宋体" w:cs="Times New Roman"/>
                <w:color w:val="auto"/>
                <w:sz w:val="21"/>
                <w:szCs w:val="21"/>
                <w:lang w:eastAsia="zh-CN"/>
              </w:rPr>
              <w:t>不与材料直接接触，为间接冷却，冷却水经过冷却塔冷却后</w:t>
            </w:r>
            <w:r>
              <w:rPr>
                <w:rFonts w:hint="default" w:ascii="Times New Roman" w:hAnsi="Times New Roman" w:eastAsia="宋体" w:cs="Times New Roman"/>
                <w:color w:val="auto"/>
                <w:sz w:val="21"/>
                <w:szCs w:val="21"/>
              </w:rPr>
              <w:t>循环使用，定期补充损耗，不外排。</w:t>
            </w:r>
            <w:r>
              <w:rPr>
                <w:rFonts w:hint="default" w:ascii="Times New Roman" w:hAnsi="Times New Roman" w:eastAsia="宋体" w:cs="Times New Roman"/>
                <w:color w:val="auto"/>
                <w:sz w:val="21"/>
                <w:szCs w:val="21"/>
                <w:lang w:eastAsia="zh-CN"/>
              </w:rPr>
              <w:t>此过程将产生有机废气</w:t>
            </w:r>
            <w:r>
              <w:rPr>
                <w:rFonts w:hint="default" w:ascii="Times New Roman" w:hAnsi="Times New Roman" w:eastAsia="宋体" w:cs="Times New Roman"/>
                <w:color w:val="auto"/>
                <w:sz w:val="21"/>
                <w:szCs w:val="21"/>
                <w:lang w:val="en-US" w:eastAsia="zh-CN"/>
              </w:rPr>
              <w:t>G</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、设备噪声N。</w:t>
            </w:r>
          </w:p>
          <w:p w14:paraId="5C8FC979">
            <w:pPr>
              <w:tabs>
                <w:tab w:val="left" w:pos="612"/>
              </w:tabs>
              <w:spacing w:line="360" w:lineRule="auto"/>
              <w:ind w:firstLine="422" w:firstLineChars="200"/>
              <w:contextualSpacing/>
              <w:jc w:val="both"/>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修边：</w:t>
            </w:r>
            <w:r>
              <w:rPr>
                <w:rFonts w:hint="default" w:ascii="Times New Roman" w:hAnsi="Times New Roman" w:eastAsia="宋体" w:cs="Times New Roman"/>
                <w:b w:val="0"/>
                <w:bCs/>
                <w:color w:val="auto"/>
                <w:sz w:val="21"/>
                <w:szCs w:val="21"/>
                <w:lang w:val="en-US" w:eastAsia="zh-CN"/>
              </w:rPr>
              <w:t>人工采用美工刀对注塑成型后的工件进行修边，以去除工件上面的边角料，产生的边角料S</w:t>
            </w:r>
            <w:r>
              <w:rPr>
                <w:rFonts w:hint="default" w:ascii="Times New Roman" w:hAnsi="Times New Roman"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lang w:val="en-US" w:eastAsia="zh-CN"/>
              </w:rPr>
              <w:t>利用</w:t>
            </w:r>
            <w:r>
              <w:rPr>
                <w:rFonts w:hint="eastAsia" w:ascii="Times New Roman" w:hAnsi="Times New Roman" w:cs="Times New Roman"/>
                <w:b w:val="0"/>
                <w:bCs/>
                <w:color w:val="auto"/>
                <w:sz w:val="21"/>
                <w:szCs w:val="21"/>
                <w:lang w:val="en-US" w:eastAsia="zh-CN"/>
              </w:rPr>
              <w:t>破碎机</w:t>
            </w:r>
            <w:r>
              <w:rPr>
                <w:rFonts w:hint="default" w:ascii="Times New Roman" w:hAnsi="Times New Roman" w:eastAsia="宋体" w:cs="Times New Roman"/>
                <w:b w:val="0"/>
                <w:bCs/>
                <w:color w:val="auto"/>
                <w:sz w:val="21"/>
                <w:szCs w:val="21"/>
                <w:lang w:val="en-US" w:eastAsia="zh-CN"/>
              </w:rPr>
              <w:t>进行破碎后回交给原材料供应商回收。</w:t>
            </w:r>
          </w:p>
          <w:p w14:paraId="6A86665D">
            <w:pPr>
              <w:tabs>
                <w:tab w:val="left" w:pos="612"/>
              </w:tabs>
              <w:spacing w:line="360" w:lineRule="auto"/>
              <w:ind w:firstLine="422" w:firstLineChars="200"/>
              <w:contextualSpacing/>
              <w:jc w:val="both"/>
              <w:outlineLvl w:val="1"/>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成品</w:t>
            </w:r>
            <w:r>
              <w:rPr>
                <w:rFonts w:hint="default" w:ascii="Times New Roman" w:hAnsi="Times New Roman" w:eastAsia="宋体" w:cs="Times New Roman"/>
                <w:b/>
                <w:bCs w:val="0"/>
                <w:color w:val="auto"/>
                <w:sz w:val="21"/>
                <w:szCs w:val="21"/>
              </w:rPr>
              <w:t>检验</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val="0"/>
                <w:bCs/>
                <w:color w:val="auto"/>
                <w:sz w:val="21"/>
                <w:szCs w:val="21"/>
                <w:lang w:eastAsia="zh-CN"/>
              </w:rPr>
              <w:t>人工对产品的外形、尺寸、重量</w:t>
            </w:r>
            <w:r>
              <w:rPr>
                <w:rFonts w:hint="eastAsia" w:ascii="Times New Roman" w:hAnsi="Times New Roman" w:cs="Times New Roman"/>
                <w:b w:val="0"/>
                <w:bCs/>
                <w:color w:val="auto"/>
                <w:sz w:val="21"/>
                <w:szCs w:val="21"/>
                <w:lang w:eastAsia="zh-CN"/>
              </w:rPr>
              <w:t>等进行检验</w:t>
            </w:r>
            <w:r>
              <w:rPr>
                <w:rFonts w:hint="default" w:ascii="Times New Roman" w:hAnsi="Times New Roman" w:eastAsia="宋体" w:cs="Times New Roman"/>
                <w:b w:val="0"/>
                <w:bCs/>
                <w:color w:val="auto"/>
                <w:sz w:val="21"/>
                <w:szCs w:val="21"/>
                <w:lang w:eastAsia="zh-CN"/>
              </w:rPr>
              <w:t>，检测合格的即为成品。此工程将产生不合格产品</w:t>
            </w:r>
            <w:r>
              <w:rPr>
                <w:rFonts w:hint="default" w:ascii="Times New Roman" w:hAnsi="Times New Roman" w:eastAsia="宋体" w:cs="Times New Roman"/>
                <w:b w:val="0"/>
                <w:bCs/>
                <w:color w:val="auto"/>
                <w:sz w:val="21"/>
                <w:szCs w:val="21"/>
                <w:lang w:val="en-US" w:eastAsia="zh-CN"/>
              </w:rPr>
              <w:t>S</w:t>
            </w:r>
            <w:r>
              <w:rPr>
                <w:rFonts w:hint="eastAsia" w:ascii="Times New Roman" w:hAnsi="Times New Roman"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lang w:val="en-US" w:eastAsia="zh-CN"/>
              </w:rPr>
              <w:t>。</w:t>
            </w:r>
          </w:p>
          <w:p w14:paraId="6F20647D">
            <w:pPr>
              <w:tabs>
                <w:tab w:val="left" w:pos="612"/>
              </w:tabs>
              <w:spacing w:line="360" w:lineRule="auto"/>
              <w:ind w:firstLine="422" w:firstLineChars="200"/>
              <w:contextualSpacing/>
              <w:jc w:val="both"/>
              <w:outlineLvl w:val="1"/>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包装：</w:t>
            </w:r>
            <w:r>
              <w:rPr>
                <w:rFonts w:hint="default" w:ascii="Times New Roman" w:hAnsi="Times New Roman" w:eastAsia="宋体" w:cs="Times New Roman"/>
                <w:bCs/>
                <w:color w:val="auto"/>
                <w:sz w:val="21"/>
                <w:szCs w:val="21"/>
              </w:rPr>
              <w:t>对工件进行包装，最后入库</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该过程将产生废包装材料S</w:t>
            </w: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rPr>
              <w:t>。</w:t>
            </w:r>
          </w:p>
          <w:p w14:paraId="63F4E9D8">
            <w:pPr>
              <w:pStyle w:val="54"/>
              <w:spacing w:line="360" w:lineRule="auto"/>
              <w:ind w:firstLine="422" w:firstLineChars="200"/>
              <w:rPr>
                <w:rFonts w:hint="default" w:ascii="Times New Roman" w:hAnsi="Times New Roman" w:cs="Times New Roman"/>
                <w:color w:val="auto"/>
                <w:lang w:val="en-US" w:eastAsia="zh-CN"/>
              </w:rPr>
            </w:pPr>
            <w:r>
              <w:rPr>
                <w:rFonts w:hint="default" w:ascii="Times New Roman" w:hAnsi="Times New Roman" w:eastAsia="宋体" w:cs="Times New Roman"/>
                <w:b/>
                <w:color w:val="auto"/>
                <w:sz w:val="21"/>
                <w:szCs w:val="21"/>
                <w:lang w:eastAsia="zh-CN"/>
              </w:rPr>
              <w:t>破碎：</w:t>
            </w:r>
            <w:r>
              <w:rPr>
                <w:rFonts w:hint="default" w:ascii="Times New Roman" w:hAnsi="Times New Roman" w:eastAsia="宋体" w:cs="Times New Roman"/>
                <w:color w:val="auto"/>
                <w:kern w:val="2"/>
                <w:sz w:val="21"/>
                <w:szCs w:val="21"/>
                <w:lang w:val="en-US" w:eastAsia="zh-CN" w:bidi="ar-SA"/>
              </w:rPr>
              <w:t>人工修边时产生的废边角料S2和检验过程中产生的不合格成品S</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进行破碎，破碎后粒径在0.5cm左右，然后</w:t>
            </w:r>
            <w:r>
              <w:rPr>
                <w:rFonts w:hint="eastAsia" w:ascii="Times New Roman" w:hAnsi="Times New Roman" w:eastAsia="宋体" w:cs="Times New Roman"/>
                <w:color w:val="auto"/>
                <w:kern w:val="2"/>
                <w:sz w:val="21"/>
                <w:szCs w:val="21"/>
                <w:lang w:val="en-US" w:eastAsia="zh-CN" w:bidi="ar-SA"/>
              </w:rPr>
              <w:t>回用于生产线</w:t>
            </w:r>
            <w:r>
              <w:rPr>
                <w:rFonts w:hint="default" w:ascii="Times New Roman" w:hAnsi="Times New Roman" w:eastAsia="宋体" w:cs="Times New Roman"/>
                <w:color w:val="auto"/>
                <w:kern w:val="2"/>
                <w:sz w:val="21"/>
                <w:szCs w:val="21"/>
                <w:lang w:val="en-US" w:eastAsia="zh-CN" w:bidi="ar-SA"/>
              </w:rPr>
              <w:t>，此过程将产生破碎粉尘G</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，噪声N。</w:t>
            </w:r>
          </w:p>
        </w:tc>
      </w:tr>
      <w:tr w14:paraId="4389D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640" w:type="dxa"/>
            <w:noWrap w:val="0"/>
            <w:vAlign w:val="center"/>
          </w:tcPr>
          <w:p w14:paraId="5AFD1257">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420" w:type="dxa"/>
            <w:noWrap w:val="0"/>
            <w:vAlign w:val="top"/>
          </w:tcPr>
          <w:p w14:paraId="42A25E09">
            <w:pPr>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eastAsia" w:ascii="Times New Roman" w:hAnsi="Times New Roman" w:cs="Times New Roman"/>
                <w:bCs/>
                <w:color w:val="auto"/>
                <w:sz w:val="21"/>
                <w:szCs w:val="21"/>
                <w:lang w:eastAsia="zh-CN"/>
              </w:rPr>
              <w:t>重庆三花门业有限公司位于</w:t>
            </w:r>
            <w:r>
              <w:rPr>
                <w:rFonts w:hint="eastAsia" w:ascii="Times New Roman" w:hAnsi="Times New Roman" w:cs="Times New Roman"/>
                <w:color w:val="auto"/>
                <w:szCs w:val="21"/>
                <w:lang w:eastAsia="zh-CN"/>
              </w:rPr>
              <w:t>重庆市合川区南溪组团A区，该公司</w:t>
            </w:r>
            <w:r>
              <w:rPr>
                <w:rFonts w:hint="eastAsia" w:ascii="Times New Roman" w:hAnsi="Times New Roman" w:cs="Times New Roman"/>
                <w:bCs/>
                <w:color w:val="auto"/>
                <w:sz w:val="21"/>
                <w:szCs w:val="21"/>
                <w:lang w:eastAsia="zh-CN"/>
              </w:rPr>
              <w:t>于</w:t>
            </w:r>
            <w:r>
              <w:rPr>
                <w:rFonts w:hint="eastAsia" w:ascii="Times New Roman" w:hAnsi="Times New Roman" w:cs="Times New Roman"/>
                <w:bCs/>
                <w:color w:val="auto"/>
                <w:sz w:val="21"/>
                <w:szCs w:val="21"/>
                <w:lang w:val="en-US" w:eastAsia="zh-CN"/>
              </w:rPr>
              <w:t>2019年租赁重庆市合川区教育建筑工程有限公司2#厂房1F闲置区域、1#附属综合楼部分办公区建设“防火门、防盗门、消防器材、五金配件生产项目”，建筑面积53884.4m</w:t>
            </w:r>
            <w:r>
              <w:rPr>
                <w:rFonts w:hint="eastAsia" w:ascii="Times New Roman" w:hAnsi="Times New Roman" w:cs="Times New Roman"/>
                <w:bCs/>
                <w:color w:val="auto"/>
                <w:sz w:val="21"/>
                <w:szCs w:val="21"/>
                <w:vertAlign w:val="superscript"/>
                <w:lang w:val="en-US" w:eastAsia="zh-CN"/>
              </w:rPr>
              <w:t>2</w:t>
            </w:r>
            <w:r>
              <w:rPr>
                <w:rFonts w:hint="eastAsia" w:ascii="Times New Roman" w:hAnsi="Times New Roman" w:cs="Times New Roman"/>
                <w:bCs/>
                <w:color w:val="auto"/>
                <w:sz w:val="21"/>
                <w:szCs w:val="21"/>
                <w:vertAlign w:val="baseline"/>
                <w:lang w:val="en-US" w:eastAsia="zh-CN"/>
              </w:rPr>
              <w:t>，</w:t>
            </w:r>
            <w:r>
              <w:rPr>
                <w:rFonts w:hint="eastAsia" w:ascii="Times New Roman" w:hAnsi="Times New Roman" w:cs="Times New Roman"/>
                <w:bCs/>
                <w:color w:val="auto"/>
                <w:sz w:val="21"/>
                <w:szCs w:val="21"/>
                <w:lang w:val="en-US" w:eastAsia="zh-CN"/>
              </w:rPr>
              <w:t>该项目于2019年11月取得了环评批复手续：渝（合）环准〔2019〕99号，并</w:t>
            </w:r>
            <w:r>
              <w:rPr>
                <w:rFonts w:hint="eastAsia" w:ascii="Times New Roman" w:hAnsi="Times New Roman" w:cs="Times New Roman"/>
                <w:bCs/>
                <w:color w:val="auto"/>
                <w:sz w:val="21"/>
                <w:szCs w:val="21"/>
                <w:lang w:eastAsia="zh-CN"/>
              </w:rPr>
              <w:t>于</w:t>
            </w:r>
            <w:r>
              <w:rPr>
                <w:rFonts w:hint="eastAsia" w:ascii="Times New Roman" w:hAnsi="Times New Roman" w:cs="Times New Roman"/>
                <w:bCs/>
                <w:color w:val="auto"/>
                <w:sz w:val="21"/>
                <w:szCs w:val="21"/>
                <w:lang w:val="en-US" w:eastAsia="zh-CN"/>
              </w:rPr>
              <w:t>2020年8月通过了竣工环境保护验收（渝(合)环验〔2020〕40号），主要</w:t>
            </w:r>
            <w:r>
              <w:rPr>
                <w:rFonts w:hint="default" w:ascii="Times New Roman" w:hAnsi="Times New Roman" w:eastAsia="宋体" w:cs="Times New Roman"/>
                <w:bCs/>
                <w:color w:val="auto"/>
                <w:sz w:val="21"/>
                <w:szCs w:val="21"/>
                <w:lang w:eastAsia="zh-CN"/>
              </w:rPr>
              <w:t>设置钢板加工区、木板加工区、填芯区等生产区域，</w:t>
            </w:r>
            <w:r>
              <w:rPr>
                <w:rFonts w:hint="default" w:ascii="Times New Roman" w:hAnsi="Times New Roman" w:eastAsia="宋体" w:cs="Times New Roman"/>
                <w:color w:val="auto"/>
                <w:sz w:val="21"/>
                <w:szCs w:val="21"/>
              </w:rPr>
              <w:t>其</w:t>
            </w:r>
            <w:r>
              <w:rPr>
                <w:rFonts w:hint="default" w:ascii="Times New Roman" w:hAnsi="Times New Roman" w:eastAsia="宋体" w:cs="Times New Roman"/>
                <w:color w:val="auto"/>
                <w:sz w:val="21"/>
                <w:szCs w:val="21"/>
                <w:lang w:eastAsia="zh-CN"/>
              </w:rPr>
              <w:t>配套建设了</w:t>
            </w:r>
            <w:r>
              <w:rPr>
                <w:rFonts w:hint="default" w:ascii="Times New Roman" w:hAnsi="Times New Roman" w:eastAsia="宋体" w:cs="Times New Roman"/>
                <w:color w:val="auto"/>
                <w:sz w:val="21"/>
                <w:szCs w:val="21"/>
              </w:rPr>
              <w:t>供水、供电</w:t>
            </w:r>
            <w:r>
              <w:rPr>
                <w:rFonts w:hint="default" w:ascii="Times New Roman" w:hAnsi="Times New Roman" w:eastAsia="宋体" w:cs="Times New Roman"/>
                <w:color w:val="auto"/>
                <w:sz w:val="21"/>
                <w:szCs w:val="21"/>
                <w:lang w:eastAsia="zh-CN"/>
              </w:rPr>
              <w:t>、生化池</w:t>
            </w:r>
            <w:r>
              <w:rPr>
                <w:rFonts w:hint="default" w:ascii="Times New Roman" w:hAnsi="Times New Roman" w:eastAsia="宋体" w:cs="Times New Roman"/>
                <w:color w:val="auto"/>
                <w:sz w:val="21"/>
                <w:szCs w:val="21"/>
              </w:rPr>
              <w:t>等设施</w:t>
            </w:r>
            <w:r>
              <w:rPr>
                <w:rFonts w:hint="default" w:ascii="Times New Roman" w:hAnsi="Times New Roman" w:eastAsia="宋体" w:cs="Times New Roman"/>
                <w:color w:val="auto"/>
                <w:sz w:val="21"/>
                <w:szCs w:val="21"/>
                <w:lang w:eastAsia="zh-CN"/>
              </w:rPr>
              <w:t>，因此本项目依托其</w:t>
            </w:r>
            <w:r>
              <w:rPr>
                <w:rFonts w:hint="default" w:ascii="Times New Roman" w:hAnsi="Times New Roman" w:eastAsia="宋体" w:cs="Times New Roman"/>
                <w:color w:val="auto"/>
                <w:sz w:val="21"/>
                <w:szCs w:val="21"/>
              </w:rPr>
              <w:t>供水、供电</w:t>
            </w:r>
            <w:r>
              <w:rPr>
                <w:rFonts w:hint="default" w:ascii="Times New Roman" w:hAnsi="Times New Roman" w:eastAsia="宋体" w:cs="Times New Roman"/>
                <w:color w:val="auto"/>
                <w:sz w:val="21"/>
                <w:szCs w:val="21"/>
                <w:lang w:eastAsia="zh-CN"/>
              </w:rPr>
              <w:t>、生化池</w:t>
            </w:r>
            <w:r>
              <w:rPr>
                <w:rFonts w:hint="default" w:ascii="Times New Roman" w:hAnsi="Times New Roman" w:eastAsia="宋体" w:cs="Times New Roman"/>
                <w:color w:val="auto"/>
                <w:sz w:val="21"/>
                <w:szCs w:val="21"/>
              </w:rPr>
              <w:t>等设施</w:t>
            </w:r>
            <w:r>
              <w:rPr>
                <w:rFonts w:hint="default" w:ascii="Times New Roman" w:hAnsi="Times New Roman" w:eastAsia="宋体" w:cs="Times New Roman"/>
                <w:color w:val="auto"/>
                <w:sz w:val="21"/>
                <w:szCs w:val="21"/>
                <w:lang w:eastAsia="zh-CN"/>
              </w:rPr>
              <w:t>可行。</w:t>
            </w:r>
            <w:r>
              <w:rPr>
                <w:rFonts w:hint="eastAsia" w:ascii="Times New Roman" w:hAnsi="Times New Roman" w:eastAsia="宋体" w:cs="Times New Roman"/>
                <w:color w:val="auto"/>
                <w:sz w:val="21"/>
                <w:szCs w:val="21"/>
                <w:lang w:eastAsia="zh-CN"/>
              </w:rPr>
              <w:t>项目主要</w:t>
            </w:r>
            <w:r>
              <w:rPr>
                <w:rFonts w:hint="default" w:ascii="Times New Roman" w:hAnsi="Times New Roman" w:eastAsia="宋体" w:cs="Times New Roman"/>
                <w:bCs/>
                <w:color w:val="auto"/>
                <w:sz w:val="21"/>
                <w:szCs w:val="21"/>
                <w:lang w:eastAsia="zh-CN"/>
              </w:rPr>
              <w:t>从事防火门、防盗门的生产，年产钢质防火门5.1万套、钢木质防火门3万套、钢制防盗门3.5万套。</w:t>
            </w:r>
            <w:r>
              <w:rPr>
                <w:rFonts w:hint="eastAsia" w:ascii="Times New Roman" w:hAnsi="Times New Roman" w:cs="Times New Roman"/>
                <w:bCs/>
                <w:color w:val="auto"/>
                <w:sz w:val="21"/>
                <w:szCs w:val="21"/>
                <w:lang w:val="en-US" w:eastAsia="zh-CN"/>
              </w:rPr>
              <w:t>2023年受市场影响，</w:t>
            </w:r>
            <w:r>
              <w:rPr>
                <w:rFonts w:hint="eastAsia" w:ascii="Times New Roman" w:hAnsi="Times New Roman" w:cs="Times New Roman"/>
                <w:bCs/>
                <w:color w:val="auto"/>
                <w:sz w:val="21"/>
                <w:szCs w:val="21"/>
                <w:lang w:eastAsia="zh-CN"/>
              </w:rPr>
              <w:t>重庆三花门业有限公司决定停止项目的运营，并将厂区内的设备腾空，将厂房对外进行出租，本项目租赁其</w:t>
            </w:r>
            <w:r>
              <w:rPr>
                <w:rFonts w:hint="eastAsia" w:ascii="Times New Roman" w:hAnsi="Times New Roman" w:cs="Times New Roman"/>
                <w:color w:val="auto"/>
                <w:szCs w:val="21"/>
                <w:lang w:eastAsia="zh-CN"/>
              </w:rPr>
              <w:t>1楼B区、C区厂房进行生产。</w:t>
            </w:r>
            <w:r>
              <w:rPr>
                <w:rFonts w:hint="eastAsia" w:ascii="Times New Roman" w:hAnsi="Times New Roman" w:cs="Times New Roman"/>
                <w:bCs/>
                <w:color w:val="auto"/>
                <w:sz w:val="21"/>
                <w:szCs w:val="21"/>
                <w:lang w:eastAsia="zh-CN"/>
              </w:rPr>
              <w:t>重庆三花门业有限公司</w:t>
            </w:r>
            <w:r>
              <w:rPr>
                <w:rFonts w:hint="eastAsia" w:cs="Times New Roman"/>
                <w:bCs/>
                <w:color w:val="auto"/>
                <w:sz w:val="21"/>
                <w:szCs w:val="21"/>
                <w:lang w:eastAsia="zh-CN"/>
              </w:rPr>
              <w:t>在</w:t>
            </w:r>
            <w:r>
              <w:rPr>
                <w:rFonts w:hint="eastAsia" w:cs="Times New Roman"/>
                <w:bCs/>
                <w:color w:val="auto"/>
                <w:sz w:val="21"/>
                <w:szCs w:val="21"/>
                <w:lang w:val="en-US" w:eastAsia="zh-CN"/>
              </w:rPr>
              <w:t>生产期间未发生过污染事件</w:t>
            </w:r>
            <w:r>
              <w:rPr>
                <w:rFonts w:hint="default" w:ascii="Times New Roman" w:hAnsi="Times New Roman" w:cs="Times New Roman"/>
                <w:color w:val="auto"/>
                <w:sz w:val="21"/>
                <w:szCs w:val="21"/>
                <w:lang w:eastAsia="zh-CN"/>
              </w:rPr>
              <w:t>，根据现场调查，该厂房目前</w:t>
            </w:r>
            <w:r>
              <w:rPr>
                <w:rFonts w:hint="eastAsia" w:ascii="Times New Roman" w:hAnsi="Times New Roman" w:cs="Times New Roman"/>
                <w:color w:val="auto"/>
                <w:sz w:val="21"/>
                <w:szCs w:val="21"/>
                <w:lang w:eastAsia="zh-CN"/>
              </w:rPr>
              <w:t>主体</w:t>
            </w:r>
            <w:r>
              <w:rPr>
                <w:rFonts w:hint="default" w:ascii="Times New Roman" w:hAnsi="Times New Roman" w:cs="Times New Roman"/>
                <w:color w:val="auto"/>
                <w:sz w:val="21"/>
                <w:szCs w:val="21"/>
                <w:lang w:eastAsia="zh-CN"/>
              </w:rPr>
              <w:t>已建成</w:t>
            </w:r>
            <w:r>
              <w:rPr>
                <w:rFonts w:hint="eastAsia" w:ascii="Times New Roman" w:hAnsi="Times New Roman" w:cs="Times New Roman"/>
                <w:color w:val="auto"/>
                <w:sz w:val="21"/>
                <w:szCs w:val="21"/>
                <w:lang w:val="en-US" w:eastAsia="zh-CN"/>
              </w:rPr>
              <w:t>，厂区内供水、排水、供电、系统均已建成并可投入使用</w:t>
            </w:r>
            <w:r>
              <w:rPr>
                <w:rFonts w:hint="eastAsia" w:cs="Times New Roman"/>
                <w:bCs/>
                <w:color w:val="auto"/>
                <w:sz w:val="21"/>
                <w:szCs w:val="21"/>
                <w:lang w:val="en-US" w:eastAsia="zh-CN"/>
              </w:rPr>
              <w:t>，</w:t>
            </w:r>
            <w:r>
              <w:rPr>
                <w:rFonts w:hint="eastAsia" w:ascii="Times New Roman" w:hAnsi="Times New Roman" w:cs="Times New Roman"/>
                <w:color w:val="auto"/>
                <w:sz w:val="21"/>
                <w:szCs w:val="21"/>
                <w:lang w:val="en-US" w:eastAsia="zh-CN"/>
              </w:rPr>
              <w:t>目前场地已清扫干净，</w:t>
            </w:r>
            <w:r>
              <w:rPr>
                <w:rFonts w:hint="default" w:ascii="Times New Roman" w:hAnsi="Times New Roman" w:eastAsia="宋体" w:cs="Times New Roman"/>
                <w:color w:val="auto"/>
                <w:sz w:val="21"/>
                <w:szCs w:val="21"/>
              </w:rPr>
              <w:t>为闲置状态</w:t>
            </w:r>
            <w:r>
              <w:rPr>
                <w:rFonts w:hint="eastAsia" w:ascii="Times New Roman" w:hAnsi="Times New Roman" w:eastAsia="宋体" w:cs="Times New Roman"/>
                <w:color w:val="auto"/>
                <w:sz w:val="21"/>
                <w:szCs w:val="21"/>
                <w:lang w:eastAsia="zh-CN"/>
              </w:rPr>
              <w:t>，</w:t>
            </w:r>
            <w:r>
              <w:rPr>
                <w:rFonts w:hint="eastAsia" w:cs="Times New Roman"/>
                <w:bCs/>
                <w:color w:val="auto"/>
                <w:sz w:val="21"/>
                <w:szCs w:val="21"/>
                <w:lang w:val="en-US" w:eastAsia="zh-CN"/>
              </w:rPr>
              <w:t>厂区地面无裂纹，不存在土壤污染的隐患，也</w:t>
            </w:r>
            <w:r>
              <w:rPr>
                <w:rFonts w:ascii="Times New Roman" w:hAnsi="Times New Roman" w:cs="Times New Roman"/>
                <w:color w:val="auto"/>
                <w:sz w:val="21"/>
                <w:szCs w:val="21"/>
              </w:rPr>
              <w:t>无原有污染和遗留环境问题。</w:t>
            </w:r>
          </w:p>
          <w:p w14:paraId="32168FE6">
            <w:pPr>
              <w:rPr>
                <w:rFonts w:hint="default" w:ascii="Times New Roman" w:hAnsi="Times New Roman" w:eastAsia="宋体" w:cs="Times New Roman"/>
                <w:color w:val="auto"/>
                <w:sz w:val="21"/>
                <w:szCs w:val="21"/>
              </w:rPr>
            </w:pPr>
          </w:p>
          <w:p w14:paraId="5BE72DA4">
            <w:pPr>
              <w:rPr>
                <w:rFonts w:hint="default" w:ascii="Times New Roman" w:hAnsi="Times New Roman" w:eastAsia="宋体" w:cs="Times New Roman"/>
                <w:color w:val="auto"/>
                <w:sz w:val="21"/>
                <w:szCs w:val="21"/>
              </w:rPr>
            </w:pPr>
          </w:p>
          <w:p w14:paraId="6137ADEF">
            <w:pPr>
              <w:rPr>
                <w:rFonts w:hint="default" w:ascii="Times New Roman" w:hAnsi="Times New Roman" w:eastAsia="宋体" w:cs="Times New Roman"/>
                <w:color w:val="auto"/>
                <w:sz w:val="21"/>
                <w:szCs w:val="21"/>
              </w:rPr>
            </w:pPr>
          </w:p>
          <w:p w14:paraId="6FB97C26">
            <w:pPr>
              <w:rPr>
                <w:rFonts w:hint="default" w:ascii="Times New Roman" w:hAnsi="Times New Roman" w:eastAsia="宋体" w:cs="Times New Roman"/>
                <w:color w:val="auto"/>
                <w:sz w:val="21"/>
                <w:szCs w:val="21"/>
              </w:rPr>
            </w:pPr>
          </w:p>
          <w:p w14:paraId="573399A1">
            <w:pPr>
              <w:rPr>
                <w:rFonts w:hint="default" w:ascii="Times New Roman" w:hAnsi="Times New Roman" w:eastAsia="宋体" w:cs="Times New Roman"/>
                <w:color w:val="auto"/>
                <w:sz w:val="21"/>
                <w:szCs w:val="21"/>
              </w:rPr>
            </w:pPr>
          </w:p>
          <w:p w14:paraId="72A64F50">
            <w:pPr>
              <w:rPr>
                <w:rFonts w:hint="default" w:ascii="Times New Roman" w:hAnsi="Times New Roman" w:eastAsia="宋体" w:cs="Times New Roman"/>
                <w:color w:val="auto"/>
                <w:sz w:val="21"/>
                <w:szCs w:val="21"/>
              </w:rPr>
            </w:pPr>
          </w:p>
        </w:tc>
      </w:tr>
    </w:tbl>
    <w:p w14:paraId="3E8A3FEB">
      <w:pPr>
        <w:pStyle w:val="26"/>
        <w:rPr>
          <w:rFonts w:hint="default" w:ascii="Times New Roman" w:hAnsi="Times New Roman" w:cs="Times New Roman"/>
          <w:snapToGrid w:val="0"/>
          <w:color w:val="auto"/>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451BBF66">
      <w:pPr>
        <w:pStyle w:val="26"/>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三、区域环境质量现状、环境保护目标及评价标准</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415"/>
      </w:tblGrid>
      <w:tr w14:paraId="0076A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355" w:type="pct"/>
            <w:noWrap w:val="0"/>
            <w:vAlign w:val="center"/>
          </w:tcPr>
          <w:p w14:paraId="22B520A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080FB71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25B04C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0FF746C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4644" w:type="pct"/>
            <w:noWrap w:val="0"/>
            <w:vAlign w:val="center"/>
          </w:tcPr>
          <w:p w14:paraId="11594CB1">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color w:val="auto"/>
              </w:rPr>
              <w:t>3.1环境空气质量现状</w:t>
            </w:r>
          </w:p>
          <w:p w14:paraId="5268654B">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bCs/>
                <w:color w:val="auto"/>
                <w:szCs w:val="21"/>
              </w:rPr>
              <w:t>根据</w:t>
            </w:r>
            <w:r>
              <w:rPr>
                <w:rFonts w:hint="default" w:ascii="Times New Roman" w:hAnsi="Times New Roman" w:cs="Times New Roman"/>
                <w:color w:val="auto"/>
                <w:szCs w:val="21"/>
              </w:rPr>
              <w:t>《重庆市环境空气质量功能区划分规定》（渝府发〔2016〕19号规定）</w:t>
            </w:r>
            <w:r>
              <w:rPr>
                <w:rFonts w:hint="default" w:ascii="Times New Roman" w:hAnsi="Times New Roman" w:cs="Times New Roman"/>
                <w:bCs/>
                <w:color w:val="auto"/>
                <w:szCs w:val="21"/>
              </w:rPr>
              <w:t>，</w:t>
            </w:r>
            <w:r>
              <w:rPr>
                <w:rFonts w:hint="default" w:ascii="Times New Roman" w:hAnsi="Times New Roman" w:cs="Times New Roman"/>
                <w:color w:val="auto"/>
                <w:szCs w:val="21"/>
              </w:rPr>
              <w:t>本项目所在地环境空气功能区划为二类区，环境空气质量执行《环境空气质量标准》（GB3095-2012）中二级标准。</w:t>
            </w:r>
          </w:p>
          <w:p w14:paraId="316A6E91">
            <w:pPr>
              <w:adjustRightInd w:val="0"/>
              <w:snapToGrid w:val="0"/>
              <w:spacing w:line="360" w:lineRule="auto"/>
              <w:ind w:firstLine="480"/>
              <w:rPr>
                <w:rFonts w:hint="default" w:ascii="Times New Roman" w:hAnsi="Times New Roman" w:cs="Times New Roman"/>
                <w:b/>
                <w:color w:val="auto"/>
                <w:szCs w:val="21"/>
              </w:rPr>
            </w:pPr>
            <w:r>
              <w:rPr>
                <w:rFonts w:hint="default" w:ascii="Times New Roman" w:hAnsi="Times New Roman" w:cs="Times New Roman"/>
                <w:b/>
                <w:color w:val="auto"/>
                <w:szCs w:val="21"/>
              </w:rPr>
              <w:t>①常规污染物</w:t>
            </w:r>
          </w:p>
          <w:p w14:paraId="5BADA4DE">
            <w:pPr>
              <w:adjustRightInd w:val="0"/>
              <w:snapToGrid w:val="0"/>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根据《建设项目环境影响报告表编制技术指南（污染影响类）（试行）》，区域大气环境质量现状可采用生态环境主管部门公开发布的质量数据，故本项目环境空气质量达标情况判定采用《202</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年重庆市生态环境状况公报》中</w:t>
            </w:r>
            <w:r>
              <w:rPr>
                <w:rFonts w:hint="default" w:ascii="Times New Roman" w:hAnsi="Times New Roman" w:cs="Times New Roman"/>
                <w:color w:val="auto"/>
                <w:szCs w:val="21"/>
                <w:lang w:eastAsia="zh-CN"/>
              </w:rPr>
              <w:t>合川区</w:t>
            </w:r>
            <w:r>
              <w:rPr>
                <w:rFonts w:hint="default" w:ascii="Times New Roman" w:hAnsi="Times New Roman" w:cs="Times New Roman"/>
                <w:color w:val="auto"/>
                <w:szCs w:val="21"/>
              </w:rPr>
              <w:t>的数据。监测年均值数据见表3-1。</w:t>
            </w:r>
          </w:p>
          <w:p w14:paraId="49A9E2F7">
            <w:pPr>
              <w:ind w:firstLine="422" w:firstLineChars="200"/>
              <w:jc w:val="center"/>
              <w:rPr>
                <w:rFonts w:hint="default" w:ascii="Times New Roman" w:hAnsi="Times New Roman" w:cs="Times New Roman"/>
                <w:b/>
                <w:color w:val="auto"/>
                <w:szCs w:val="21"/>
                <w:vertAlign w:val="superscript"/>
              </w:rPr>
            </w:pPr>
            <w:r>
              <w:rPr>
                <w:rFonts w:hint="default" w:ascii="Times New Roman" w:hAnsi="Times New Roman" w:cs="Times New Roman"/>
                <w:b/>
                <w:color w:val="auto"/>
                <w:szCs w:val="21"/>
              </w:rPr>
              <w:t>表3-1  环境空气现状监测结果统计表  单位：</w:t>
            </w:r>
            <w:r>
              <w:rPr>
                <w:rFonts w:hint="default" w:ascii="Times New Roman" w:hAnsi="Times New Roman" w:cs="Times New Roman"/>
                <w:b/>
                <w:color w:val="auto"/>
                <w:szCs w:val="21"/>
                <w:shd w:val="clear" w:color="auto" w:fill="FFFFFF"/>
              </w:rPr>
              <w:t>μg</w:t>
            </w:r>
            <w:r>
              <w:rPr>
                <w:rFonts w:hint="default" w:ascii="Times New Roman" w:hAnsi="Times New Roman" w:cs="Times New Roman"/>
                <w:b/>
                <w:color w:val="auto"/>
                <w:szCs w:val="21"/>
              </w:rPr>
              <w:t>/m</w:t>
            </w:r>
            <w:r>
              <w:rPr>
                <w:rFonts w:hint="default" w:ascii="Times New Roman" w:hAnsi="Times New Roman" w:cs="Times New Roman"/>
                <w:b/>
                <w:color w:val="auto"/>
                <w:szCs w:val="21"/>
                <w:vertAlign w:val="superscript"/>
              </w:rPr>
              <w:t>3</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2731"/>
              <w:gridCol w:w="1174"/>
              <w:gridCol w:w="1174"/>
              <w:gridCol w:w="1167"/>
              <w:gridCol w:w="1003"/>
            </w:tblGrid>
            <w:tr w14:paraId="37779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4D37188B">
                  <w:pPr>
                    <w:jc w:val="center"/>
                    <w:rPr>
                      <w:rFonts w:ascii="Times New Roman" w:hAnsi="Times New Roman" w:cs="Times New Roman"/>
                      <w:bCs/>
                      <w:color w:val="auto"/>
                      <w:szCs w:val="21"/>
                    </w:rPr>
                  </w:pPr>
                  <w:r>
                    <w:rPr>
                      <w:rFonts w:ascii="Times New Roman" w:hAnsi="Times New Roman" w:cs="Times New Roman"/>
                      <w:bCs/>
                      <w:color w:val="auto"/>
                      <w:szCs w:val="21"/>
                    </w:rPr>
                    <w:t>污染物</w:t>
                  </w:r>
                </w:p>
              </w:tc>
              <w:tc>
                <w:tcPr>
                  <w:tcW w:w="1671" w:type="pct"/>
                  <w:noWrap w:val="0"/>
                  <w:vAlign w:val="center"/>
                </w:tcPr>
                <w:p w14:paraId="75353E16">
                  <w:pPr>
                    <w:jc w:val="center"/>
                    <w:rPr>
                      <w:rFonts w:ascii="Times New Roman" w:hAnsi="Times New Roman" w:cs="Times New Roman"/>
                      <w:bCs/>
                      <w:color w:val="auto"/>
                      <w:szCs w:val="21"/>
                    </w:rPr>
                  </w:pPr>
                  <w:r>
                    <w:rPr>
                      <w:rFonts w:ascii="Times New Roman" w:hAnsi="Times New Roman" w:cs="Times New Roman"/>
                      <w:bCs/>
                      <w:color w:val="auto"/>
                      <w:szCs w:val="21"/>
                    </w:rPr>
                    <w:t>年评价指标</w:t>
                  </w:r>
                </w:p>
              </w:tc>
              <w:tc>
                <w:tcPr>
                  <w:tcW w:w="719" w:type="pct"/>
                  <w:noWrap w:val="0"/>
                  <w:vAlign w:val="center"/>
                </w:tcPr>
                <w:p w14:paraId="24002155">
                  <w:pPr>
                    <w:jc w:val="center"/>
                    <w:rPr>
                      <w:rFonts w:ascii="Times New Roman" w:hAnsi="Times New Roman" w:cs="Times New Roman"/>
                      <w:bCs/>
                      <w:color w:val="auto"/>
                      <w:szCs w:val="21"/>
                    </w:rPr>
                  </w:pPr>
                  <w:r>
                    <w:rPr>
                      <w:rFonts w:ascii="Times New Roman" w:hAnsi="Times New Roman" w:cs="Times New Roman"/>
                      <w:bCs/>
                      <w:color w:val="auto"/>
                      <w:szCs w:val="21"/>
                    </w:rPr>
                    <w:t>现状浓度（μg/m</w:t>
                  </w:r>
                  <w:r>
                    <w:rPr>
                      <w:rFonts w:ascii="Times New Roman" w:hAnsi="Times New Roman" w:cs="Times New Roman"/>
                      <w:bCs/>
                      <w:color w:val="auto"/>
                      <w:szCs w:val="21"/>
                      <w:vertAlign w:val="superscript"/>
                    </w:rPr>
                    <w:t>3</w:t>
                  </w:r>
                  <w:r>
                    <w:rPr>
                      <w:rFonts w:ascii="Times New Roman" w:hAnsi="Times New Roman" w:cs="Times New Roman"/>
                      <w:bCs/>
                      <w:color w:val="auto"/>
                      <w:szCs w:val="21"/>
                    </w:rPr>
                    <w:t>）</w:t>
                  </w:r>
                </w:p>
              </w:tc>
              <w:tc>
                <w:tcPr>
                  <w:tcW w:w="719" w:type="pct"/>
                  <w:noWrap w:val="0"/>
                  <w:vAlign w:val="center"/>
                </w:tcPr>
                <w:p w14:paraId="443C7D37">
                  <w:pPr>
                    <w:jc w:val="center"/>
                    <w:rPr>
                      <w:rFonts w:ascii="Times New Roman" w:hAnsi="Times New Roman" w:cs="Times New Roman"/>
                      <w:bCs/>
                      <w:color w:val="auto"/>
                      <w:szCs w:val="21"/>
                    </w:rPr>
                  </w:pPr>
                  <w:r>
                    <w:rPr>
                      <w:rFonts w:ascii="Times New Roman" w:hAnsi="Times New Roman" w:cs="Times New Roman"/>
                      <w:bCs/>
                      <w:color w:val="auto"/>
                      <w:szCs w:val="21"/>
                    </w:rPr>
                    <w:t>标准值（μg/m</w:t>
                  </w:r>
                  <w:r>
                    <w:rPr>
                      <w:rFonts w:ascii="Times New Roman" w:hAnsi="Times New Roman" w:cs="Times New Roman"/>
                      <w:bCs/>
                      <w:color w:val="auto"/>
                      <w:szCs w:val="21"/>
                      <w:vertAlign w:val="superscript"/>
                    </w:rPr>
                    <w:t>3</w:t>
                  </w:r>
                  <w:r>
                    <w:rPr>
                      <w:rFonts w:ascii="Times New Roman" w:hAnsi="Times New Roman" w:cs="Times New Roman"/>
                      <w:bCs/>
                      <w:color w:val="auto"/>
                      <w:szCs w:val="21"/>
                    </w:rPr>
                    <w:t>）</w:t>
                  </w:r>
                </w:p>
              </w:tc>
              <w:tc>
                <w:tcPr>
                  <w:tcW w:w="714" w:type="pct"/>
                  <w:noWrap w:val="0"/>
                  <w:vAlign w:val="center"/>
                </w:tcPr>
                <w:p w14:paraId="7B12CE91">
                  <w:pPr>
                    <w:jc w:val="center"/>
                    <w:rPr>
                      <w:rFonts w:ascii="Times New Roman" w:hAnsi="Times New Roman" w:cs="Times New Roman"/>
                      <w:bCs/>
                      <w:color w:val="auto"/>
                      <w:szCs w:val="21"/>
                    </w:rPr>
                  </w:pPr>
                  <w:r>
                    <w:rPr>
                      <w:rFonts w:ascii="Times New Roman" w:hAnsi="Times New Roman" w:cs="Times New Roman"/>
                      <w:bCs/>
                      <w:color w:val="auto"/>
                      <w:szCs w:val="21"/>
                    </w:rPr>
                    <w:t>占标率（%）</w:t>
                  </w:r>
                </w:p>
              </w:tc>
              <w:tc>
                <w:tcPr>
                  <w:tcW w:w="615" w:type="pct"/>
                  <w:noWrap w:val="0"/>
                  <w:vAlign w:val="center"/>
                </w:tcPr>
                <w:p w14:paraId="567171FD">
                  <w:pPr>
                    <w:jc w:val="center"/>
                    <w:rPr>
                      <w:rFonts w:ascii="Times New Roman" w:hAnsi="Times New Roman" w:cs="Times New Roman"/>
                      <w:bCs/>
                      <w:color w:val="auto"/>
                      <w:szCs w:val="21"/>
                    </w:rPr>
                  </w:pPr>
                  <w:r>
                    <w:rPr>
                      <w:rFonts w:ascii="Times New Roman" w:hAnsi="Times New Roman" w:cs="Times New Roman"/>
                      <w:bCs/>
                      <w:color w:val="auto"/>
                      <w:szCs w:val="21"/>
                    </w:rPr>
                    <w:t>达标情况</w:t>
                  </w:r>
                </w:p>
              </w:tc>
            </w:tr>
            <w:tr w14:paraId="3764E9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14391DA0">
                  <w:pPr>
                    <w:jc w:val="center"/>
                    <w:rPr>
                      <w:rFonts w:ascii="Times New Roman" w:hAnsi="Times New Roman" w:cs="Times New Roman"/>
                      <w:bCs/>
                      <w:color w:val="auto"/>
                      <w:szCs w:val="21"/>
                    </w:rPr>
                  </w:pPr>
                  <w:r>
                    <w:rPr>
                      <w:rFonts w:ascii="Times New Roman" w:hAnsi="Times New Roman" w:cs="Times New Roman"/>
                      <w:bCs/>
                      <w:color w:val="auto"/>
                      <w:szCs w:val="21"/>
                    </w:rPr>
                    <w:t>SO</w:t>
                  </w:r>
                  <w:r>
                    <w:rPr>
                      <w:rFonts w:ascii="Times New Roman" w:hAnsi="Times New Roman" w:cs="Times New Roman"/>
                      <w:bCs/>
                      <w:color w:val="auto"/>
                      <w:szCs w:val="21"/>
                      <w:vertAlign w:val="subscript"/>
                    </w:rPr>
                    <w:t>2</w:t>
                  </w:r>
                </w:p>
              </w:tc>
              <w:tc>
                <w:tcPr>
                  <w:tcW w:w="1671" w:type="pct"/>
                  <w:noWrap w:val="0"/>
                  <w:vAlign w:val="center"/>
                </w:tcPr>
                <w:p w14:paraId="6442B686">
                  <w:pPr>
                    <w:jc w:val="center"/>
                    <w:rPr>
                      <w:rFonts w:ascii="Times New Roman" w:hAnsi="Times New Roman" w:cs="Times New Roman"/>
                      <w:bCs/>
                      <w:color w:val="auto"/>
                      <w:szCs w:val="21"/>
                    </w:rPr>
                  </w:pPr>
                  <w:r>
                    <w:rPr>
                      <w:rFonts w:ascii="Times New Roman" w:hAnsi="Times New Roman" w:cs="Times New Roman"/>
                      <w:bCs/>
                      <w:color w:val="auto"/>
                      <w:szCs w:val="21"/>
                    </w:rPr>
                    <w:t>年平均质量浓度</w:t>
                  </w:r>
                </w:p>
              </w:tc>
              <w:tc>
                <w:tcPr>
                  <w:tcW w:w="719" w:type="pct"/>
                  <w:noWrap w:val="0"/>
                  <w:vAlign w:val="center"/>
                </w:tcPr>
                <w:p w14:paraId="52B0EC7A">
                  <w:pPr>
                    <w:jc w:val="center"/>
                    <w:rPr>
                      <w:rFonts w:ascii="Times New Roman" w:hAnsi="Times New Roman" w:cs="Times New Roman"/>
                      <w:bCs/>
                      <w:color w:val="auto"/>
                      <w:szCs w:val="21"/>
                    </w:rPr>
                  </w:pPr>
                  <w:r>
                    <w:rPr>
                      <w:rFonts w:ascii="Times New Roman" w:hAnsi="Times New Roman" w:cs="Times New Roman"/>
                      <w:bCs/>
                      <w:color w:val="auto"/>
                      <w:szCs w:val="21"/>
                    </w:rPr>
                    <w:t>9</w:t>
                  </w:r>
                </w:p>
              </w:tc>
              <w:tc>
                <w:tcPr>
                  <w:tcW w:w="719" w:type="pct"/>
                  <w:noWrap w:val="0"/>
                  <w:vAlign w:val="center"/>
                </w:tcPr>
                <w:p w14:paraId="7AF86E06">
                  <w:pPr>
                    <w:jc w:val="center"/>
                    <w:rPr>
                      <w:rFonts w:ascii="Times New Roman" w:hAnsi="Times New Roman" w:cs="Times New Roman"/>
                      <w:bCs/>
                      <w:color w:val="auto"/>
                      <w:szCs w:val="21"/>
                    </w:rPr>
                  </w:pPr>
                  <w:r>
                    <w:rPr>
                      <w:rFonts w:ascii="Times New Roman" w:hAnsi="Times New Roman" w:cs="Times New Roman"/>
                      <w:bCs/>
                      <w:color w:val="auto"/>
                      <w:szCs w:val="21"/>
                    </w:rPr>
                    <w:t>60</w:t>
                  </w:r>
                </w:p>
              </w:tc>
              <w:tc>
                <w:tcPr>
                  <w:tcW w:w="714" w:type="pct"/>
                  <w:noWrap w:val="0"/>
                  <w:vAlign w:val="center"/>
                </w:tcPr>
                <w:p w14:paraId="3EA2618A">
                  <w:pPr>
                    <w:jc w:val="center"/>
                    <w:rPr>
                      <w:rFonts w:ascii="Times New Roman" w:hAnsi="Times New Roman" w:cs="Times New Roman"/>
                      <w:bCs/>
                      <w:color w:val="auto"/>
                      <w:szCs w:val="21"/>
                    </w:rPr>
                  </w:pPr>
                  <w:r>
                    <w:rPr>
                      <w:rFonts w:ascii="Times New Roman" w:hAnsi="Times New Roman" w:cs="Times New Roman"/>
                      <w:bCs/>
                      <w:color w:val="auto"/>
                      <w:szCs w:val="21"/>
                    </w:rPr>
                    <w:t>15.0</w:t>
                  </w:r>
                </w:p>
              </w:tc>
              <w:tc>
                <w:tcPr>
                  <w:tcW w:w="615" w:type="pct"/>
                  <w:noWrap w:val="0"/>
                  <w:vAlign w:val="center"/>
                </w:tcPr>
                <w:p w14:paraId="5EA47239">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r w14:paraId="29107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0F0ABFDE">
                  <w:pPr>
                    <w:jc w:val="center"/>
                    <w:rPr>
                      <w:rFonts w:ascii="Times New Roman" w:hAnsi="Times New Roman" w:cs="Times New Roman"/>
                      <w:bCs/>
                      <w:color w:val="auto"/>
                      <w:szCs w:val="21"/>
                    </w:rPr>
                  </w:pPr>
                  <w:r>
                    <w:rPr>
                      <w:rFonts w:ascii="Times New Roman" w:hAnsi="Times New Roman" w:cs="Times New Roman"/>
                      <w:bCs/>
                      <w:color w:val="auto"/>
                      <w:szCs w:val="21"/>
                    </w:rPr>
                    <w:t>NO</w:t>
                  </w:r>
                  <w:r>
                    <w:rPr>
                      <w:rFonts w:ascii="Times New Roman" w:hAnsi="Times New Roman" w:cs="Times New Roman"/>
                      <w:bCs/>
                      <w:color w:val="auto"/>
                      <w:szCs w:val="21"/>
                      <w:vertAlign w:val="subscript"/>
                    </w:rPr>
                    <w:t>2</w:t>
                  </w:r>
                </w:p>
              </w:tc>
              <w:tc>
                <w:tcPr>
                  <w:tcW w:w="1671" w:type="pct"/>
                  <w:noWrap w:val="0"/>
                  <w:vAlign w:val="center"/>
                </w:tcPr>
                <w:p w14:paraId="51402FAA">
                  <w:pPr>
                    <w:jc w:val="center"/>
                    <w:rPr>
                      <w:rFonts w:ascii="Times New Roman" w:hAnsi="Times New Roman" w:cs="Times New Roman"/>
                      <w:bCs/>
                      <w:color w:val="auto"/>
                      <w:szCs w:val="21"/>
                    </w:rPr>
                  </w:pPr>
                  <w:r>
                    <w:rPr>
                      <w:rFonts w:ascii="Times New Roman" w:hAnsi="Times New Roman" w:cs="Times New Roman"/>
                      <w:bCs/>
                      <w:color w:val="auto"/>
                      <w:szCs w:val="21"/>
                    </w:rPr>
                    <w:t>年平均质量浓度</w:t>
                  </w:r>
                </w:p>
              </w:tc>
              <w:tc>
                <w:tcPr>
                  <w:tcW w:w="719" w:type="pct"/>
                  <w:noWrap w:val="0"/>
                  <w:vAlign w:val="center"/>
                </w:tcPr>
                <w:p w14:paraId="1A4C1921">
                  <w:pPr>
                    <w:jc w:val="center"/>
                    <w:rPr>
                      <w:rFonts w:ascii="Times New Roman" w:hAnsi="Times New Roman" w:cs="Times New Roman"/>
                      <w:bCs/>
                      <w:color w:val="auto"/>
                      <w:szCs w:val="21"/>
                    </w:rPr>
                  </w:pPr>
                  <w:r>
                    <w:rPr>
                      <w:rFonts w:ascii="Times New Roman" w:hAnsi="Times New Roman" w:cs="Times New Roman"/>
                      <w:bCs/>
                      <w:color w:val="auto"/>
                      <w:szCs w:val="21"/>
                    </w:rPr>
                    <w:t>21</w:t>
                  </w:r>
                </w:p>
              </w:tc>
              <w:tc>
                <w:tcPr>
                  <w:tcW w:w="719" w:type="pct"/>
                  <w:noWrap w:val="0"/>
                  <w:vAlign w:val="center"/>
                </w:tcPr>
                <w:p w14:paraId="3079DE7A">
                  <w:pPr>
                    <w:jc w:val="center"/>
                    <w:rPr>
                      <w:rFonts w:ascii="Times New Roman" w:hAnsi="Times New Roman" w:cs="Times New Roman"/>
                      <w:bCs/>
                      <w:color w:val="auto"/>
                      <w:szCs w:val="21"/>
                    </w:rPr>
                  </w:pPr>
                  <w:r>
                    <w:rPr>
                      <w:rFonts w:ascii="Times New Roman" w:hAnsi="Times New Roman" w:cs="Times New Roman"/>
                      <w:bCs/>
                      <w:color w:val="auto"/>
                      <w:szCs w:val="21"/>
                    </w:rPr>
                    <w:t>40</w:t>
                  </w:r>
                </w:p>
              </w:tc>
              <w:tc>
                <w:tcPr>
                  <w:tcW w:w="714" w:type="pct"/>
                  <w:noWrap w:val="0"/>
                  <w:vAlign w:val="center"/>
                </w:tcPr>
                <w:p w14:paraId="1623AA00">
                  <w:pPr>
                    <w:jc w:val="center"/>
                    <w:rPr>
                      <w:rFonts w:ascii="Times New Roman" w:hAnsi="Times New Roman" w:cs="Times New Roman"/>
                      <w:bCs/>
                      <w:color w:val="auto"/>
                      <w:szCs w:val="21"/>
                    </w:rPr>
                  </w:pPr>
                  <w:r>
                    <w:rPr>
                      <w:rFonts w:ascii="Times New Roman" w:hAnsi="Times New Roman" w:cs="Times New Roman"/>
                      <w:bCs/>
                      <w:color w:val="auto"/>
                      <w:szCs w:val="21"/>
                    </w:rPr>
                    <w:t>52.5</w:t>
                  </w:r>
                </w:p>
              </w:tc>
              <w:tc>
                <w:tcPr>
                  <w:tcW w:w="615" w:type="pct"/>
                  <w:noWrap w:val="0"/>
                  <w:vAlign w:val="center"/>
                </w:tcPr>
                <w:p w14:paraId="7495E121">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r w14:paraId="5F03F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534AE3B1">
                  <w:pPr>
                    <w:jc w:val="center"/>
                    <w:rPr>
                      <w:rFonts w:ascii="Times New Roman" w:hAnsi="Times New Roman" w:cs="Times New Roman"/>
                      <w:bCs/>
                      <w:color w:val="auto"/>
                      <w:szCs w:val="21"/>
                    </w:rPr>
                  </w:pPr>
                  <w:r>
                    <w:rPr>
                      <w:rFonts w:ascii="Times New Roman" w:hAnsi="Times New Roman" w:cs="Times New Roman"/>
                      <w:bCs/>
                      <w:color w:val="auto"/>
                      <w:szCs w:val="21"/>
                    </w:rPr>
                    <w:t>PM</w:t>
                  </w:r>
                  <w:r>
                    <w:rPr>
                      <w:rFonts w:ascii="Times New Roman" w:hAnsi="Times New Roman" w:cs="Times New Roman"/>
                      <w:bCs/>
                      <w:color w:val="auto"/>
                      <w:szCs w:val="21"/>
                      <w:vertAlign w:val="subscript"/>
                    </w:rPr>
                    <w:t>10</w:t>
                  </w:r>
                </w:p>
              </w:tc>
              <w:tc>
                <w:tcPr>
                  <w:tcW w:w="1671" w:type="pct"/>
                  <w:noWrap w:val="0"/>
                  <w:vAlign w:val="center"/>
                </w:tcPr>
                <w:p w14:paraId="10815F03">
                  <w:pPr>
                    <w:jc w:val="center"/>
                    <w:rPr>
                      <w:rFonts w:ascii="Times New Roman" w:hAnsi="Times New Roman" w:cs="Times New Roman"/>
                      <w:bCs/>
                      <w:color w:val="auto"/>
                      <w:szCs w:val="21"/>
                    </w:rPr>
                  </w:pPr>
                  <w:r>
                    <w:rPr>
                      <w:rFonts w:ascii="Times New Roman" w:hAnsi="Times New Roman" w:cs="Times New Roman"/>
                      <w:bCs/>
                      <w:color w:val="auto"/>
                      <w:szCs w:val="21"/>
                    </w:rPr>
                    <w:t>年平均质量浓度</w:t>
                  </w:r>
                </w:p>
              </w:tc>
              <w:tc>
                <w:tcPr>
                  <w:tcW w:w="719" w:type="pct"/>
                  <w:noWrap w:val="0"/>
                  <w:vAlign w:val="center"/>
                </w:tcPr>
                <w:p w14:paraId="32480ECF">
                  <w:pPr>
                    <w:jc w:val="center"/>
                    <w:rPr>
                      <w:rFonts w:ascii="Times New Roman" w:hAnsi="Times New Roman" w:cs="Times New Roman"/>
                      <w:bCs/>
                      <w:color w:val="auto"/>
                      <w:szCs w:val="21"/>
                    </w:rPr>
                  </w:pPr>
                  <w:r>
                    <w:rPr>
                      <w:rFonts w:ascii="Times New Roman" w:hAnsi="Times New Roman" w:cs="Times New Roman"/>
                      <w:bCs/>
                      <w:color w:val="auto"/>
                      <w:szCs w:val="21"/>
                    </w:rPr>
                    <w:t>51</w:t>
                  </w:r>
                </w:p>
              </w:tc>
              <w:tc>
                <w:tcPr>
                  <w:tcW w:w="719" w:type="pct"/>
                  <w:noWrap w:val="0"/>
                  <w:vAlign w:val="center"/>
                </w:tcPr>
                <w:p w14:paraId="49050DCF">
                  <w:pPr>
                    <w:jc w:val="center"/>
                    <w:rPr>
                      <w:rFonts w:ascii="Times New Roman" w:hAnsi="Times New Roman" w:cs="Times New Roman"/>
                      <w:bCs/>
                      <w:color w:val="auto"/>
                      <w:szCs w:val="21"/>
                    </w:rPr>
                  </w:pPr>
                  <w:r>
                    <w:rPr>
                      <w:rFonts w:ascii="Times New Roman" w:hAnsi="Times New Roman" w:cs="Times New Roman"/>
                      <w:bCs/>
                      <w:color w:val="auto"/>
                      <w:szCs w:val="21"/>
                    </w:rPr>
                    <w:t>70</w:t>
                  </w:r>
                </w:p>
              </w:tc>
              <w:tc>
                <w:tcPr>
                  <w:tcW w:w="714" w:type="pct"/>
                  <w:noWrap w:val="0"/>
                  <w:vAlign w:val="center"/>
                </w:tcPr>
                <w:p w14:paraId="58F62D32">
                  <w:pPr>
                    <w:jc w:val="center"/>
                    <w:rPr>
                      <w:rFonts w:ascii="Times New Roman" w:hAnsi="Times New Roman" w:cs="Times New Roman"/>
                      <w:bCs/>
                      <w:color w:val="auto"/>
                      <w:szCs w:val="21"/>
                    </w:rPr>
                  </w:pPr>
                  <w:r>
                    <w:rPr>
                      <w:rFonts w:ascii="Times New Roman" w:hAnsi="Times New Roman" w:cs="Times New Roman"/>
                      <w:bCs/>
                      <w:color w:val="auto"/>
                      <w:szCs w:val="21"/>
                    </w:rPr>
                    <w:t>72.9</w:t>
                  </w:r>
                </w:p>
              </w:tc>
              <w:tc>
                <w:tcPr>
                  <w:tcW w:w="615" w:type="pct"/>
                  <w:noWrap w:val="0"/>
                  <w:vAlign w:val="center"/>
                </w:tcPr>
                <w:p w14:paraId="62E21F9D">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r w14:paraId="188793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5173EA86">
                  <w:pPr>
                    <w:jc w:val="center"/>
                    <w:rPr>
                      <w:rFonts w:ascii="Times New Roman" w:hAnsi="Times New Roman" w:cs="Times New Roman"/>
                      <w:bCs/>
                      <w:color w:val="auto"/>
                      <w:szCs w:val="21"/>
                    </w:rPr>
                  </w:pPr>
                  <w:r>
                    <w:rPr>
                      <w:rFonts w:ascii="Times New Roman" w:hAnsi="Times New Roman" w:cs="Times New Roman"/>
                      <w:bCs/>
                      <w:color w:val="auto"/>
                      <w:szCs w:val="21"/>
                    </w:rPr>
                    <w:t>PM</w:t>
                  </w:r>
                  <w:r>
                    <w:rPr>
                      <w:rFonts w:ascii="Times New Roman" w:hAnsi="Times New Roman" w:cs="Times New Roman"/>
                      <w:bCs/>
                      <w:color w:val="auto"/>
                      <w:szCs w:val="21"/>
                      <w:vertAlign w:val="subscript"/>
                    </w:rPr>
                    <w:t>2.5</w:t>
                  </w:r>
                </w:p>
              </w:tc>
              <w:tc>
                <w:tcPr>
                  <w:tcW w:w="1671" w:type="pct"/>
                  <w:noWrap w:val="0"/>
                  <w:vAlign w:val="center"/>
                </w:tcPr>
                <w:p w14:paraId="6B8B6ECF">
                  <w:pPr>
                    <w:jc w:val="center"/>
                    <w:rPr>
                      <w:rFonts w:ascii="Times New Roman" w:hAnsi="Times New Roman" w:cs="Times New Roman"/>
                      <w:bCs/>
                      <w:color w:val="auto"/>
                      <w:szCs w:val="21"/>
                    </w:rPr>
                  </w:pPr>
                  <w:r>
                    <w:rPr>
                      <w:rFonts w:ascii="Times New Roman" w:hAnsi="Times New Roman" w:cs="Times New Roman"/>
                      <w:bCs/>
                      <w:color w:val="auto"/>
                      <w:szCs w:val="21"/>
                    </w:rPr>
                    <w:t>年平均质量浓度</w:t>
                  </w:r>
                </w:p>
              </w:tc>
              <w:tc>
                <w:tcPr>
                  <w:tcW w:w="719" w:type="pct"/>
                  <w:noWrap w:val="0"/>
                  <w:vAlign w:val="center"/>
                </w:tcPr>
                <w:p w14:paraId="65FE01FC">
                  <w:pPr>
                    <w:jc w:val="center"/>
                    <w:rPr>
                      <w:rFonts w:ascii="Times New Roman" w:hAnsi="Times New Roman" w:cs="Times New Roman"/>
                      <w:bCs/>
                      <w:color w:val="auto"/>
                      <w:szCs w:val="21"/>
                    </w:rPr>
                  </w:pPr>
                  <w:r>
                    <w:rPr>
                      <w:rFonts w:ascii="Times New Roman" w:hAnsi="Times New Roman" w:cs="Times New Roman"/>
                      <w:bCs/>
                      <w:color w:val="auto"/>
                      <w:szCs w:val="21"/>
                    </w:rPr>
                    <w:t>43</w:t>
                  </w:r>
                </w:p>
              </w:tc>
              <w:tc>
                <w:tcPr>
                  <w:tcW w:w="719" w:type="pct"/>
                  <w:noWrap w:val="0"/>
                  <w:vAlign w:val="center"/>
                </w:tcPr>
                <w:p w14:paraId="0C0B33CA">
                  <w:pPr>
                    <w:jc w:val="center"/>
                    <w:rPr>
                      <w:rFonts w:ascii="Times New Roman" w:hAnsi="Times New Roman" w:cs="Times New Roman"/>
                      <w:bCs/>
                      <w:color w:val="auto"/>
                      <w:szCs w:val="21"/>
                    </w:rPr>
                  </w:pPr>
                  <w:r>
                    <w:rPr>
                      <w:rFonts w:ascii="Times New Roman" w:hAnsi="Times New Roman" w:cs="Times New Roman"/>
                      <w:bCs/>
                      <w:color w:val="auto"/>
                      <w:szCs w:val="21"/>
                    </w:rPr>
                    <w:t>35</w:t>
                  </w:r>
                </w:p>
              </w:tc>
              <w:tc>
                <w:tcPr>
                  <w:tcW w:w="714" w:type="pct"/>
                  <w:noWrap w:val="0"/>
                  <w:vAlign w:val="center"/>
                </w:tcPr>
                <w:p w14:paraId="377594D1">
                  <w:pPr>
                    <w:jc w:val="center"/>
                    <w:rPr>
                      <w:rFonts w:ascii="Times New Roman" w:hAnsi="Times New Roman" w:cs="Times New Roman"/>
                      <w:b/>
                      <w:color w:val="auto"/>
                      <w:szCs w:val="21"/>
                    </w:rPr>
                  </w:pPr>
                  <w:r>
                    <w:rPr>
                      <w:rFonts w:ascii="Times New Roman" w:hAnsi="Times New Roman" w:cs="Times New Roman"/>
                      <w:b/>
                      <w:color w:val="auto"/>
                      <w:szCs w:val="21"/>
                    </w:rPr>
                    <w:t>122.9</w:t>
                  </w:r>
                </w:p>
              </w:tc>
              <w:tc>
                <w:tcPr>
                  <w:tcW w:w="615" w:type="pct"/>
                  <w:noWrap w:val="0"/>
                  <w:vAlign w:val="center"/>
                </w:tcPr>
                <w:p w14:paraId="6AE17C24">
                  <w:pPr>
                    <w:jc w:val="center"/>
                    <w:rPr>
                      <w:rFonts w:ascii="Times New Roman" w:hAnsi="Times New Roman" w:cs="Times New Roman"/>
                      <w:b/>
                      <w:color w:val="auto"/>
                      <w:szCs w:val="21"/>
                    </w:rPr>
                  </w:pPr>
                  <w:r>
                    <w:rPr>
                      <w:rFonts w:ascii="Times New Roman" w:hAnsi="Times New Roman" w:cs="Times New Roman"/>
                      <w:b/>
                      <w:color w:val="auto"/>
                      <w:szCs w:val="21"/>
                    </w:rPr>
                    <w:t>超标</w:t>
                  </w:r>
                </w:p>
              </w:tc>
            </w:tr>
            <w:tr w14:paraId="6E3D4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5D573D97">
                  <w:pPr>
                    <w:jc w:val="center"/>
                    <w:rPr>
                      <w:rFonts w:ascii="Times New Roman" w:hAnsi="Times New Roman" w:cs="Times New Roman"/>
                      <w:bCs/>
                      <w:color w:val="auto"/>
                      <w:szCs w:val="21"/>
                    </w:rPr>
                  </w:pPr>
                  <w:r>
                    <w:rPr>
                      <w:rFonts w:ascii="Times New Roman" w:hAnsi="Times New Roman" w:cs="Times New Roman"/>
                      <w:bCs/>
                      <w:color w:val="auto"/>
                      <w:szCs w:val="21"/>
                    </w:rPr>
                    <w:t>O</w:t>
                  </w:r>
                  <w:r>
                    <w:rPr>
                      <w:rFonts w:ascii="Times New Roman" w:hAnsi="Times New Roman" w:cs="Times New Roman"/>
                      <w:bCs/>
                      <w:color w:val="auto"/>
                      <w:szCs w:val="21"/>
                      <w:vertAlign w:val="subscript"/>
                    </w:rPr>
                    <w:t>3</w:t>
                  </w:r>
                </w:p>
              </w:tc>
              <w:tc>
                <w:tcPr>
                  <w:tcW w:w="1671" w:type="pct"/>
                  <w:noWrap w:val="0"/>
                  <w:vAlign w:val="center"/>
                </w:tcPr>
                <w:p w14:paraId="23AE740C">
                  <w:pPr>
                    <w:jc w:val="center"/>
                    <w:rPr>
                      <w:rFonts w:ascii="Times New Roman" w:hAnsi="Times New Roman" w:cs="Times New Roman"/>
                      <w:bCs/>
                      <w:color w:val="auto"/>
                      <w:szCs w:val="21"/>
                    </w:rPr>
                  </w:pPr>
                  <w:r>
                    <w:rPr>
                      <w:rFonts w:ascii="Times New Roman" w:hAnsi="Times New Roman" w:cs="Times New Roman"/>
                      <w:bCs/>
                      <w:color w:val="auto"/>
                      <w:szCs w:val="21"/>
                    </w:rPr>
                    <w:t>日最大8h滑动平均质量浓度第90百分位数</w:t>
                  </w:r>
                </w:p>
              </w:tc>
              <w:tc>
                <w:tcPr>
                  <w:tcW w:w="719" w:type="pct"/>
                  <w:noWrap w:val="0"/>
                  <w:vAlign w:val="center"/>
                </w:tcPr>
                <w:p w14:paraId="6616860D">
                  <w:pPr>
                    <w:jc w:val="center"/>
                    <w:rPr>
                      <w:rFonts w:ascii="Times New Roman" w:hAnsi="Times New Roman" w:cs="Times New Roman"/>
                      <w:bCs/>
                      <w:color w:val="auto"/>
                      <w:szCs w:val="21"/>
                    </w:rPr>
                  </w:pPr>
                  <w:r>
                    <w:rPr>
                      <w:rFonts w:ascii="Times New Roman" w:hAnsi="Times New Roman" w:cs="Times New Roman"/>
                      <w:bCs/>
                      <w:color w:val="auto"/>
                      <w:szCs w:val="21"/>
                    </w:rPr>
                    <w:t>162</w:t>
                  </w:r>
                </w:p>
              </w:tc>
              <w:tc>
                <w:tcPr>
                  <w:tcW w:w="719" w:type="pct"/>
                  <w:noWrap w:val="0"/>
                  <w:vAlign w:val="center"/>
                </w:tcPr>
                <w:p w14:paraId="10155CF0">
                  <w:pPr>
                    <w:jc w:val="center"/>
                    <w:rPr>
                      <w:rFonts w:ascii="Times New Roman" w:hAnsi="Times New Roman" w:cs="Times New Roman"/>
                      <w:bCs/>
                      <w:color w:val="auto"/>
                      <w:szCs w:val="21"/>
                    </w:rPr>
                  </w:pPr>
                  <w:r>
                    <w:rPr>
                      <w:rFonts w:ascii="Times New Roman" w:hAnsi="Times New Roman" w:cs="Times New Roman"/>
                      <w:bCs/>
                      <w:color w:val="auto"/>
                      <w:szCs w:val="21"/>
                    </w:rPr>
                    <w:t>160</w:t>
                  </w:r>
                </w:p>
              </w:tc>
              <w:tc>
                <w:tcPr>
                  <w:tcW w:w="714" w:type="pct"/>
                  <w:noWrap w:val="0"/>
                  <w:vAlign w:val="center"/>
                </w:tcPr>
                <w:p w14:paraId="6C2E6019">
                  <w:pPr>
                    <w:jc w:val="center"/>
                    <w:rPr>
                      <w:rFonts w:ascii="Times New Roman" w:hAnsi="Times New Roman" w:cs="Times New Roman"/>
                      <w:bCs/>
                      <w:color w:val="auto"/>
                      <w:szCs w:val="21"/>
                    </w:rPr>
                  </w:pPr>
                  <w:r>
                    <w:rPr>
                      <w:rFonts w:ascii="Times New Roman" w:hAnsi="Times New Roman" w:cs="Times New Roman"/>
                      <w:b/>
                      <w:color w:val="auto"/>
                      <w:szCs w:val="21"/>
                    </w:rPr>
                    <w:t>101.3</w:t>
                  </w:r>
                </w:p>
              </w:tc>
              <w:tc>
                <w:tcPr>
                  <w:tcW w:w="615" w:type="pct"/>
                  <w:noWrap w:val="0"/>
                  <w:vAlign w:val="center"/>
                </w:tcPr>
                <w:p w14:paraId="0B914A85">
                  <w:pPr>
                    <w:jc w:val="center"/>
                    <w:rPr>
                      <w:rFonts w:ascii="Times New Roman" w:hAnsi="Times New Roman" w:cs="Times New Roman"/>
                      <w:bCs/>
                      <w:color w:val="auto"/>
                      <w:szCs w:val="21"/>
                    </w:rPr>
                  </w:pPr>
                  <w:r>
                    <w:rPr>
                      <w:rFonts w:ascii="Times New Roman" w:hAnsi="Times New Roman" w:cs="Times New Roman"/>
                      <w:b/>
                      <w:color w:val="auto"/>
                      <w:szCs w:val="21"/>
                    </w:rPr>
                    <w:t>超标</w:t>
                  </w:r>
                </w:p>
              </w:tc>
            </w:tr>
            <w:tr w14:paraId="7A2A05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39A201F0">
                  <w:pPr>
                    <w:jc w:val="center"/>
                    <w:rPr>
                      <w:rFonts w:ascii="Times New Roman" w:hAnsi="Times New Roman" w:cs="Times New Roman"/>
                      <w:bCs/>
                      <w:color w:val="auto"/>
                      <w:szCs w:val="21"/>
                    </w:rPr>
                  </w:pPr>
                  <w:r>
                    <w:rPr>
                      <w:rFonts w:ascii="Times New Roman" w:hAnsi="Times New Roman" w:cs="Times New Roman"/>
                      <w:bCs/>
                      <w:color w:val="auto"/>
                      <w:szCs w:val="21"/>
                    </w:rPr>
                    <w:t>CO</w:t>
                  </w:r>
                </w:p>
              </w:tc>
              <w:tc>
                <w:tcPr>
                  <w:tcW w:w="1671" w:type="pct"/>
                  <w:noWrap w:val="0"/>
                  <w:vAlign w:val="center"/>
                </w:tcPr>
                <w:p w14:paraId="381AB91C">
                  <w:pPr>
                    <w:jc w:val="center"/>
                    <w:rPr>
                      <w:rFonts w:ascii="Times New Roman" w:hAnsi="Times New Roman" w:cs="Times New Roman"/>
                      <w:bCs/>
                      <w:color w:val="auto"/>
                      <w:szCs w:val="21"/>
                    </w:rPr>
                  </w:pPr>
                  <w:r>
                    <w:rPr>
                      <w:rFonts w:ascii="Times New Roman" w:hAnsi="Times New Roman" w:cs="Times New Roman"/>
                      <w:bCs/>
                      <w:color w:val="auto"/>
                      <w:szCs w:val="21"/>
                    </w:rPr>
                    <w:t>24小时平均第95百分位数</w:t>
                  </w:r>
                </w:p>
              </w:tc>
              <w:tc>
                <w:tcPr>
                  <w:tcW w:w="719" w:type="pct"/>
                  <w:noWrap w:val="0"/>
                  <w:vAlign w:val="center"/>
                </w:tcPr>
                <w:p w14:paraId="6D93265C">
                  <w:pPr>
                    <w:jc w:val="center"/>
                    <w:rPr>
                      <w:rFonts w:ascii="Times New Roman" w:hAnsi="Times New Roman" w:cs="Times New Roman"/>
                      <w:bCs/>
                      <w:color w:val="auto"/>
                      <w:szCs w:val="21"/>
                    </w:rPr>
                  </w:pPr>
                  <w:r>
                    <w:rPr>
                      <w:rFonts w:ascii="Times New Roman" w:hAnsi="Times New Roman" w:cs="Times New Roman"/>
                      <w:bCs/>
                      <w:color w:val="auto"/>
                      <w:szCs w:val="21"/>
                    </w:rPr>
                    <w:t>1.0mg/m</w:t>
                  </w:r>
                  <w:r>
                    <w:rPr>
                      <w:rFonts w:ascii="Times New Roman" w:hAnsi="Times New Roman" w:cs="Times New Roman"/>
                      <w:bCs/>
                      <w:color w:val="auto"/>
                      <w:szCs w:val="21"/>
                      <w:vertAlign w:val="superscript"/>
                    </w:rPr>
                    <w:t>3</w:t>
                  </w:r>
                </w:p>
              </w:tc>
              <w:tc>
                <w:tcPr>
                  <w:tcW w:w="719" w:type="pct"/>
                  <w:noWrap w:val="0"/>
                  <w:vAlign w:val="center"/>
                </w:tcPr>
                <w:p w14:paraId="29338C6D">
                  <w:pPr>
                    <w:jc w:val="center"/>
                    <w:rPr>
                      <w:rFonts w:ascii="Times New Roman" w:hAnsi="Times New Roman" w:cs="Times New Roman"/>
                      <w:bCs/>
                      <w:color w:val="auto"/>
                      <w:szCs w:val="21"/>
                    </w:rPr>
                  </w:pPr>
                  <w:r>
                    <w:rPr>
                      <w:rFonts w:ascii="Times New Roman" w:hAnsi="Times New Roman" w:cs="Times New Roman"/>
                      <w:bCs/>
                      <w:color w:val="auto"/>
                      <w:szCs w:val="21"/>
                    </w:rPr>
                    <w:t>4mg/m</w:t>
                  </w:r>
                  <w:r>
                    <w:rPr>
                      <w:rFonts w:ascii="Times New Roman" w:hAnsi="Times New Roman" w:cs="Times New Roman"/>
                      <w:bCs/>
                      <w:color w:val="auto"/>
                      <w:szCs w:val="21"/>
                      <w:vertAlign w:val="superscript"/>
                    </w:rPr>
                    <w:t>3</w:t>
                  </w:r>
                </w:p>
              </w:tc>
              <w:tc>
                <w:tcPr>
                  <w:tcW w:w="714" w:type="pct"/>
                  <w:noWrap w:val="0"/>
                  <w:vAlign w:val="center"/>
                </w:tcPr>
                <w:p w14:paraId="58AE61DB">
                  <w:pPr>
                    <w:jc w:val="center"/>
                    <w:rPr>
                      <w:rFonts w:ascii="Times New Roman" w:hAnsi="Times New Roman" w:cs="Times New Roman"/>
                      <w:bCs/>
                      <w:color w:val="auto"/>
                      <w:szCs w:val="21"/>
                    </w:rPr>
                  </w:pPr>
                  <w:r>
                    <w:rPr>
                      <w:rFonts w:ascii="Times New Roman" w:hAnsi="Times New Roman" w:cs="Times New Roman"/>
                      <w:bCs/>
                      <w:color w:val="auto"/>
                      <w:szCs w:val="21"/>
                    </w:rPr>
                    <w:t>25.0</w:t>
                  </w:r>
                </w:p>
              </w:tc>
              <w:tc>
                <w:tcPr>
                  <w:tcW w:w="615" w:type="pct"/>
                  <w:noWrap w:val="0"/>
                  <w:vAlign w:val="center"/>
                </w:tcPr>
                <w:p w14:paraId="04C1312F">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bl>
          <w:p w14:paraId="1D0209DC">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由表3-1可知，项目所在区域基本污染物中</w:t>
            </w:r>
            <w:r>
              <w:rPr>
                <w:rFonts w:ascii="Times New Roman" w:hAnsi="Times New Roman" w:eastAsia="宋体" w:cs="Times New Roman"/>
                <w:bCs/>
                <w:color w:val="auto"/>
                <w:kern w:val="2"/>
                <w:sz w:val="21"/>
                <w:szCs w:val="21"/>
                <w:lang w:val="en-US" w:eastAsia="zh-CN" w:bidi="ar-SA"/>
              </w:rPr>
              <w:t>SO</w:t>
            </w:r>
            <w:r>
              <w:rPr>
                <w:rFonts w:ascii="Times New Roman" w:hAnsi="Times New Roman" w:eastAsia="宋体" w:cs="Times New Roman"/>
                <w:bCs/>
                <w:color w:val="auto"/>
                <w:kern w:val="2"/>
                <w:sz w:val="21"/>
                <w:szCs w:val="21"/>
                <w:vertAlign w:val="subscript"/>
                <w:lang w:val="en-US" w:eastAsia="zh-CN" w:bidi="ar-SA"/>
              </w:rPr>
              <w:t>2</w:t>
            </w:r>
            <w:r>
              <w:rPr>
                <w:rFonts w:ascii="Times New Roman" w:hAnsi="Times New Roman" w:eastAsia="宋体" w:cs="Times New Roman"/>
                <w:bCs/>
                <w:color w:val="auto"/>
                <w:kern w:val="2"/>
                <w:sz w:val="21"/>
                <w:szCs w:val="21"/>
                <w:lang w:val="en-US" w:eastAsia="zh-CN" w:bidi="ar-SA"/>
              </w:rPr>
              <w:t>、NO</w:t>
            </w:r>
            <w:r>
              <w:rPr>
                <w:rFonts w:ascii="Times New Roman" w:hAnsi="Times New Roman" w:eastAsia="宋体" w:cs="Times New Roman"/>
                <w:bCs/>
                <w:color w:val="auto"/>
                <w:kern w:val="2"/>
                <w:sz w:val="21"/>
                <w:szCs w:val="21"/>
                <w:vertAlign w:val="subscript"/>
                <w:lang w:val="en-US" w:eastAsia="zh-CN" w:bidi="ar-SA"/>
              </w:rPr>
              <w:t>2</w:t>
            </w:r>
            <w:r>
              <w:rPr>
                <w:rFonts w:ascii="Times New Roman" w:hAnsi="Times New Roman" w:eastAsia="宋体" w:cs="Times New Roman"/>
                <w:bCs/>
                <w:color w:val="auto"/>
                <w:kern w:val="2"/>
                <w:sz w:val="21"/>
                <w:szCs w:val="21"/>
                <w:lang w:val="en-US" w:eastAsia="zh-CN" w:bidi="ar-SA"/>
              </w:rPr>
              <w:t>、PM</w:t>
            </w:r>
            <w:r>
              <w:rPr>
                <w:rFonts w:ascii="Times New Roman" w:hAnsi="Times New Roman" w:eastAsia="宋体" w:cs="Times New Roman"/>
                <w:bCs/>
                <w:color w:val="auto"/>
                <w:kern w:val="2"/>
                <w:sz w:val="21"/>
                <w:szCs w:val="21"/>
                <w:vertAlign w:val="subscript"/>
                <w:lang w:val="en-US" w:eastAsia="zh-CN" w:bidi="ar-SA"/>
              </w:rPr>
              <w:t>10</w:t>
            </w:r>
            <w:r>
              <w:rPr>
                <w:rFonts w:ascii="Times New Roman" w:hAnsi="Times New Roman" w:eastAsia="宋体" w:cs="Times New Roman"/>
                <w:bCs/>
                <w:color w:val="auto"/>
                <w:kern w:val="2"/>
                <w:sz w:val="21"/>
                <w:szCs w:val="21"/>
                <w:lang w:val="en-US" w:eastAsia="zh-CN" w:bidi="ar-SA"/>
              </w:rPr>
              <w:t>、CO</w:t>
            </w:r>
            <w:r>
              <w:rPr>
                <w:rFonts w:ascii="Times New Roman" w:hAnsi="Times New Roman" w:eastAsia="宋体" w:cs="Times New Roman"/>
                <w:color w:val="auto"/>
                <w:kern w:val="2"/>
                <w:sz w:val="21"/>
                <w:szCs w:val="21"/>
                <w:lang w:val="en-US" w:eastAsia="zh-CN" w:bidi="ar-SA"/>
              </w:rPr>
              <w:t>均能够满足《环境空气质量标准》（GB3095-2012）中的二级浓度限值要求，</w:t>
            </w:r>
            <w:r>
              <w:rPr>
                <w:rFonts w:ascii="Times New Roman" w:hAnsi="Times New Roman" w:eastAsia="宋体" w:cs="Times New Roman"/>
                <w:bCs/>
                <w:color w:val="auto"/>
                <w:kern w:val="2"/>
                <w:sz w:val="21"/>
                <w:szCs w:val="21"/>
                <w:lang w:val="en-US" w:eastAsia="zh-CN" w:bidi="ar-SA"/>
              </w:rPr>
              <w:t>PM</w:t>
            </w:r>
            <w:r>
              <w:rPr>
                <w:rFonts w:ascii="Times New Roman" w:hAnsi="Times New Roman" w:eastAsia="宋体" w:cs="Times New Roman"/>
                <w:bCs/>
                <w:color w:val="auto"/>
                <w:kern w:val="2"/>
                <w:sz w:val="21"/>
                <w:szCs w:val="21"/>
                <w:vertAlign w:val="subscript"/>
                <w:lang w:val="en-US" w:eastAsia="zh-CN" w:bidi="ar-SA"/>
              </w:rPr>
              <w:t>2.5</w:t>
            </w:r>
            <w:r>
              <w:rPr>
                <w:rFonts w:ascii="Times New Roman" w:hAnsi="Times New Roman" w:eastAsia="宋体" w:cs="Times New Roman"/>
                <w:bCs/>
                <w:color w:val="auto"/>
                <w:kern w:val="2"/>
                <w:sz w:val="21"/>
                <w:szCs w:val="21"/>
                <w:lang w:val="en-US" w:eastAsia="zh-CN" w:bidi="ar-SA"/>
              </w:rPr>
              <w:t>、</w:t>
            </w:r>
            <w:r>
              <w:rPr>
                <w:rFonts w:ascii="Times New Roman" w:hAnsi="Times New Roman" w:eastAsia="宋体" w:cs="Times New Roman"/>
                <w:bCs/>
                <w:color w:val="auto"/>
                <w:kern w:val="28"/>
                <w:sz w:val="21"/>
                <w:szCs w:val="21"/>
                <w:lang w:val="en-US" w:eastAsia="zh-CN" w:bidi="ar-SA"/>
              </w:rPr>
              <w:t>O</w:t>
            </w:r>
            <w:r>
              <w:rPr>
                <w:rFonts w:ascii="Times New Roman" w:hAnsi="Times New Roman" w:eastAsia="宋体" w:cs="Times New Roman"/>
                <w:bCs/>
                <w:color w:val="auto"/>
                <w:kern w:val="28"/>
                <w:sz w:val="21"/>
                <w:szCs w:val="21"/>
                <w:vertAlign w:val="subscript"/>
                <w:lang w:val="en-US" w:eastAsia="zh-CN" w:bidi="ar-SA"/>
              </w:rPr>
              <w:t>3</w:t>
            </w:r>
            <w:r>
              <w:rPr>
                <w:rFonts w:ascii="Times New Roman" w:hAnsi="Times New Roman" w:eastAsia="宋体" w:cs="Times New Roman"/>
                <w:bCs/>
                <w:color w:val="auto"/>
                <w:kern w:val="2"/>
                <w:sz w:val="21"/>
                <w:szCs w:val="21"/>
                <w:lang w:val="en-US" w:eastAsia="zh-CN" w:bidi="ar-SA"/>
              </w:rPr>
              <w:t>超过二级浓度限值</w:t>
            </w:r>
            <w:r>
              <w:rPr>
                <w:rFonts w:ascii="Times New Roman" w:hAnsi="Times New Roman" w:eastAsia="宋体" w:cs="Times New Roman"/>
                <w:color w:val="auto"/>
                <w:kern w:val="2"/>
                <w:sz w:val="21"/>
                <w:szCs w:val="21"/>
                <w:lang w:val="en-US" w:eastAsia="zh-CN" w:bidi="ar-SA"/>
              </w:rPr>
              <w:t>。根据《环境影响评价技术导则 大气环境》（HJ2.2-2018）相关要求，该区域出现超标指标，为</w:t>
            </w:r>
            <w:r>
              <w:rPr>
                <w:rFonts w:ascii="Times New Roman" w:hAnsi="Times New Roman" w:eastAsia="宋体" w:cs="Times New Roman"/>
                <w:b/>
                <w:bCs/>
                <w:color w:val="auto"/>
                <w:kern w:val="2"/>
                <w:sz w:val="21"/>
                <w:szCs w:val="21"/>
                <w:lang w:val="en-US" w:eastAsia="zh-CN" w:bidi="ar-SA"/>
              </w:rPr>
              <w:t>不达标区</w:t>
            </w:r>
            <w:r>
              <w:rPr>
                <w:rFonts w:ascii="Times New Roman" w:hAnsi="Times New Roman" w:eastAsia="宋体" w:cs="Times New Roman"/>
                <w:color w:val="auto"/>
                <w:kern w:val="2"/>
                <w:sz w:val="21"/>
                <w:szCs w:val="21"/>
                <w:lang w:val="en-US" w:eastAsia="zh-CN" w:bidi="ar-SA"/>
              </w:rPr>
              <w:t>。</w:t>
            </w:r>
          </w:p>
          <w:p w14:paraId="57A95D4C">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根据2024年8月31日，合川区政府印发《合川区空气质量持续改善行动实施方案》，合川区拟采取的改善空气质量的“主要措施”如下：</w:t>
            </w:r>
          </w:p>
          <w:p w14:paraId="445DA0D4">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一是实施产业产品绿色转型升级行动，推动产业结构优化。推动实施重点行业产业产品绿色转型升级，持续推动大气治理、减污降碳、绿色转型、能级提升，推动建设一批国家环保绩效A级、B级企业。遏制高耗能、高排放、低水平项目盲目上马。推动产业集群实施废气治理和升级改造。根据实际情况制定区级中小微企业大气污染专项整治方案，依法淘汰关停一批、搬迁入园一批、就地改造一批。优化含VOCs原辅材料和产品结构。严格执行VOCs含量限值标准，提高低（无）VOCs含量产品的数量和比重。室外构筑物防护和城市道路交通标志等推广使用低（无）VOCs含量的涂料。推动绿色环保产业高质量发展。以节能减排、减污降碳、超低排放、生产使用低（无）VOCs含量原辅材料等领域为重点，支持培育一批具有绿色低碳技术优势和产业竞争力的市场主体。</w:t>
            </w:r>
          </w:p>
          <w:p w14:paraId="1CA47D02">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二是实施能源清洁低碳高效利用行动，推动能源结构优化。严格合理控制煤炭消费总量，大力发展新能源和清洁能源，持续增加天然气（页岩气）生产供应，新增天然气（页岩气）优先保障居民生活需求。开展燃煤锅炉关停整合和工业炉窑清洁能源替代，基本淘汰10蒸吨/小时及以下的燃煤锅炉，城市建成区、工业园区基本淘汰35蒸吨/小时及以下的燃煤锅炉及茶水炉、经营性炉灶、储粮烘干设备、农产品加工等燃煤设施。巩固并扩大高污染燃料禁燃区域。</w:t>
            </w:r>
          </w:p>
          <w:p w14:paraId="347724FF">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三是实施移动源大气综合治理提升行动，推动交通结构优化，优化调整货客运结构，提升机动车清洁化水平，各级党政机关、事业单位、国有企业新增或更新公务用车原则上使用电动化等新能源汽车（应急等特种车辆除外），加快城乡公共充电基础设施建设。强化机动车排放管控，实施船舶和非道路移动源综合治理，全面保障成品油质量和推行错峰加油。</w:t>
            </w:r>
          </w:p>
          <w:p w14:paraId="53C3F755">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四是实施深度治理和精细化管控行动，推动多污染物减排。实施重点行业污染深度治理，大力推进水泥等重点行业超低排放改造。加快推进水泥、玻璃、砖瓦企业深度治理和提标改造，强化工业源烟气脱硫脱硝氨逃逸防控。强化VOCs全过程控制，大力推动年销售汽油5000吨以上的加油站安装三级油气回收处理装置，重点涉气企业逐步取消烟气和含VOCs废气旁路，因安全生产需要无法取消的，须安装在线监控系统等设施。</w:t>
            </w:r>
          </w:p>
          <w:p w14:paraId="0FE3953F">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五是实施扬尘焚烧油烟等面源治污行动，切实解决扰民问题。深化扬尘污染综合治理，严格落实控尘“十项规定”，深化施工工地扬尘控制“红黄绿”标志分级管理制度，规范建筑垃圾（渣土）绿色运输和“冒装撒漏”防控措施，对建筑垃圾（渣土）堆场扬尘、垃圾焚烧以及运渣车尾气等开展系统治理。加快完成港口码头堆场，以及水泥、有色金属等行业物料仓库抑尘设施建设和物料输送系统封闭改造。）加强露天焚烧管控和秸秆综合利用，强化露天焚烧整治，完善网格化监管体系，探索秸秆综合利用工作方式，健全秸秆收储运服务体系，减少露天焚烧。开展餐饮油烟和臭气扰民专项治理，严格居民楼周边餐饮服务单位布局管理，拟开设餐饮服务单位的建筑应设计建设专用烟道，推动实施治理设施第三方运维管理及在线监控。用好“以奖促治”市级财政资金，实施老旧小区油烟连片整治，巩固提升公共机构食堂餐饮油烟治理成效。加强露天烧烤和烟花爆竹燃放管控。</w:t>
            </w:r>
          </w:p>
          <w:p w14:paraId="4F1E7ACF">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六是实施预警预报和联防联控提升行动，强化污染应对。提升预警预报及监测监控能力，完善大气污染联防联控和污染应对机制，深化跨省市大气污染联合防治，推进构建川渝之间、区县之间、部门之间应急响应、交叉检查、联合执法、预测预报预警等方面的交互机制。完善重污染天气应急预案体系，协同实施水泥等重点行业错峰生产，健全预测预警、应急响应、问题销号、工作复盘、追责问责贯通的重污染天气应急应对工作机制。</w:t>
            </w:r>
          </w:p>
          <w:p w14:paraId="06080A0C">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七是实施“治气”智能化精准化建设行动，强化科技支撑。加强决策科技支撑。持续开展大气污染源排放清单编制和污染物来源解析工作，开展PM</w:t>
            </w:r>
            <w:r>
              <w:rPr>
                <w:rFonts w:ascii="Times New Roman" w:hAnsi="Times New Roman" w:eastAsia="宋体" w:cs="Times New Roman"/>
                <w:color w:val="auto"/>
                <w:kern w:val="2"/>
                <w:sz w:val="21"/>
                <w:szCs w:val="21"/>
                <w:vertAlign w:val="subscript"/>
                <w:lang w:val="en-US" w:eastAsia="zh-CN" w:bidi="ar-SA"/>
              </w:rPr>
              <w:t>2.5</w:t>
            </w:r>
            <w:r>
              <w:rPr>
                <w:rFonts w:ascii="Times New Roman" w:hAnsi="Times New Roman" w:eastAsia="宋体" w:cs="Times New Roman"/>
                <w:color w:val="auto"/>
                <w:kern w:val="2"/>
                <w:sz w:val="21"/>
                <w:szCs w:val="21"/>
                <w:lang w:val="en-US" w:eastAsia="zh-CN" w:bidi="ar-SA"/>
              </w:rPr>
              <w:t>来源解析，完成污染源排放清单编制并实现逐年更新。</w:t>
            </w:r>
          </w:p>
          <w:p w14:paraId="63FC7C0F">
            <w:pPr>
              <w:widowControl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八是实施空气质量共保共治全民行动，强化各方责任。加强组织领导，强化责任落实，严格监督考核，构建全民共治格局，加强宣传引导。坚持和加强党对大气污染防治工作的全面领导，落实“党政同责、一岗双责”，各镇街政府落实属地责任，对本辖区内空气质量负总责，完成空气质量目标优化考核指标设置。强化政策解读和宣传，大力普及大气环境与健康基本理念和知识，提升公众大气环境保护意识和健康素养。</w:t>
            </w:r>
          </w:p>
          <w:p w14:paraId="42493387">
            <w:pPr>
              <w:pStyle w:val="54"/>
              <w:spacing w:line="360" w:lineRule="auto"/>
              <w:ind w:firstLine="42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1"/>
                <w:szCs w:val="21"/>
                <w:lang w:val="en-US" w:eastAsia="zh-CN" w:bidi="ar-SA"/>
              </w:rPr>
              <w:t>在合川区范围内执行相应的整治措施后，可改善区域环境质量达标情况</w:t>
            </w:r>
            <w:r>
              <w:rPr>
                <w:rFonts w:ascii="Times New Roman" w:hAnsi="Times New Roman" w:eastAsia="宋体" w:cs="Times New Roman"/>
                <w:color w:val="auto"/>
                <w:kern w:val="2"/>
                <w:sz w:val="24"/>
                <w:szCs w:val="24"/>
                <w:lang w:val="en-US" w:eastAsia="zh-CN" w:bidi="ar-SA"/>
              </w:rPr>
              <w:t>。</w:t>
            </w:r>
          </w:p>
          <w:p w14:paraId="07CDBD04">
            <w:pPr>
              <w:pStyle w:val="54"/>
              <w:spacing w:line="360" w:lineRule="auto"/>
              <w:ind w:firstLine="422" w:firstLineChars="200"/>
              <w:jc w:val="both"/>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②特征污染物</w:t>
            </w:r>
          </w:p>
          <w:p w14:paraId="107408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cs="Times New Roman"/>
                <w:bCs/>
                <w:color w:val="auto"/>
                <w:sz w:val="21"/>
                <w:szCs w:val="21"/>
              </w:rPr>
              <w:t>根据《建设项目环境影响报告表编制技术指南（污染影响类）（试行）》</w:t>
            </w:r>
            <w:r>
              <w:rPr>
                <w:rFonts w:hint="eastAsia" w:ascii="Times New Roman" w:hAnsi="Times New Roman" w:cs="Times New Roman"/>
                <w:bCs/>
                <w:color w:val="auto"/>
                <w:sz w:val="21"/>
                <w:szCs w:val="21"/>
              </w:rPr>
              <w:t>，排放国家、地方环境空气质量标准中有标准限值要求的特征污染物时，引用建设项目周边5千米范围内近3年的现有监测数据，无相关数据的选择当季主导风向下风向1个点位补充不少于3天的监测数据，</w:t>
            </w:r>
            <w:r>
              <w:rPr>
                <w:rFonts w:ascii="Times New Roman" w:hAnsi="Times New Roman" w:cs="Times New Roman"/>
                <w:bCs/>
                <w:color w:val="auto"/>
                <w:sz w:val="21"/>
                <w:szCs w:val="21"/>
              </w:rPr>
              <w:t>本项目排放的</w:t>
            </w:r>
            <w:r>
              <w:rPr>
                <w:rFonts w:hint="eastAsia" w:ascii="Times New Roman" w:hAnsi="Times New Roman" w:cs="Times New Roman"/>
                <w:bCs/>
                <w:color w:val="auto"/>
                <w:sz w:val="21"/>
                <w:szCs w:val="21"/>
              </w:rPr>
              <w:t>特征污染物</w:t>
            </w:r>
            <w:r>
              <w:rPr>
                <w:rFonts w:ascii="Times New Roman" w:hAnsi="Times New Roman" w:cs="Times New Roman"/>
                <w:bCs/>
                <w:color w:val="auto"/>
                <w:sz w:val="21"/>
                <w:szCs w:val="21"/>
              </w:rPr>
              <w:t>仅非甲烷总烃</w:t>
            </w:r>
            <w:r>
              <w:rPr>
                <w:rFonts w:hint="eastAsia" w:ascii="Times New Roman" w:hAnsi="Times New Roman" w:cs="Times New Roman"/>
                <w:bCs/>
                <w:color w:val="auto"/>
                <w:sz w:val="21"/>
                <w:szCs w:val="21"/>
              </w:rPr>
              <w:t>有</w:t>
            </w:r>
            <w:r>
              <w:rPr>
                <w:rFonts w:ascii="Times New Roman" w:hAnsi="Times New Roman" w:cs="Times New Roman"/>
                <w:bCs/>
                <w:color w:val="auto"/>
                <w:sz w:val="21"/>
                <w:szCs w:val="21"/>
              </w:rPr>
              <w:t>相应的环境质量</w:t>
            </w:r>
            <w:r>
              <w:rPr>
                <w:rFonts w:hint="eastAsia" w:ascii="Times New Roman" w:hAnsi="Times New Roman" w:cs="Times New Roman"/>
                <w:bCs/>
                <w:color w:val="auto"/>
                <w:sz w:val="21"/>
                <w:szCs w:val="21"/>
              </w:rPr>
              <w:t>标准</w:t>
            </w:r>
            <w:r>
              <w:rPr>
                <w:rFonts w:hint="eastAsia" w:ascii="Times New Roman" w:hAnsi="Times New Roman" w:cs="Times New Roman"/>
                <w:bCs/>
                <w:color w:val="auto"/>
                <w:sz w:val="21"/>
                <w:szCs w:val="21"/>
                <w:lang w:eastAsia="zh-CN"/>
              </w:rPr>
              <w:t>，</w:t>
            </w:r>
            <w:r>
              <w:rPr>
                <w:rFonts w:ascii="Times New Roman" w:hAnsi="宋体" w:eastAsia="宋体"/>
                <w:color w:val="auto"/>
                <w:sz w:val="21"/>
                <w:szCs w:val="21"/>
              </w:rPr>
              <w:t>为了解项目所在地非甲烷总烃环境质量现状，本次评价</w:t>
            </w:r>
            <w:r>
              <w:rPr>
                <w:rFonts w:hint="default" w:ascii="Times New Roman" w:hAnsi="Times New Roman" w:eastAsia="宋体" w:cs="Times New Roman"/>
                <w:color w:val="auto"/>
                <w:kern w:val="0"/>
                <w:sz w:val="21"/>
                <w:szCs w:val="21"/>
                <w:lang w:val="en-GB" w:eastAsia="zh-CN"/>
              </w:rPr>
              <w:t>引用《</w:t>
            </w:r>
            <w:r>
              <w:rPr>
                <w:rFonts w:hint="eastAsia" w:cs="Times New Roman"/>
                <w:color w:val="auto"/>
                <w:kern w:val="0"/>
                <w:sz w:val="21"/>
                <w:szCs w:val="21"/>
                <w:lang w:val="en-GB" w:eastAsia="zh-CN"/>
              </w:rPr>
              <w:t>重庆市合川区生态环境监测站</w:t>
            </w:r>
            <w:r>
              <w:rPr>
                <w:rFonts w:hint="default" w:ascii="Times New Roman" w:hAnsi="Times New Roman" w:eastAsia="宋体" w:cs="Times New Roman"/>
                <w:color w:val="auto"/>
                <w:kern w:val="0"/>
                <w:sz w:val="21"/>
                <w:szCs w:val="21"/>
                <w:lang w:val="en-GB" w:eastAsia="zh-CN"/>
              </w:rPr>
              <w:t>监测报告》</w:t>
            </w:r>
            <w:r>
              <w:rPr>
                <w:rFonts w:hint="eastAsia" w:cs="Times New Roman"/>
                <w:color w:val="auto"/>
                <w:kern w:val="0"/>
                <w:sz w:val="21"/>
                <w:szCs w:val="21"/>
                <w:lang w:val="en-GB" w:eastAsia="zh-CN"/>
              </w:rPr>
              <w:t>“合环</w:t>
            </w:r>
            <w:r>
              <w:rPr>
                <w:rFonts w:hint="default" w:ascii="Times New Roman" w:hAnsi="Times New Roman" w:eastAsia="宋体" w:cs="Times New Roman"/>
                <w:color w:val="auto"/>
                <w:kern w:val="0"/>
                <w:sz w:val="21"/>
                <w:szCs w:val="21"/>
                <w:lang w:val="en-GB" w:eastAsia="zh-CN"/>
              </w:rPr>
              <w:t>（监）字</w:t>
            </w:r>
            <w:r>
              <w:rPr>
                <w:rFonts w:hint="eastAsia" w:cs="Times New Roman"/>
                <w:color w:val="auto"/>
                <w:kern w:val="0"/>
                <w:sz w:val="21"/>
                <w:szCs w:val="21"/>
                <w:lang w:val="en-GB" w:eastAsia="zh-CN"/>
              </w:rPr>
              <w:t>〔2023〕</w:t>
            </w:r>
            <w:r>
              <w:rPr>
                <w:rFonts w:hint="default" w:ascii="Times New Roman" w:hAnsi="Times New Roman" w:eastAsia="宋体" w:cs="Times New Roman"/>
                <w:color w:val="auto"/>
                <w:kern w:val="0"/>
                <w:sz w:val="21"/>
                <w:szCs w:val="21"/>
                <w:lang w:val="en-GB" w:eastAsia="zh-CN"/>
              </w:rPr>
              <w:t>第</w:t>
            </w:r>
            <w:r>
              <w:rPr>
                <w:rFonts w:hint="eastAsia" w:cs="Times New Roman"/>
                <w:color w:val="auto"/>
                <w:kern w:val="0"/>
                <w:sz w:val="21"/>
                <w:szCs w:val="21"/>
                <w:lang w:val="en-US" w:eastAsia="zh-CN"/>
              </w:rPr>
              <w:t>HJ001</w:t>
            </w:r>
            <w:r>
              <w:rPr>
                <w:rFonts w:hint="default" w:ascii="Times New Roman" w:hAnsi="Times New Roman" w:eastAsia="宋体" w:cs="Times New Roman"/>
                <w:color w:val="auto"/>
                <w:kern w:val="0"/>
                <w:sz w:val="21"/>
                <w:szCs w:val="21"/>
                <w:lang w:val="en-GB" w:eastAsia="zh-CN"/>
              </w:rPr>
              <w:t>号</w:t>
            </w:r>
            <w:r>
              <w:rPr>
                <w:rFonts w:hint="eastAsia" w:cs="Times New Roman"/>
                <w:color w:val="auto"/>
                <w:kern w:val="0"/>
                <w:sz w:val="21"/>
                <w:szCs w:val="21"/>
                <w:lang w:val="en-GB" w:eastAsia="zh-CN"/>
              </w:rPr>
              <w:t>”</w:t>
            </w:r>
            <w:r>
              <w:rPr>
                <w:rFonts w:hint="eastAsia" w:ascii="Times New Roman" w:hAnsi="Times New Roman" w:eastAsia="宋体" w:cs="Times New Roman"/>
                <w:color w:val="auto"/>
                <w:kern w:val="0"/>
                <w:sz w:val="21"/>
                <w:szCs w:val="21"/>
                <w:lang w:val="en-GB" w:eastAsia="zh-CN"/>
              </w:rPr>
              <w:t>中</w:t>
            </w:r>
            <w:r>
              <w:rPr>
                <w:rFonts w:hint="eastAsia" w:cs="Times New Roman"/>
                <w:color w:val="auto"/>
                <w:kern w:val="0"/>
                <w:sz w:val="21"/>
                <w:szCs w:val="21"/>
                <w:lang w:val="en-US" w:eastAsia="zh-CN"/>
              </w:rPr>
              <w:t>南溪核心区区域下风向监测点</w:t>
            </w:r>
            <w:r>
              <w:rPr>
                <w:rFonts w:hint="default" w:ascii="Times New Roman" w:hAnsi="Times New Roman" w:eastAsia="宋体" w:cs="Times New Roman"/>
                <w:color w:val="auto"/>
                <w:kern w:val="0"/>
                <w:sz w:val="21"/>
                <w:szCs w:val="21"/>
                <w:lang w:eastAsia="zh-CN"/>
              </w:rPr>
              <w:t>监测数据</w:t>
            </w:r>
            <w:r>
              <w:rPr>
                <w:rFonts w:hint="default" w:ascii="Times New Roman" w:hAnsi="Times New Roman" w:eastAsia="宋体" w:cs="Times New Roman"/>
                <w:color w:val="auto"/>
                <w:kern w:val="0"/>
                <w:sz w:val="21"/>
                <w:szCs w:val="21"/>
                <w:lang w:val="en-GB" w:eastAsia="zh-CN"/>
              </w:rPr>
              <w:t>进行分析。</w:t>
            </w:r>
            <w:r>
              <w:rPr>
                <w:rFonts w:hint="eastAsia" w:ascii="Times New Roman" w:hAnsi="Times New Roman" w:eastAsia="宋体" w:cs="Times New Roman"/>
                <w:color w:val="auto"/>
                <w:kern w:val="0"/>
                <w:sz w:val="21"/>
                <w:szCs w:val="21"/>
                <w:lang w:val="en-GB" w:eastAsia="zh-CN"/>
              </w:rPr>
              <w:t>该监测点距本项目</w:t>
            </w:r>
            <w:r>
              <w:rPr>
                <w:rFonts w:hint="eastAsia" w:cs="Times New Roman"/>
                <w:color w:val="auto"/>
                <w:kern w:val="0"/>
                <w:sz w:val="21"/>
                <w:szCs w:val="21"/>
                <w:lang w:val="en-US" w:eastAsia="zh-CN"/>
              </w:rPr>
              <w:t>1710</w:t>
            </w:r>
            <w:r>
              <w:rPr>
                <w:rFonts w:hint="eastAsia"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lang w:val="en-GB" w:eastAsia="zh-CN"/>
              </w:rPr>
              <w:t>监测至今项目所在区域大气污染物排放状况无较大变化，且</w:t>
            </w:r>
            <w:r>
              <w:rPr>
                <w:rFonts w:hint="eastAsia" w:ascii="Times New Roman" w:hAnsi="Times New Roman" w:eastAsia="宋体" w:cs="Times New Roman"/>
                <w:color w:val="auto"/>
                <w:kern w:val="0"/>
                <w:sz w:val="21"/>
                <w:szCs w:val="21"/>
                <w:lang w:val="en-US" w:eastAsia="zh-CN"/>
              </w:rPr>
              <w:t>监测时间为202</w:t>
            </w:r>
            <w:r>
              <w:rPr>
                <w:rFonts w:hint="eastAsia" w:cs="Times New Roman"/>
                <w:color w:val="auto"/>
                <w:kern w:val="0"/>
                <w:sz w:val="21"/>
                <w:szCs w:val="21"/>
                <w:lang w:val="en-US" w:eastAsia="zh-CN"/>
              </w:rPr>
              <w:t>3</w:t>
            </w:r>
            <w:r>
              <w:rPr>
                <w:rFonts w:hint="eastAsia" w:ascii="Times New Roman" w:hAnsi="Times New Roman" w:eastAsia="宋体" w:cs="Times New Roman"/>
                <w:color w:val="auto"/>
                <w:kern w:val="0"/>
                <w:sz w:val="21"/>
                <w:szCs w:val="21"/>
                <w:lang w:val="en-US" w:eastAsia="zh-CN"/>
              </w:rPr>
              <w:t>年</w:t>
            </w:r>
            <w:r>
              <w:rPr>
                <w:rFonts w:hint="eastAsia" w:cs="Times New Roman"/>
                <w:color w:val="auto"/>
                <w:kern w:val="0"/>
                <w:sz w:val="21"/>
                <w:szCs w:val="21"/>
                <w:lang w:val="en-US" w:eastAsia="zh-CN"/>
              </w:rPr>
              <w:t>7</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15</w:t>
            </w:r>
            <w:r>
              <w:rPr>
                <w:rFonts w:hint="eastAsia" w:ascii="Times New Roman" w:hAnsi="Times New Roman" w:eastAsia="宋体" w:cs="Times New Roman"/>
                <w:color w:val="auto"/>
                <w:kern w:val="0"/>
                <w:sz w:val="21"/>
                <w:szCs w:val="21"/>
                <w:lang w:val="en-US" w:eastAsia="zh-CN"/>
              </w:rPr>
              <w:t>日</w:t>
            </w:r>
            <w:r>
              <w:rPr>
                <w:rFonts w:hint="eastAsia" w:cs="Times New Roman"/>
                <w:color w:val="auto"/>
                <w:kern w:val="0"/>
                <w:sz w:val="21"/>
                <w:szCs w:val="21"/>
                <w:lang w:val="en-US" w:eastAsia="zh-CN"/>
              </w:rPr>
              <w:t>～7</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21</w:t>
            </w:r>
            <w:r>
              <w:rPr>
                <w:rFonts w:hint="eastAsia" w:ascii="Times New Roman" w:hAnsi="Times New Roman" w:eastAsia="宋体" w:cs="Times New Roman"/>
                <w:color w:val="auto"/>
                <w:kern w:val="0"/>
                <w:sz w:val="21"/>
                <w:szCs w:val="21"/>
                <w:lang w:val="en-US" w:eastAsia="zh-CN"/>
              </w:rPr>
              <w:t>日，按照指南要求，该监测数据能代表项目所在区域环境空气质量现状，故引用可行。具体监测情况如</w:t>
            </w:r>
            <w:r>
              <w:rPr>
                <w:rFonts w:hint="eastAsia" w:cs="Times New Roman"/>
                <w:color w:val="auto"/>
                <w:kern w:val="0"/>
                <w:sz w:val="21"/>
                <w:szCs w:val="21"/>
                <w:lang w:val="en-US" w:eastAsia="zh-CN"/>
              </w:rPr>
              <w:t>下</w:t>
            </w:r>
            <w:r>
              <w:rPr>
                <w:rFonts w:hint="eastAsia" w:ascii="Times New Roman" w:hAnsi="Times New Roman" w:eastAsia="宋体" w:cs="Times New Roman"/>
                <w:color w:val="auto"/>
                <w:kern w:val="0"/>
                <w:sz w:val="21"/>
                <w:szCs w:val="21"/>
                <w:lang w:val="en-US" w:eastAsia="zh-CN"/>
              </w:rPr>
              <w:t>。</w:t>
            </w:r>
          </w:p>
          <w:p w14:paraId="77C59F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GB" w:eastAsia="zh-CN"/>
              </w:rPr>
            </w:pPr>
            <w:r>
              <w:rPr>
                <w:rFonts w:hint="default" w:ascii="Times New Roman" w:hAnsi="Times New Roman" w:eastAsia="宋体" w:cs="Times New Roman"/>
                <w:color w:val="auto"/>
                <w:kern w:val="0"/>
                <w:sz w:val="21"/>
                <w:szCs w:val="21"/>
                <w:lang w:val="en-GB" w:eastAsia="zh-CN"/>
              </w:rPr>
              <w:t>（1）监测因子：非甲烷总烃。</w:t>
            </w:r>
          </w:p>
          <w:p w14:paraId="24B175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GB" w:eastAsia="zh-CN"/>
              </w:rPr>
            </w:pPr>
            <w:r>
              <w:rPr>
                <w:rFonts w:hint="default" w:ascii="Times New Roman" w:hAnsi="Times New Roman" w:eastAsia="宋体" w:cs="Times New Roman"/>
                <w:color w:val="auto"/>
                <w:kern w:val="0"/>
                <w:sz w:val="21"/>
                <w:szCs w:val="21"/>
                <w:lang w:val="en-GB" w:eastAsia="zh-CN"/>
              </w:rPr>
              <w:t>（2）监测时间：</w:t>
            </w:r>
            <w:r>
              <w:rPr>
                <w:rFonts w:hint="eastAsia" w:ascii="Times New Roman" w:hAnsi="Times New Roman" w:eastAsia="宋体" w:cs="Times New Roman"/>
                <w:color w:val="auto"/>
                <w:kern w:val="0"/>
                <w:sz w:val="21"/>
                <w:szCs w:val="21"/>
                <w:lang w:val="en-US" w:eastAsia="zh-CN"/>
              </w:rPr>
              <w:t>202</w:t>
            </w:r>
            <w:r>
              <w:rPr>
                <w:rFonts w:hint="eastAsia" w:cs="Times New Roman"/>
                <w:color w:val="auto"/>
                <w:kern w:val="0"/>
                <w:sz w:val="21"/>
                <w:szCs w:val="21"/>
                <w:lang w:val="en-US" w:eastAsia="zh-CN"/>
              </w:rPr>
              <w:t>3</w:t>
            </w:r>
            <w:r>
              <w:rPr>
                <w:rFonts w:hint="eastAsia" w:ascii="Times New Roman" w:hAnsi="Times New Roman" w:eastAsia="宋体" w:cs="Times New Roman"/>
                <w:color w:val="auto"/>
                <w:kern w:val="0"/>
                <w:sz w:val="21"/>
                <w:szCs w:val="21"/>
                <w:lang w:val="en-US" w:eastAsia="zh-CN"/>
              </w:rPr>
              <w:t>年</w:t>
            </w:r>
            <w:r>
              <w:rPr>
                <w:rFonts w:hint="eastAsia" w:cs="Times New Roman"/>
                <w:color w:val="auto"/>
                <w:kern w:val="0"/>
                <w:sz w:val="21"/>
                <w:szCs w:val="21"/>
                <w:lang w:val="en-US" w:eastAsia="zh-CN"/>
              </w:rPr>
              <w:t>7</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15</w:t>
            </w:r>
            <w:r>
              <w:rPr>
                <w:rFonts w:hint="eastAsia" w:ascii="Times New Roman" w:hAnsi="Times New Roman" w:eastAsia="宋体" w:cs="Times New Roman"/>
                <w:color w:val="auto"/>
                <w:kern w:val="0"/>
                <w:sz w:val="21"/>
                <w:szCs w:val="21"/>
                <w:lang w:val="en-US" w:eastAsia="zh-CN"/>
              </w:rPr>
              <w:t>日</w:t>
            </w:r>
            <w:r>
              <w:rPr>
                <w:rFonts w:hint="eastAsia" w:cs="Times New Roman"/>
                <w:color w:val="auto"/>
                <w:kern w:val="0"/>
                <w:sz w:val="21"/>
                <w:szCs w:val="21"/>
                <w:lang w:val="en-US" w:eastAsia="zh-CN"/>
              </w:rPr>
              <w:t>～7</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21</w:t>
            </w:r>
            <w:r>
              <w:rPr>
                <w:rFonts w:hint="eastAsia" w:ascii="Times New Roman" w:hAnsi="Times New Roman" w:eastAsia="宋体" w:cs="Times New Roman"/>
                <w:color w:val="auto"/>
                <w:kern w:val="0"/>
                <w:sz w:val="21"/>
                <w:szCs w:val="21"/>
                <w:lang w:val="en-US" w:eastAsia="zh-CN"/>
              </w:rPr>
              <w:t>日</w:t>
            </w:r>
            <w:r>
              <w:rPr>
                <w:rFonts w:hint="default" w:ascii="Times New Roman" w:hAnsi="Times New Roman" w:eastAsia="宋体" w:cs="Times New Roman"/>
                <w:color w:val="auto"/>
                <w:kern w:val="0"/>
                <w:sz w:val="21"/>
                <w:szCs w:val="21"/>
                <w:lang w:val="en-GB" w:eastAsia="zh-CN"/>
              </w:rPr>
              <w:t>。</w:t>
            </w:r>
          </w:p>
          <w:p w14:paraId="52D41C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GB" w:eastAsia="zh-CN"/>
              </w:rPr>
              <w:t>（3）监测布点：引用</w:t>
            </w: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lang w:val="en-GB" w:eastAsia="zh-CN"/>
              </w:rPr>
              <w:t>个监测点，监测点基本情况及与本项目位置关系详见表3-2和附图。</w:t>
            </w:r>
          </w:p>
          <w:p w14:paraId="007948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表3-2   环境空气现状监测结果统计情况一览表    单位：mg/m</w:t>
            </w:r>
            <w:r>
              <w:rPr>
                <w:rFonts w:hint="default" w:ascii="Times New Roman" w:hAnsi="Times New Roman" w:eastAsia="宋体" w:cs="Times New Roman"/>
                <w:b/>
                <w:bCs/>
                <w:color w:val="auto"/>
                <w:kern w:val="0"/>
                <w:sz w:val="21"/>
                <w:szCs w:val="21"/>
                <w:vertAlign w:val="superscript"/>
              </w:rPr>
              <w:t>3</w:t>
            </w:r>
          </w:p>
          <w:tbl>
            <w:tblPr>
              <w:tblStyle w:val="30"/>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694"/>
              <w:gridCol w:w="663"/>
              <w:gridCol w:w="848"/>
              <w:gridCol w:w="663"/>
              <w:gridCol w:w="647"/>
              <w:gridCol w:w="1065"/>
              <w:gridCol w:w="1119"/>
              <w:gridCol w:w="771"/>
              <w:gridCol w:w="596"/>
            </w:tblGrid>
            <w:tr w14:paraId="1CB3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70" w:type="pct"/>
                  <w:vMerge w:val="restart"/>
                  <w:noWrap w:val="0"/>
                  <w:vAlign w:val="center"/>
                </w:tcPr>
                <w:p w14:paraId="7A31E296">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监测点位</w:t>
                  </w:r>
                </w:p>
              </w:tc>
              <w:tc>
                <w:tcPr>
                  <w:tcW w:w="831" w:type="pct"/>
                  <w:gridSpan w:val="2"/>
                  <w:noWrap w:val="0"/>
                  <w:vAlign w:val="center"/>
                </w:tcPr>
                <w:p w14:paraId="45B03892">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监测点坐标</w:t>
                  </w:r>
                  <w:r>
                    <w:rPr>
                      <w:rFonts w:hint="default" w:ascii="Times New Roman" w:hAnsi="Times New Roman" w:cs="Times New Roman"/>
                      <w:color w:val="auto"/>
                      <w:sz w:val="18"/>
                      <w:szCs w:val="18"/>
                      <w:lang w:val="en-US" w:eastAsia="zh-CN"/>
                    </w:rPr>
                    <w:t>/m</w:t>
                  </w:r>
                </w:p>
              </w:tc>
              <w:tc>
                <w:tcPr>
                  <w:tcW w:w="519" w:type="pct"/>
                  <w:vMerge w:val="restart"/>
                  <w:noWrap w:val="0"/>
                  <w:vAlign w:val="center"/>
                </w:tcPr>
                <w:p w14:paraId="1D6DD1DA">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监测项目</w:t>
                  </w:r>
                </w:p>
              </w:tc>
              <w:tc>
                <w:tcPr>
                  <w:tcW w:w="406" w:type="pct"/>
                  <w:vMerge w:val="restart"/>
                  <w:noWrap w:val="0"/>
                  <w:vAlign w:val="center"/>
                </w:tcPr>
                <w:p w14:paraId="2E462CA6">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平均时间</w:t>
                  </w:r>
                </w:p>
              </w:tc>
              <w:tc>
                <w:tcPr>
                  <w:tcW w:w="396" w:type="pct"/>
                  <w:vMerge w:val="restart"/>
                  <w:noWrap w:val="0"/>
                  <w:vAlign w:val="center"/>
                </w:tcPr>
                <w:p w14:paraId="1DCA98AD">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评价标准</w:t>
                  </w:r>
                </w:p>
              </w:tc>
              <w:tc>
                <w:tcPr>
                  <w:tcW w:w="652" w:type="pct"/>
                  <w:vMerge w:val="restart"/>
                  <w:noWrap w:val="0"/>
                  <w:vAlign w:val="center"/>
                </w:tcPr>
                <w:p w14:paraId="2A818401">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监测浓度范围</w:t>
                  </w:r>
                </w:p>
              </w:tc>
              <w:tc>
                <w:tcPr>
                  <w:tcW w:w="685" w:type="pct"/>
                  <w:vMerge w:val="restart"/>
                  <w:noWrap w:val="0"/>
                  <w:vAlign w:val="center"/>
                </w:tcPr>
                <w:p w14:paraId="3090E9DE">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最大浓度占标率（%）</w:t>
                  </w:r>
                </w:p>
              </w:tc>
              <w:tc>
                <w:tcPr>
                  <w:tcW w:w="472" w:type="pct"/>
                  <w:vMerge w:val="restart"/>
                  <w:noWrap w:val="0"/>
                  <w:vAlign w:val="center"/>
                </w:tcPr>
                <w:p w14:paraId="6BADC37E">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超标率（%）</w:t>
                  </w:r>
                </w:p>
              </w:tc>
              <w:tc>
                <w:tcPr>
                  <w:tcW w:w="365" w:type="pct"/>
                  <w:vMerge w:val="restart"/>
                  <w:noWrap w:val="0"/>
                  <w:vAlign w:val="center"/>
                </w:tcPr>
                <w:p w14:paraId="01651BE2">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达标情况</w:t>
                  </w:r>
                </w:p>
              </w:tc>
            </w:tr>
            <w:tr w14:paraId="72B9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70" w:type="pct"/>
                  <w:vMerge w:val="continue"/>
                  <w:noWrap w:val="0"/>
                  <w:vAlign w:val="center"/>
                </w:tcPr>
                <w:p w14:paraId="31630558">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cs="Times New Roman"/>
                      <w:color w:val="auto"/>
                      <w:sz w:val="18"/>
                      <w:szCs w:val="18"/>
                    </w:rPr>
                  </w:pPr>
                </w:p>
              </w:tc>
              <w:tc>
                <w:tcPr>
                  <w:tcW w:w="425" w:type="pct"/>
                  <w:noWrap w:val="0"/>
                  <w:vAlign w:val="center"/>
                </w:tcPr>
                <w:p w14:paraId="140F9257">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X</w:t>
                  </w:r>
                </w:p>
              </w:tc>
              <w:tc>
                <w:tcPr>
                  <w:tcW w:w="406" w:type="pct"/>
                  <w:noWrap w:val="0"/>
                  <w:vAlign w:val="center"/>
                </w:tcPr>
                <w:p w14:paraId="3D63C33E">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Y</w:t>
                  </w:r>
                </w:p>
              </w:tc>
              <w:tc>
                <w:tcPr>
                  <w:tcW w:w="519" w:type="pct"/>
                  <w:vMerge w:val="continue"/>
                  <w:noWrap w:val="0"/>
                  <w:vAlign w:val="center"/>
                </w:tcPr>
                <w:p w14:paraId="4464CCEA">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406" w:type="pct"/>
                  <w:vMerge w:val="continue"/>
                  <w:noWrap w:val="0"/>
                  <w:vAlign w:val="center"/>
                </w:tcPr>
                <w:p w14:paraId="25304B6F">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396" w:type="pct"/>
                  <w:vMerge w:val="continue"/>
                  <w:noWrap w:val="0"/>
                  <w:vAlign w:val="center"/>
                </w:tcPr>
                <w:p w14:paraId="50B33CD9">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652" w:type="pct"/>
                  <w:vMerge w:val="continue"/>
                  <w:noWrap w:val="0"/>
                  <w:vAlign w:val="center"/>
                </w:tcPr>
                <w:p w14:paraId="484A2C0A">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685" w:type="pct"/>
                  <w:vMerge w:val="continue"/>
                  <w:noWrap w:val="0"/>
                  <w:vAlign w:val="center"/>
                </w:tcPr>
                <w:p w14:paraId="35B01D46">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472" w:type="pct"/>
                  <w:vMerge w:val="continue"/>
                  <w:noWrap w:val="0"/>
                  <w:vAlign w:val="center"/>
                </w:tcPr>
                <w:p w14:paraId="4F2F25E6">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c>
                <w:tcPr>
                  <w:tcW w:w="365" w:type="pct"/>
                  <w:vMerge w:val="continue"/>
                  <w:noWrap w:val="0"/>
                  <w:vAlign w:val="center"/>
                </w:tcPr>
                <w:p w14:paraId="1C682D7A">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p>
              </w:tc>
            </w:tr>
            <w:tr w14:paraId="1684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pct"/>
                  <w:noWrap w:val="0"/>
                  <w:vAlign w:val="center"/>
                </w:tcPr>
                <w:p w14:paraId="3BB0BC51">
                  <w:pPr>
                    <w:keepNext w:val="0"/>
                    <w:keepLines w:val="0"/>
                    <w:pageBreakBefore w:val="0"/>
                    <w:kinsoku/>
                    <w:wordWrap/>
                    <w:overflowPunct/>
                    <w:topLinePunct w:val="0"/>
                    <w:autoSpaceDE/>
                    <w:autoSpaceDN/>
                    <w:bidi w:val="0"/>
                    <w:adjustRightInd w:val="0"/>
                    <w:snapToGrid w:val="0"/>
                    <w:ind w:left="-57" w:leftChars="0" w:right="-57" w:rightChars="0"/>
                    <w:jc w:val="center"/>
                    <w:textAlignment w:val="auto"/>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南溪核心区区域下风向</w:t>
                  </w:r>
                </w:p>
              </w:tc>
              <w:tc>
                <w:tcPr>
                  <w:tcW w:w="425" w:type="pct"/>
                  <w:noWrap w:val="0"/>
                  <w:vAlign w:val="center"/>
                </w:tcPr>
                <w:p w14:paraId="410BD37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-1210</w:t>
                  </w:r>
                </w:p>
              </w:tc>
              <w:tc>
                <w:tcPr>
                  <w:tcW w:w="406" w:type="pct"/>
                  <w:noWrap w:val="0"/>
                  <w:vAlign w:val="center"/>
                </w:tcPr>
                <w:p w14:paraId="27A360FD">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-1215</w:t>
                  </w:r>
                </w:p>
              </w:tc>
              <w:tc>
                <w:tcPr>
                  <w:tcW w:w="519" w:type="pct"/>
                  <w:noWrap w:val="0"/>
                  <w:vAlign w:val="center"/>
                </w:tcPr>
                <w:p w14:paraId="24DD1912">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非甲烷总烃</w:t>
                  </w:r>
                </w:p>
              </w:tc>
              <w:tc>
                <w:tcPr>
                  <w:tcW w:w="406" w:type="pct"/>
                  <w:noWrap w:val="0"/>
                  <w:vAlign w:val="center"/>
                </w:tcPr>
                <w:p w14:paraId="5B36BB4B">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1h平均值</w:t>
                  </w:r>
                </w:p>
              </w:tc>
              <w:tc>
                <w:tcPr>
                  <w:tcW w:w="396" w:type="pct"/>
                  <w:noWrap w:val="0"/>
                  <w:vAlign w:val="center"/>
                </w:tcPr>
                <w:p w14:paraId="735CB811">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2.0</w:t>
                  </w:r>
                </w:p>
              </w:tc>
              <w:tc>
                <w:tcPr>
                  <w:tcW w:w="652" w:type="pct"/>
                  <w:noWrap w:val="0"/>
                  <w:vAlign w:val="center"/>
                </w:tcPr>
                <w:p w14:paraId="1AE728C5">
                  <w:pPr>
                    <w:keepNext w:val="0"/>
                    <w:keepLines w:val="0"/>
                    <w:pageBreakBefore w:val="0"/>
                    <w:widowControl/>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bCs/>
                      <w:color w:val="auto"/>
                      <w:sz w:val="18"/>
                      <w:szCs w:val="18"/>
                    </w:rPr>
                    <w:t>0.</w:t>
                  </w:r>
                  <w:r>
                    <w:rPr>
                      <w:rFonts w:hint="eastAsia" w:cs="Times New Roman"/>
                      <w:bCs/>
                      <w:color w:val="auto"/>
                      <w:sz w:val="18"/>
                      <w:szCs w:val="18"/>
                      <w:lang w:val="en-US" w:eastAsia="zh-CN"/>
                    </w:rPr>
                    <w:t>28</w:t>
                  </w:r>
                  <w:r>
                    <w:rPr>
                      <w:rFonts w:hint="default" w:ascii="Times New Roman" w:hAnsi="Times New Roman" w:eastAsia="宋体" w:cs="Times New Roman"/>
                      <w:bCs/>
                      <w:color w:val="auto"/>
                      <w:sz w:val="18"/>
                      <w:szCs w:val="18"/>
                    </w:rPr>
                    <w:t>~0.</w:t>
                  </w:r>
                  <w:r>
                    <w:rPr>
                      <w:rFonts w:hint="eastAsia" w:cs="Times New Roman"/>
                      <w:bCs/>
                      <w:color w:val="auto"/>
                      <w:sz w:val="18"/>
                      <w:szCs w:val="18"/>
                      <w:lang w:val="en-US" w:eastAsia="zh-CN"/>
                    </w:rPr>
                    <w:t>75</w:t>
                  </w:r>
                </w:p>
              </w:tc>
              <w:tc>
                <w:tcPr>
                  <w:tcW w:w="685" w:type="pct"/>
                  <w:noWrap w:val="0"/>
                  <w:vAlign w:val="center"/>
                </w:tcPr>
                <w:p w14:paraId="66CCC341">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37.5</w:t>
                  </w:r>
                </w:p>
              </w:tc>
              <w:tc>
                <w:tcPr>
                  <w:tcW w:w="472" w:type="pct"/>
                  <w:noWrap w:val="0"/>
                  <w:vAlign w:val="center"/>
                </w:tcPr>
                <w:p w14:paraId="1B0C2388">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w:t>
                  </w:r>
                </w:p>
              </w:tc>
              <w:tc>
                <w:tcPr>
                  <w:tcW w:w="365" w:type="pct"/>
                  <w:noWrap w:val="0"/>
                  <w:vAlign w:val="center"/>
                </w:tcPr>
                <w:p w14:paraId="3328B3D1">
                  <w:pPr>
                    <w:keepNext w:val="0"/>
                    <w:keepLines w:val="0"/>
                    <w:pageBreakBefore w:val="0"/>
                    <w:kinsoku/>
                    <w:wordWrap/>
                    <w:overflowPunct/>
                    <w:topLinePunct w:val="0"/>
                    <w:autoSpaceDE/>
                    <w:autoSpaceDN/>
                    <w:bidi w:val="0"/>
                    <w:spacing w:line="240" w:lineRule="auto"/>
                    <w:ind w:left="-57" w:leftChars="0" w:right="-57"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达标</w:t>
                  </w:r>
                </w:p>
              </w:tc>
            </w:tr>
          </w:tbl>
          <w:p w14:paraId="2DFF43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GB" w:eastAsia="zh-CN"/>
              </w:rPr>
              <w:t>从上表可以看出，项目所在区域环境空气中非甲烷总烃满足河北省地方标准《环境空气质量  非甲烷总烃限值》（DB 13/1577-2012）中二级标准要求</w:t>
            </w:r>
            <w:r>
              <w:rPr>
                <w:rFonts w:hint="default" w:ascii="Times New Roman" w:hAnsi="Times New Roman" w:eastAsia="宋体" w:cs="Times New Roman"/>
                <w:color w:val="auto"/>
                <w:kern w:val="0"/>
                <w:sz w:val="21"/>
                <w:szCs w:val="21"/>
                <w:lang w:val="en-GB"/>
              </w:rPr>
              <w:t>。</w:t>
            </w:r>
          </w:p>
          <w:p w14:paraId="4A35D4C8">
            <w:pPr>
              <w:spacing w:line="36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Cs w:val="21"/>
              </w:rPr>
              <w:t>3.</w:t>
            </w:r>
            <w:r>
              <w:rPr>
                <w:rFonts w:hint="default" w:ascii="Times New Roman" w:hAnsi="Times New Roman" w:cs="Times New Roman"/>
                <w:b/>
                <w:bCs/>
                <w:color w:val="auto"/>
                <w:sz w:val="21"/>
                <w:szCs w:val="21"/>
              </w:rPr>
              <w:t>2地表水环境质量现状</w:t>
            </w:r>
          </w:p>
          <w:p w14:paraId="7598DC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GB"/>
              </w:rPr>
            </w:pPr>
            <w:r>
              <w:rPr>
                <w:rFonts w:hint="default" w:ascii="Times New Roman" w:hAnsi="Times New Roman" w:eastAsia="宋体" w:cs="Times New Roman"/>
                <w:color w:val="auto"/>
                <w:kern w:val="0"/>
                <w:sz w:val="21"/>
                <w:szCs w:val="21"/>
                <w:lang w:val="en-GB"/>
              </w:rPr>
              <w:t>本项目</w:t>
            </w:r>
            <w:r>
              <w:rPr>
                <w:rFonts w:hint="eastAsia" w:ascii="Times New Roman" w:hAnsi="Times New Roman" w:eastAsia="宋体" w:cs="Times New Roman"/>
                <w:color w:val="auto"/>
                <w:kern w:val="0"/>
                <w:sz w:val="21"/>
                <w:szCs w:val="21"/>
                <w:lang w:val="en-GB" w:eastAsia="zh-CN"/>
              </w:rPr>
              <w:t>废水</w:t>
            </w:r>
            <w:r>
              <w:rPr>
                <w:rFonts w:hint="default" w:ascii="Times New Roman" w:hAnsi="Times New Roman" w:eastAsia="宋体" w:cs="Times New Roman"/>
                <w:color w:val="auto"/>
                <w:kern w:val="0"/>
                <w:sz w:val="21"/>
                <w:szCs w:val="21"/>
                <w:lang w:val="en-GB"/>
              </w:rPr>
              <w:t>经南溪</w:t>
            </w:r>
            <w:r>
              <w:rPr>
                <w:rFonts w:hint="eastAsia" w:cs="Times New Roman"/>
                <w:color w:val="auto"/>
                <w:kern w:val="0"/>
                <w:sz w:val="21"/>
                <w:szCs w:val="21"/>
                <w:lang w:val="en-GB" w:eastAsia="zh-CN"/>
              </w:rPr>
              <w:t>组团</w:t>
            </w:r>
            <w:r>
              <w:rPr>
                <w:rFonts w:hint="default" w:ascii="Times New Roman" w:hAnsi="Times New Roman" w:eastAsia="宋体" w:cs="Times New Roman"/>
                <w:color w:val="auto"/>
                <w:kern w:val="0"/>
                <w:sz w:val="21"/>
                <w:szCs w:val="21"/>
                <w:lang w:val="en-GB"/>
              </w:rPr>
              <w:t>A区污水处理厂处理达标后排入建梁河，后汇入嘉陵江，建梁河未划定水域功能，根据《重庆市地面水域环境功能调整方案的通知》（渝府发</w:t>
            </w:r>
            <w:r>
              <w:rPr>
                <w:rFonts w:hint="eastAsia" w:cs="Times New Roman"/>
                <w:color w:val="auto"/>
                <w:kern w:val="0"/>
                <w:sz w:val="21"/>
                <w:szCs w:val="21"/>
                <w:lang w:val="en-GB" w:eastAsia="zh-CN"/>
              </w:rPr>
              <w:t>〔</w:t>
            </w:r>
            <w:r>
              <w:rPr>
                <w:rFonts w:hint="default" w:ascii="Times New Roman" w:hAnsi="Times New Roman" w:eastAsia="宋体" w:cs="Times New Roman"/>
                <w:color w:val="auto"/>
                <w:kern w:val="0"/>
                <w:sz w:val="21"/>
                <w:szCs w:val="21"/>
                <w:lang w:val="en-GB"/>
              </w:rPr>
              <w:t>2014</w:t>
            </w:r>
            <w:r>
              <w:rPr>
                <w:rFonts w:hint="eastAsia" w:cs="Times New Roman"/>
                <w:color w:val="auto"/>
                <w:kern w:val="0"/>
                <w:sz w:val="21"/>
                <w:szCs w:val="21"/>
                <w:lang w:val="en-GB" w:eastAsia="zh-CN"/>
              </w:rPr>
              <w:t>〕</w:t>
            </w:r>
            <w:r>
              <w:rPr>
                <w:rFonts w:hint="default" w:ascii="Times New Roman" w:hAnsi="Times New Roman" w:eastAsia="宋体" w:cs="Times New Roman"/>
                <w:color w:val="auto"/>
                <w:kern w:val="0"/>
                <w:sz w:val="21"/>
                <w:szCs w:val="21"/>
                <w:lang w:val="en-GB"/>
              </w:rPr>
              <w:t>4号），嘉陵江属于Ⅲ类水域，执行《地表水环境质量标准》（GB</w:t>
            </w:r>
            <w:r>
              <w:rPr>
                <w:rFonts w:hint="eastAsia"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val="en-GB"/>
              </w:rPr>
              <w:t>3838-2002）Ⅲ类水域标准。</w:t>
            </w:r>
          </w:p>
          <w:p w14:paraId="6310F8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根据《建设项目环境影响报告表编制技术指南（污染影响类）（试行）》中</w:t>
            </w:r>
            <w:r>
              <w:rPr>
                <w:rFonts w:hint="eastAsia" w:ascii="Times New Roman" w:hAnsi="Times New Roman" w:cs="Times New Roman"/>
                <w:color w:val="auto"/>
                <w:kern w:val="0"/>
                <w:sz w:val="21"/>
                <w:szCs w:val="21"/>
                <w:lang w:eastAsia="zh-CN"/>
              </w:rPr>
              <w:t>地表</w:t>
            </w:r>
            <w:r>
              <w:rPr>
                <w:rFonts w:hint="default" w:ascii="Times New Roman" w:hAnsi="Times New Roman" w:cs="Times New Roman"/>
                <w:color w:val="auto"/>
                <w:kern w:val="0"/>
                <w:sz w:val="21"/>
                <w:szCs w:val="21"/>
                <w:lang w:eastAsia="zh-CN"/>
              </w:rPr>
              <w:t>水环境质量现状调查要求，可引用近3年的规划环境影响评价的监测数据，所在流域控制单元内国家、地方控制断面监测数据，生态环境主管部门发布的水环境质量数据或地表水达标情况的结论。</w:t>
            </w:r>
          </w:p>
          <w:p w14:paraId="168748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lang w:val="en-GB" w:eastAsia="zh-CN"/>
              </w:rPr>
            </w:pPr>
            <w:r>
              <w:rPr>
                <w:rFonts w:hint="default" w:ascii="Times New Roman" w:hAnsi="Times New Roman" w:cs="Times New Roman"/>
                <w:color w:val="auto"/>
                <w:kern w:val="0"/>
                <w:sz w:val="21"/>
                <w:szCs w:val="21"/>
                <w:lang w:val="en-US" w:eastAsia="zh-CN"/>
              </w:rPr>
              <w:t>根据</w:t>
            </w:r>
            <w:r>
              <w:rPr>
                <w:rFonts w:hint="eastAsia" w:cs="Times New Roman"/>
                <w:color w:val="auto"/>
                <w:kern w:val="0"/>
                <w:sz w:val="21"/>
                <w:szCs w:val="21"/>
                <w:lang w:val="en-US" w:eastAsia="zh-CN"/>
              </w:rPr>
              <w:t>合川</w:t>
            </w:r>
            <w:r>
              <w:rPr>
                <w:rFonts w:hint="default" w:ascii="Times New Roman" w:hAnsi="Times New Roman" w:cs="Times New Roman"/>
                <w:color w:val="auto"/>
                <w:kern w:val="0"/>
                <w:sz w:val="21"/>
                <w:szCs w:val="21"/>
                <w:lang w:val="en-US" w:eastAsia="zh-CN"/>
              </w:rPr>
              <w:t>区生态环境局最新公布的2025年</w:t>
            </w:r>
            <w:r>
              <w:rPr>
                <w:rFonts w:hint="eastAsia" w:cs="Times New Roman"/>
                <w:color w:val="auto"/>
                <w:kern w:val="0"/>
                <w:sz w:val="21"/>
                <w:szCs w:val="21"/>
                <w:lang w:val="en-US" w:eastAsia="zh-CN"/>
              </w:rPr>
              <w:t>5月合川区</w:t>
            </w:r>
            <w:r>
              <w:rPr>
                <w:rFonts w:hint="default" w:ascii="Times New Roman" w:hAnsi="Times New Roman" w:cs="Times New Roman"/>
                <w:color w:val="auto"/>
                <w:kern w:val="0"/>
                <w:sz w:val="21"/>
                <w:szCs w:val="21"/>
                <w:lang w:val="en-US" w:eastAsia="zh-CN"/>
              </w:rPr>
              <w:t>水环境质量</w:t>
            </w:r>
            <w:r>
              <w:rPr>
                <w:rFonts w:hint="eastAsia" w:cs="Times New Roman"/>
                <w:color w:val="auto"/>
                <w:kern w:val="0"/>
                <w:sz w:val="21"/>
                <w:szCs w:val="21"/>
                <w:lang w:val="en-US" w:eastAsia="zh-CN"/>
              </w:rPr>
              <w:t>状况</w:t>
            </w:r>
            <w:r>
              <w:rPr>
                <w:rFonts w:hint="default" w:ascii="Times New Roman" w:hAnsi="Times New Roman" w:cs="Times New Roman"/>
                <w:color w:val="auto"/>
                <w:kern w:val="0"/>
                <w:sz w:val="21"/>
                <w:szCs w:val="21"/>
                <w:lang w:val="en-US" w:eastAsia="zh-CN"/>
              </w:rPr>
              <w:t>（https://www.hc.gov.cn/bmjd/bm_100475/sthjj/zwgk_101315/jczwgk_163288/hjbhlyxxgk/hjgl/shjgl/202506/t20250610_14701620.html），</w:t>
            </w:r>
            <w:r>
              <w:rPr>
                <w:rFonts w:hint="eastAsia" w:cs="Times New Roman"/>
                <w:color w:val="auto"/>
                <w:kern w:val="0"/>
                <w:sz w:val="21"/>
                <w:szCs w:val="21"/>
                <w:lang w:val="en-US" w:eastAsia="zh-CN"/>
              </w:rPr>
              <w:t>嘉陵江金子断面</w:t>
            </w:r>
            <w:r>
              <w:rPr>
                <w:rFonts w:hint="default" w:ascii="Times New Roman" w:hAnsi="Times New Roman" w:cs="Times New Roman"/>
                <w:color w:val="auto"/>
                <w:kern w:val="0"/>
                <w:sz w:val="21"/>
                <w:szCs w:val="21"/>
                <w:lang w:val="en-US" w:eastAsia="zh-CN"/>
              </w:rPr>
              <w:t>水质满足《地表水环境质量标准》（GB 3838-2002）Ⅱ类标准，水质达标。</w:t>
            </w:r>
          </w:p>
          <w:p w14:paraId="7330482A">
            <w:pPr>
              <w:spacing w:line="36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3.3声环境质量现状</w:t>
            </w:r>
          </w:p>
          <w:p w14:paraId="546823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根据《建设项目环境影响报告表编制技术指南（污染影响类）（试行）》可知，声环境质量现状应监测项目厂界外周边50米范围内的声环境保护目标。根据调查，</w:t>
            </w:r>
            <w:r>
              <w:rPr>
                <w:rFonts w:hint="eastAsia" w:ascii="Times New Roman" w:hAnsi="Times New Roman" w:eastAsia="宋体" w:cs="Times New Roman"/>
                <w:color w:val="auto"/>
                <w:kern w:val="0"/>
                <w:sz w:val="21"/>
                <w:szCs w:val="21"/>
                <w:lang w:eastAsia="zh-CN"/>
              </w:rPr>
              <w:t>本项</w:t>
            </w:r>
            <w:r>
              <w:rPr>
                <w:rFonts w:hint="default" w:ascii="Times New Roman" w:hAnsi="Times New Roman" w:eastAsia="宋体" w:cs="Times New Roman"/>
                <w:color w:val="auto"/>
                <w:kern w:val="0"/>
                <w:sz w:val="21"/>
                <w:szCs w:val="21"/>
              </w:rPr>
              <w:t>目厂界外周边50m范围为工业用地，不存在声环境保护目标，因此，项目</w:t>
            </w:r>
            <w:r>
              <w:rPr>
                <w:rFonts w:hint="eastAsia" w:cs="Times New Roman"/>
                <w:color w:val="auto"/>
                <w:kern w:val="0"/>
                <w:sz w:val="21"/>
                <w:szCs w:val="21"/>
                <w:lang w:val="en-US" w:eastAsia="zh-CN"/>
              </w:rPr>
              <w:t>无需</w:t>
            </w:r>
            <w:r>
              <w:rPr>
                <w:rFonts w:hint="default" w:ascii="Times New Roman" w:hAnsi="Times New Roman" w:eastAsia="宋体" w:cs="Times New Roman"/>
                <w:color w:val="auto"/>
                <w:kern w:val="0"/>
                <w:sz w:val="21"/>
                <w:szCs w:val="21"/>
              </w:rPr>
              <w:t>进行声环境质量现状监测与评价。</w:t>
            </w:r>
          </w:p>
          <w:p w14:paraId="7576D686">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3.4</w:t>
            </w:r>
            <w:r>
              <w:rPr>
                <w:rFonts w:hint="default" w:ascii="Times New Roman" w:hAnsi="Times New Roman" w:cs="Times New Roman"/>
                <w:b/>
                <w:bCs/>
                <w:color w:val="auto"/>
                <w:szCs w:val="21"/>
              </w:rPr>
              <w:t>地下水、土壤环境</w:t>
            </w:r>
          </w:p>
          <w:p w14:paraId="00489B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w:t>
            </w:r>
            <w:bookmarkStart w:id="61" w:name="OLE_LINK2"/>
            <w:r>
              <w:rPr>
                <w:rFonts w:hint="default" w:ascii="Times New Roman" w:hAnsi="Times New Roman" w:eastAsia="宋体" w:cs="Times New Roman"/>
                <w:color w:val="auto"/>
                <w:kern w:val="0"/>
                <w:szCs w:val="21"/>
                <w:lang w:val="en-US" w:eastAsia="zh-CN"/>
              </w:rPr>
              <w:t>建设项目环境影响报告表编制技术指南（污染影响类）</w:t>
            </w:r>
            <w:bookmarkEnd w:id="61"/>
            <w:r>
              <w:rPr>
                <w:rFonts w:hint="default" w:ascii="Times New Roman" w:hAnsi="Times New Roman" w:eastAsia="宋体" w:cs="Times New Roman"/>
                <w:color w:val="auto"/>
                <w:kern w:val="0"/>
                <w:szCs w:val="21"/>
                <w:lang w:val="en-US" w:eastAsia="zh-CN"/>
              </w:rPr>
              <w:t>（试行）》可知，地下水原则上不开展环境质量现状调查。建设项目存在地下水环境污染途径的，应结合污染源、保护目标分布情况开展现状调查以留作背景样。</w:t>
            </w:r>
          </w:p>
          <w:p w14:paraId="0606E5B2">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eastAsia="宋体" w:cs="Times New Roman"/>
                <w:color w:val="auto"/>
                <w:kern w:val="0"/>
                <w:szCs w:val="21"/>
                <w:lang w:val="en-US" w:eastAsia="zh-CN"/>
              </w:rPr>
              <w:t>本项目</w:t>
            </w:r>
            <w:r>
              <w:rPr>
                <w:rFonts w:hint="eastAsia" w:ascii="Times New Roman" w:hAnsi="Times New Roman" w:cs="Times New Roman"/>
                <w:color w:val="auto"/>
                <w:kern w:val="0"/>
                <w:szCs w:val="21"/>
                <w:lang w:val="en-US" w:eastAsia="zh-CN"/>
              </w:rPr>
              <w:t>租赁</w:t>
            </w:r>
            <w:r>
              <w:rPr>
                <w:rFonts w:hint="eastAsia" w:cs="Times New Roman"/>
                <w:color w:val="auto"/>
                <w:kern w:val="0"/>
                <w:szCs w:val="21"/>
                <w:lang w:val="en-US" w:eastAsia="zh-CN"/>
              </w:rPr>
              <w:t>重庆市合川区南津街街道龙阳路10号1楼B区、C区厂房（南溪组团A区）</w:t>
            </w:r>
            <w:r>
              <w:rPr>
                <w:rFonts w:hint="default" w:ascii="Times New Roman" w:hAnsi="Times New Roman" w:cs="Times New Roman"/>
                <w:bCs/>
                <w:color w:val="auto"/>
                <w:sz w:val="21"/>
                <w:szCs w:val="21"/>
                <w:lang w:val="en-US" w:eastAsia="zh-CN"/>
              </w:rPr>
              <w:t>建设，项目用地性质为工业用地，周边均为工业用地，项目周边</w:t>
            </w:r>
            <w:r>
              <w:rPr>
                <w:rFonts w:hint="default" w:ascii="Times New Roman" w:hAnsi="Times New Roman" w:cs="Times New Roman"/>
                <w:color w:val="auto"/>
                <w:szCs w:val="21"/>
                <w:highlight w:val="none"/>
              </w:rPr>
              <w:t>地下水、土壤环境相对不敏感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同时</w:t>
            </w:r>
            <w:r>
              <w:rPr>
                <w:rFonts w:hint="eastAsia" w:ascii="Times New Roman" w:hAnsi="Times New Roman" w:cs="Times New Roman"/>
                <w:bCs/>
                <w:color w:val="auto"/>
                <w:sz w:val="21"/>
                <w:szCs w:val="21"/>
                <w:lang w:val="en-US" w:eastAsia="zh-CN"/>
              </w:rPr>
              <w:t>租赁</w:t>
            </w:r>
            <w:r>
              <w:rPr>
                <w:rFonts w:hint="default" w:ascii="Times New Roman" w:hAnsi="Times New Roman" w:cs="Times New Roman"/>
                <w:bCs/>
                <w:color w:val="auto"/>
                <w:sz w:val="21"/>
                <w:szCs w:val="21"/>
                <w:lang w:val="en-US" w:eastAsia="zh-CN"/>
              </w:rPr>
              <w:t>厂房地面已经进行硬化并做了防渗处理，项目</w:t>
            </w:r>
            <w:r>
              <w:rPr>
                <w:rFonts w:hint="eastAsia" w:ascii="Times New Roman" w:hAnsi="Times New Roman" w:cs="Times New Roman"/>
                <w:bCs/>
                <w:color w:val="auto"/>
                <w:sz w:val="21"/>
                <w:szCs w:val="21"/>
                <w:lang w:val="en-US" w:eastAsia="zh-CN"/>
              </w:rPr>
              <w:t>危险废物贮存库</w:t>
            </w:r>
            <w:r>
              <w:rPr>
                <w:rFonts w:hint="default" w:ascii="Times New Roman" w:hAnsi="Times New Roman" w:cs="Times New Roman"/>
                <w:bCs/>
                <w:color w:val="auto"/>
                <w:sz w:val="21"/>
                <w:szCs w:val="21"/>
                <w:lang w:val="en-US" w:eastAsia="zh-CN"/>
              </w:rPr>
              <w:t>、油料暂存间等地方在采取防渗措施后，</w:t>
            </w:r>
            <w:r>
              <w:rPr>
                <w:rFonts w:hint="default" w:ascii="Times New Roman" w:hAnsi="Times New Roman" w:cs="Times New Roman"/>
                <w:color w:val="auto"/>
                <w:szCs w:val="21"/>
                <w:highlight w:val="none"/>
              </w:rPr>
              <w:t>基本不存在土壤、地下水环境污染途径，因此，本评价</w:t>
            </w:r>
            <w:r>
              <w:rPr>
                <w:rFonts w:hint="eastAsia" w:cs="Times New Roman"/>
                <w:color w:val="auto"/>
                <w:szCs w:val="21"/>
                <w:highlight w:val="none"/>
                <w:lang w:val="en-US" w:eastAsia="zh-CN"/>
              </w:rPr>
              <w:t>未</w:t>
            </w:r>
            <w:r>
              <w:rPr>
                <w:rFonts w:hint="default" w:ascii="Times New Roman" w:hAnsi="Times New Roman" w:cs="Times New Roman"/>
                <w:color w:val="auto"/>
                <w:szCs w:val="21"/>
                <w:highlight w:val="none"/>
              </w:rPr>
              <w:t>对项目地下水、土壤环境质量进行</w:t>
            </w:r>
            <w:r>
              <w:rPr>
                <w:rFonts w:hint="default" w:ascii="Times New Roman" w:hAnsi="Times New Roman" w:cs="Times New Roman"/>
                <w:color w:val="auto"/>
                <w:szCs w:val="21"/>
                <w:highlight w:val="none"/>
                <w:lang w:val="en-US" w:eastAsia="zh-CN"/>
              </w:rPr>
              <w:t>现状</w:t>
            </w:r>
            <w:r>
              <w:rPr>
                <w:rFonts w:hint="default" w:ascii="Times New Roman" w:hAnsi="Times New Roman" w:cs="Times New Roman"/>
                <w:color w:val="auto"/>
                <w:szCs w:val="21"/>
                <w:highlight w:val="none"/>
              </w:rPr>
              <w:t>监测。</w:t>
            </w:r>
          </w:p>
        </w:tc>
      </w:tr>
      <w:tr w14:paraId="584FB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4" w:hRule="atLeast"/>
          <w:jc w:val="center"/>
        </w:trPr>
        <w:tc>
          <w:tcPr>
            <w:tcW w:w="355" w:type="pct"/>
            <w:noWrap w:val="0"/>
            <w:vAlign w:val="center"/>
          </w:tcPr>
          <w:p w14:paraId="7D0FF16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0C72A69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3309E1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4644" w:type="pct"/>
            <w:noWrap w:val="0"/>
            <w:vAlign w:val="center"/>
          </w:tcPr>
          <w:p w14:paraId="3382E8A0">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rPr>
              <w:t>3.4环境保护目标</w:t>
            </w:r>
          </w:p>
          <w:p w14:paraId="722418B1">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①声环境</w:t>
            </w:r>
          </w:p>
          <w:p w14:paraId="6A48654C">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根据现场调查，本项目厂界外周边50</w:t>
            </w:r>
            <w:r>
              <w:rPr>
                <w:rFonts w:hint="default" w:ascii="Times New Roman" w:hAnsi="Times New Roman" w:cs="Times New Roman"/>
                <w:color w:val="auto"/>
                <w:szCs w:val="21"/>
                <w:lang w:eastAsia="zh-CN"/>
              </w:rPr>
              <w:t>m</w:t>
            </w:r>
            <w:r>
              <w:rPr>
                <w:rFonts w:hint="default" w:ascii="Times New Roman" w:hAnsi="Times New Roman" w:cs="Times New Roman"/>
                <w:color w:val="auto"/>
                <w:szCs w:val="21"/>
              </w:rPr>
              <w:t>范围内无声环境保护目标。</w:t>
            </w:r>
          </w:p>
          <w:p w14:paraId="71D4D811">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②大气环境</w:t>
            </w:r>
          </w:p>
          <w:p w14:paraId="119D746D">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eastAsia="zh-CN"/>
              </w:rPr>
              <w:t>位于工业园区内，根据</w:t>
            </w:r>
            <w:r>
              <w:rPr>
                <w:rFonts w:hint="eastAsia" w:ascii="Times New Roman" w:hAnsi="Times New Roman" w:cs="Times New Roman"/>
                <w:color w:val="auto"/>
                <w:szCs w:val="21"/>
                <w:lang w:eastAsia="zh-CN"/>
              </w:rPr>
              <w:t>现场勘查</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厂界外500m范围内的大气环境保护目标见下表，除此之外无其他自然保护区、风景名胜区、居住区、文化区和农村地区中人群较集中的区域等保护目标。</w:t>
            </w:r>
          </w:p>
          <w:p w14:paraId="77AC2D81">
            <w:pPr>
              <w:adjustRightInd w:val="0"/>
              <w:snapToGrid w:val="0"/>
              <w:ind w:firstLine="422" w:firstLineChars="200"/>
              <w:jc w:val="center"/>
              <w:rPr>
                <w:rFonts w:hint="default" w:ascii="Times New Roman" w:hAnsi="Times New Roman" w:cs="Times New Roman"/>
                <w:b/>
                <w:color w:val="auto"/>
                <w:szCs w:val="21"/>
              </w:rPr>
            </w:pPr>
          </w:p>
          <w:p w14:paraId="13E7368A">
            <w:pPr>
              <w:adjustRightInd w:val="0"/>
              <w:snapToGrid w:val="0"/>
              <w:ind w:firstLine="422" w:firstLineChars="200"/>
              <w:jc w:val="center"/>
              <w:rPr>
                <w:rFonts w:hint="default" w:ascii="Times New Roman" w:hAnsi="Times New Roman" w:cs="Times New Roman"/>
                <w:b/>
                <w:color w:val="auto"/>
                <w:szCs w:val="21"/>
              </w:rPr>
            </w:pPr>
          </w:p>
          <w:p w14:paraId="5CC70160">
            <w:pPr>
              <w:adjustRightInd w:val="0"/>
              <w:snapToGrid w:val="0"/>
              <w:ind w:firstLine="422" w:firstLineChars="200"/>
              <w:jc w:val="center"/>
              <w:rPr>
                <w:rFonts w:hint="default" w:ascii="Times New Roman" w:hAnsi="Times New Roman" w:cs="Times New Roman"/>
                <w:b/>
                <w:color w:val="auto"/>
                <w:szCs w:val="21"/>
              </w:rPr>
            </w:pPr>
          </w:p>
          <w:p w14:paraId="694D9BA4">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 xml:space="preserve"> 大气环境保护目标一览表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416"/>
              <w:gridCol w:w="2072"/>
              <w:gridCol w:w="703"/>
              <w:gridCol w:w="743"/>
              <w:gridCol w:w="721"/>
              <w:gridCol w:w="1401"/>
              <w:gridCol w:w="2105"/>
            </w:tblGrid>
            <w:tr w14:paraId="7DCC2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240" w:hRule="atLeast"/>
                <w:jc w:val="center"/>
              </w:trPr>
              <w:tc>
                <w:tcPr>
                  <w:tcW w:w="255" w:type="pct"/>
                  <w:vMerge w:val="restart"/>
                  <w:noWrap w:val="0"/>
                  <w:vAlign w:val="center"/>
                </w:tcPr>
                <w:p w14:paraId="21FCDED7">
                  <w:pPr>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270" w:type="pct"/>
                  <w:vMerge w:val="restart"/>
                  <w:noWrap w:val="0"/>
                  <w:vAlign w:val="center"/>
                </w:tcPr>
                <w:p w14:paraId="6D5E4497">
                  <w:pPr>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886" w:type="pct"/>
                  <w:gridSpan w:val="2"/>
                  <w:noWrap w:val="0"/>
                  <w:vAlign w:val="center"/>
                </w:tcPr>
                <w:p w14:paraId="41EE5CC8">
                  <w:pPr>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坐标/m</w:t>
                  </w:r>
                </w:p>
              </w:tc>
              <w:tc>
                <w:tcPr>
                  <w:tcW w:w="442" w:type="pct"/>
                  <w:vMerge w:val="restart"/>
                  <w:noWrap w:val="0"/>
                  <w:vAlign w:val="center"/>
                </w:tcPr>
                <w:p w14:paraId="61B886A5">
                  <w:pPr>
                    <w:adjustRightInd w:val="0"/>
                    <w:snapToGrid w:val="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方位</w:t>
                  </w:r>
                </w:p>
              </w:tc>
              <w:tc>
                <w:tcPr>
                  <w:tcW w:w="858" w:type="pct"/>
                  <w:vMerge w:val="restart"/>
                  <w:noWrap w:val="0"/>
                  <w:vAlign w:val="center"/>
                </w:tcPr>
                <w:p w14:paraId="541481D5">
                  <w:pPr>
                    <w:spacing w:line="240" w:lineRule="atLeast"/>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距厂界最近距离（m）</w:t>
                  </w:r>
                </w:p>
              </w:tc>
              <w:tc>
                <w:tcPr>
                  <w:tcW w:w="1286" w:type="pct"/>
                  <w:vMerge w:val="restart"/>
                  <w:noWrap w:val="0"/>
                  <w:vAlign w:val="center"/>
                </w:tcPr>
                <w:p w14:paraId="0CDB130C">
                  <w:pPr>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431A1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15" w:hRule="atLeast"/>
                <w:jc w:val="center"/>
              </w:trPr>
              <w:tc>
                <w:tcPr>
                  <w:tcW w:w="255" w:type="pct"/>
                  <w:vMerge w:val="continue"/>
                  <w:noWrap w:val="0"/>
                  <w:vAlign w:val="center"/>
                </w:tcPr>
                <w:p w14:paraId="6E52D7D9">
                  <w:pPr>
                    <w:adjustRightInd w:val="0"/>
                    <w:snapToGrid w:val="0"/>
                    <w:jc w:val="center"/>
                    <w:rPr>
                      <w:rFonts w:hint="default" w:ascii="Times New Roman" w:hAnsi="Times New Roman" w:eastAsia="宋体" w:cs="Times New Roman"/>
                      <w:color w:val="auto"/>
                      <w:kern w:val="2"/>
                      <w:sz w:val="18"/>
                      <w:szCs w:val="18"/>
                      <w:lang w:val="en-US" w:eastAsia="zh-CN" w:bidi="ar-SA"/>
                    </w:rPr>
                  </w:pPr>
                </w:p>
              </w:tc>
              <w:tc>
                <w:tcPr>
                  <w:tcW w:w="1270" w:type="pct"/>
                  <w:vMerge w:val="continue"/>
                  <w:noWrap w:val="0"/>
                  <w:vAlign w:val="center"/>
                </w:tcPr>
                <w:p w14:paraId="5B2C8867">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p>
              </w:tc>
              <w:tc>
                <w:tcPr>
                  <w:tcW w:w="431" w:type="pct"/>
                  <w:noWrap w:val="0"/>
                  <w:vAlign w:val="center"/>
                </w:tcPr>
                <w:p w14:paraId="1131CD9D">
                  <w:pPr>
                    <w:adjustRightInd w:val="0"/>
                    <w:snapToGrid w:val="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X</w:t>
                  </w:r>
                </w:p>
              </w:tc>
              <w:tc>
                <w:tcPr>
                  <w:tcW w:w="455" w:type="pct"/>
                  <w:noWrap w:val="0"/>
                  <w:vAlign w:val="center"/>
                </w:tcPr>
                <w:p w14:paraId="1CA4493E">
                  <w:pPr>
                    <w:adjustRightInd w:val="0"/>
                    <w:snapToGrid w:val="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Y</w:t>
                  </w:r>
                </w:p>
              </w:tc>
              <w:tc>
                <w:tcPr>
                  <w:tcW w:w="442" w:type="pct"/>
                  <w:vMerge w:val="continue"/>
                  <w:noWrap w:val="0"/>
                  <w:vAlign w:val="center"/>
                </w:tcPr>
                <w:p w14:paraId="2C9E2BD7">
                  <w:pPr>
                    <w:adjustRightInd w:val="0"/>
                    <w:snapToGrid w:val="0"/>
                    <w:jc w:val="center"/>
                    <w:rPr>
                      <w:rFonts w:hint="default" w:ascii="Times New Roman" w:hAnsi="Times New Roman" w:eastAsia="宋体" w:cs="Times New Roman"/>
                      <w:color w:val="auto"/>
                      <w:kern w:val="2"/>
                      <w:sz w:val="18"/>
                      <w:szCs w:val="18"/>
                      <w:lang w:val="en-US" w:eastAsia="zh-CN" w:bidi="ar-SA"/>
                    </w:rPr>
                  </w:pPr>
                </w:p>
              </w:tc>
              <w:tc>
                <w:tcPr>
                  <w:tcW w:w="858" w:type="pct"/>
                  <w:vMerge w:val="continue"/>
                  <w:noWrap w:val="0"/>
                  <w:vAlign w:val="center"/>
                </w:tcPr>
                <w:p w14:paraId="197CFF8A">
                  <w:pPr>
                    <w:adjustRightInd w:val="0"/>
                    <w:snapToGrid w:val="0"/>
                    <w:spacing w:line="240" w:lineRule="atLeast"/>
                    <w:jc w:val="center"/>
                    <w:rPr>
                      <w:rFonts w:hint="default" w:ascii="Times New Roman" w:hAnsi="Times New Roman" w:cs="Times New Roman"/>
                      <w:color w:val="auto"/>
                      <w:kern w:val="2"/>
                      <w:sz w:val="18"/>
                      <w:szCs w:val="18"/>
                      <w:lang w:val="en-US" w:eastAsia="zh-CN" w:bidi="ar-SA"/>
                    </w:rPr>
                  </w:pPr>
                </w:p>
              </w:tc>
              <w:tc>
                <w:tcPr>
                  <w:tcW w:w="1286" w:type="pct"/>
                  <w:vMerge w:val="continue"/>
                  <w:noWrap w:val="0"/>
                  <w:vAlign w:val="center"/>
                </w:tcPr>
                <w:p w14:paraId="545443B1">
                  <w:pPr>
                    <w:adjustRightInd w:val="0"/>
                    <w:snapToGrid w:val="0"/>
                    <w:jc w:val="center"/>
                    <w:rPr>
                      <w:rFonts w:hint="default" w:ascii="Times New Roman" w:hAnsi="Times New Roman" w:eastAsia="宋体" w:cs="Times New Roman"/>
                      <w:color w:val="auto"/>
                      <w:kern w:val="2"/>
                      <w:sz w:val="18"/>
                      <w:szCs w:val="18"/>
                      <w:lang w:val="en-US" w:eastAsia="zh-CN" w:bidi="ar-SA"/>
                    </w:rPr>
                  </w:pPr>
                </w:p>
              </w:tc>
            </w:tr>
            <w:tr w14:paraId="4C67B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85" w:hRule="atLeast"/>
                <w:jc w:val="center"/>
              </w:trPr>
              <w:tc>
                <w:tcPr>
                  <w:tcW w:w="255" w:type="pct"/>
                  <w:noWrap w:val="0"/>
                  <w:vAlign w:val="center"/>
                </w:tcPr>
                <w:p w14:paraId="33737D6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w:t>
                  </w:r>
                </w:p>
              </w:tc>
              <w:tc>
                <w:tcPr>
                  <w:tcW w:w="1270" w:type="pct"/>
                  <w:noWrap w:val="0"/>
                  <w:vAlign w:val="center"/>
                </w:tcPr>
                <w:p w14:paraId="1621F7EF">
                  <w:pPr>
                    <w:adjustRightInd w:val="0"/>
                    <w:snapToGrid w:val="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合川区凤翔路消防救援站</w:t>
                  </w:r>
                </w:p>
              </w:tc>
              <w:tc>
                <w:tcPr>
                  <w:tcW w:w="431" w:type="pct"/>
                  <w:noWrap w:val="0"/>
                  <w:vAlign w:val="center"/>
                </w:tcPr>
                <w:p w14:paraId="1CB52883">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50</w:t>
                  </w:r>
                </w:p>
              </w:tc>
              <w:tc>
                <w:tcPr>
                  <w:tcW w:w="455" w:type="pct"/>
                  <w:noWrap w:val="0"/>
                  <w:vAlign w:val="center"/>
                </w:tcPr>
                <w:p w14:paraId="1A05F4C4">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-80</w:t>
                  </w:r>
                </w:p>
              </w:tc>
              <w:tc>
                <w:tcPr>
                  <w:tcW w:w="442" w:type="pct"/>
                  <w:noWrap w:val="0"/>
                  <w:vAlign w:val="center"/>
                </w:tcPr>
                <w:p w14:paraId="3B5C2E20">
                  <w:pPr>
                    <w:adjustRightInd w:val="0"/>
                    <w:snapToGrid w:val="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SE</w:t>
                  </w:r>
                </w:p>
              </w:tc>
              <w:tc>
                <w:tcPr>
                  <w:tcW w:w="858" w:type="pct"/>
                  <w:noWrap w:val="0"/>
                  <w:vAlign w:val="center"/>
                </w:tcPr>
                <w:p w14:paraId="5F184DD0">
                  <w:pPr>
                    <w:adjustRightInd w:val="0"/>
                    <w:snapToGrid w:val="0"/>
                    <w:spacing w:line="240" w:lineRule="atLeast"/>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65</w:t>
                  </w:r>
                </w:p>
              </w:tc>
              <w:tc>
                <w:tcPr>
                  <w:tcW w:w="1286" w:type="pct"/>
                  <w:noWrap w:val="0"/>
                  <w:vAlign w:val="center"/>
                </w:tcPr>
                <w:p w14:paraId="059651DB">
                  <w:pPr>
                    <w:adjustRightInd w:val="0"/>
                    <w:snapToGrid w:val="0"/>
                    <w:jc w:val="center"/>
                    <w:rPr>
                      <w:rFonts w:hint="default" w:ascii="Times New Roman" w:hAnsi="Times New Roman"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kern w:val="2"/>
                      <w:sz w:val="18"/>
                      <w:szCs w:val="18"/>
                      <w:shd w:val="clear" w:color="auto" w:fill="auto"/>
                      <w:lang w:val="en-US" w:eastAsia="zh-CN" w:bidi="ar-SA"/>
                    </w:rPr>
                    <w:t>行政机关</w:t>
                  </w:r>
                </w:p>
              </w:tc>
            </w:tr>
            <w:tr w14:paraId="656FC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85" w:hRule="atLeast"/>
                <w:jc w:val="center"/>
              </w:trPr>
              <w:tc>
                <w:tcPr>
                  <w:tcW w:w="255" w:type="pct"/>
                  <w:noWrap w:val="0"/>
                  <w:vAlign w:val="center"/>
                </w:tcPr>
                <w:p w14:paraId="137E6330">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w:t>
                  </w:r>
                </w:p>
              </w:tc>
              <w:tc>
                <w:tcPr>
                  <w:tcW w:w="1270" w:type="pct"/>
                  <w:noWrap w:val="0"/>
                  <w:vAlign w:val="center"/>
                </w:tcPr>
                <w:p w14:paraId="6AFA6095">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大坝子居民点</w:t>
                  </w:r>
                </w:p>
              </w:tc>
              <w:tc>
                <w:tcPr>
                  <w:tcW w:w="431" w:type="pct"/>
                  <w:noWrap w:val="0"/>
                  <w:vAlign w:val="center"/>
                </w:tcPr>
                <w:p w14:paraId="45293143">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-110</w:t>
                  </w:r>
                </w:p>
              </w:tc>
              <w:tc>
                <w:tcPr>
                  <w:tcW w:w="455" w:type="pct"/>
                  <w:noWrap w:val="0"/>
                  <w:vAlign w:val="center"/>
                </w:tcPr>
                <w:p w14:paraId="4E882A33">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-100</w:t>
                  </w:r>
                </w:p>
              </w:tc>
              <w:tc>
                <w:tcPr>
                  <w:tcW w:w="442" w:type="pct"/>
                  <w:noWrap w:val="0"/>
                  <w:vAlign w:val="center"/>
                </w:tcPr>
                <w:p w14:paraId="2354E558">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SW</w:t>
                  </w:r>
                </w:p>
              </w:tc>
              <w:tc>
                <w:tcPr>
                  <w:tcW w:w="858" w:type="pct"/>
                  <w:noWrap w:val="0"/>
                  <w:vAlign w:val="center"/>
                </w:tcPr>
                <w:p w14:paraId="5F56AB4C">
                  <w:pPr>
                    <w:adjustRightInd w:val="0"/>
                    <w:snapToGrid w:val="0"/>
                    <w:spacing w:line="240" w:lineRule="atLeas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110</w:t>
                  </w:r>
                </w:p>
              </w:tc>
              <w:tc>
                <w:tcPr>
                  <w:tcW w:w="1286" w:type="pct"/>
                  <w:noWrap w:val="0"/>
                  <w:vAlign w:val="center"/>
                </w:tcPr>
                <w:p w14:paraId="2B323485">
                  <w:pPr>
                    <w:adjustRightInd w:val="0"/>
                    <w:snapToGrid w:val="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shd w:val="clear" w:color="auto" w:fill="auto"/>
                      <w:lang w:val="en-US" w:eastAsia="zh-CN" w:bidi="ar-SA"/>
                    </w:rPr>
                    <w:t>散户居民，约20户，60人</w:t>
                  </w:r>
                </w:p>
              </w:tc>
            </w:tr>
            <w:tr w14:paraId="63C56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91" w:hRule="atLeast"/>
                <w:jc w:val="center"/>
              </w:trPr>
              <w:tc>
                <w:tcPr>
                  <w:tcW w:w="255" w:type="pct"/>
                  <w:noWrap w:val="0"/>
                  <w:vAlign w:val="center"/>
                </w:tcPr>
                <w:p w14:paraId="08AC8B28">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270" w:type="pct"/>
                  <w:noWrap w:val="0"/>
                  <w:vAlign w:val="center"/>
                </w:tcPr>
                <w:p w14:paraId="5EE325A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1#散户居民</w:t>
                  </w:r>
                </w:p>
              </w:tc>
              <w:tc>
                <w:tcPr>
                  <w:tcW w:w="431" w:type="pct"/>
                  <w:noWrap w:val="0"/>
                  <w:vAlign w:val="center"/>
                </w:tcPr>
                <w:p w14:paraId="3E1B2220">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115</w:t>
                  </w:r>
                </w:p>
              </w:tc>
              <w:tc>
                <w:tcPr>
                  <w:tcW w:w="455" w:type="pct"/>
                  <w:noWrap w:val="0"/>
                  <w:vAlign w:val="center"/>
                </w:tcPr>
                <w:p w14:paraId="5505108A">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-370</w:t>
                  </w:r>
                </w:p>
              </w:tc>
              <w:tc>
                <w:tcPr>
                  <w:tcW w:w="442" w:type="pct"/>
                  <w:noWrap w:val="0"/>
                  <w:vAlign w:val="center"/>
                </w:tcPr>
                <w:p w14:paraId="2324475B">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SE</w:t>
                  </w:r>
                </w:p>
              </w:tc>
              <w:tc>
                <w:tcPr>
                  <w:tcW w:w="858" w:type="pct"/>
                  <w:noWrap w:val="0"/>
                  <w:vAlign w:val="center"/>
                </w:tcPr>
                <w:p w14:paraId="7B29B6CE">
                  <w:pPr>
                    <w:adjustRightInd w:val="0"/>
                    <w:snapToGrid w:val="0"/>
                    <w:spacing w:line="240" w:lineRule="atLeas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340</w:t>
                  </w:r>
                </w:p>
              </w:tc>
              <w:tc>
                <w:tcPr>
                  <w:tcW w:w="1286" w:type="pct"/>
                  <w:noWrap w:val="0"/>
                  <w:vAlign w:val="center"/>
                </w:tcPr>
                <w:p w14:paraId="7979EAD9">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kern w:val="2"/>
                      <w:sz w:val="18"/>
                      <w:szCs w:val="18"/>
                      <w:shd w:val="clear" w:color="auto" w:fill="auto"/>
                      <w:lang w:val="en-US" w:eastAsia="zh-CN" w:bidi="ar-SA"/>
                    </w:rPr>
                    <w:t>散户居民，约10户，30人</w:t>
                  </w:r>
                </w:p>
              </w:tc>
            </w:tr>
            <w:tr w14:paraId="5F246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85" w:hRule="atLeast"/>
                <w:jc w:val="center"/>
              </w:trPr>
              <w:tc>
                <w:tcPr>
                  <w:tcW w:w="255" w:type="pct"/>
                  <w:noWrap w:val="0"/>
                  <w:vAlign w:val="center"/>
                </w:tcPr>
                <w:p w14:paraId="6EA645B0">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270" w:type="pct"/>
                  <w:noWrap w:val="0"/>
                  <w:vAlign w:val="center"/>
                </w:tcPr>
                <w:p w14:paraId="62D49445">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2#散户居民</w:t>
                  </w:r>
                </w:p>
              </w:tc>
              <w:tc>
                <w:tcPr>
                  <w:tcW w:w="431" w:type="pct"/>
                  <w:noWrap w:val="0"/>
                  <w:vAlign w:val="center"/>
                </w:tcPr>
                <w:p w14:paraId="66645A10">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0</w:t>
                  </w:r>
                </w:p>
              </w:tc>
              <w:tc>
                <w:tcPr>
                  <w:tcW w:w="455" w:type="pct"/>
                  <w:noWrap w:val="0"/>
                  <w:vAlign w:val="center"/>
                </w:tcPr>
                <w:p w14:paraId="43BA1B8E">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-490</w:t>
                  </w:r>
                </w:p>
              </w:tc>
              <w:tc>
                <w:tcPr>
                  <w:tcW w:w="442" w:type="pct"/>
                  <w:noWrap w:val="0"/>
                  <w:vAlign w:val="center"/>
                </w:tcPr>
                <w:p w14:paraId="2CCA8468">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S</w:t>
                  </w:r>
                </w:p>
              </w:tc>
              <w:tc>
                <w:tcPr>
                  <w:tcW w:w="858" w:type="pct"/>
                  <w:noWrap w:val="0"/>
                  <w:vAlign w:val="center"/>
                </w:tcPr>
                <w:p w14:paraId="7691D5D4">
                  <w:pPr>
                    <w:adjustRightInd w:val="0"/>
                    <w:snapToGrid w:val="0"/>
                    <w:spacing w:line="240" w:lineRule="atLeas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455</w:t>
                  </w:r>
                </w:p>
              </w:tc>
              <w:tc>
                <w:tcPr>
                  <w:tcW w:w="1286" w:type="pct"/>
                  <w:noWrap w:val="0"/>
                  <w:vAlign w:val="center"/>
                </w:tcPr>
                <w:p w14:paraId="48033E2C">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kern w:val="2"/>
                      <w:sz w:val="18"/>
                      <w:szCs w:val="18"/>
                      <w:shd w:val="clear" w:color="auto" w:fill="auto"/>
                      <w:lang w:val="en-US" w:eastAsia="zh-CN" w:bidi="ar-SA"/>
                    </w:rPr>
                    <w:t>散户居民，约10户，30人</w:t>
                  </w:r>
                </w:p>
              </w:tc>
            </w:tr>
            <w:tr w14:paraId="72319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85" w:hRule="atLeast"/>
                <w:jc w:val="center"/>
              </w:trPr>
              <w:tc>
                <w:tcPr>
                  <w:tcW w:w="255" w:type="pct"/>
                  <w:noWrap w:val="0"/>
                  <w:vAlign w:val="center"/>
                </w:tcPr>
                <w:p w14:paraId="2E2ADD71">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w:t>
                  </w:r>
                </w:p>
              </w:tc>
              <w:tc>
                <w:tcPr>
                  <w:tcW w:w="1270" w:type="pct"/>
                  <w:noWrap w:val="0"/>
                  <w:vAlign w:val="center"/>
                </w:tcPr>
                <w:p w14:paraId="539FA146">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w:t>
                  </w:r>
                  <w:r>
                    <w:rPr>
                      <w:rFonts w:hint="eastAsia" w:ascii="Times New Roman" w:hAnsi="Times New Roman" w:eastAsia="宋体" w:cs="Times New Roman"/>
                      <w:color w:val="auto"/>
                      <w:kern w:val="2"/>
                      <w:sz w:val="18"/>
                      <w:szCs w:val="18"/>
                      <w:lang w:val="en-US" w:eastAsia="zh-CN" w:bidi="ar-SA"/>
                    </w:rPr>
                    <w:t>#散户居民</w:t>
                  </w:r>
                </w:p>
              </w:tc>
              <w:tc>
                <w:tcPr>
                  <w:tcW w:w="431" w:type="pct"/>
                  <w:noWrap w:val="0"/>
                  <w:vAlign w:val="center"/>
                </w:tcPr>
                <w:p w14:paraId="4B17B3B9">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310</w:t>
                  </w:r>
                </w:p>
              </w:tc>
              <w:tc>
                <w:tcPr>
                  <w:tcW w:w="455" w:type="pct"/>
                  <w:noWrap w:val="0"/>
                  <w:vAlign w:val="center"/>
                </w:tcPr>
                <w:p w14:paraId="19A51DD7">
                  <w:pPr>
                    <w:pStyle w:val="9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-455</w:t>
                  </w:r>
                </w:p>
              </w:tc>
              <w:tc>
                <w:tcPr>
                  <w:tcW w:w="442" w:type="pct"/>
                  <w:noWrap w:val="0"/>
                  <w:vAlign w:val="center"/>
                </w:tcPr>
                <w:p w14:paraId="2BF2A3A2">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SE</w:t>
                  </w:r>
                </w:p>
              </w:tc>
              <w:tc>
                <w:tcPr>
                  <w:tcW w:w="858" w:type="pct"/>
                  <w:noWrap w:val="0"/>
                  <w:vAlign w:val="center"/>
                </w:tcPr>
                <w:p w14:paraId="7B748E95">
                  <w:pPr>
                    <w:adjustRightInd w:val="0"/>
                    <w:snapToGrid w:val="0"/>
                    <w:spacing w:line="240" w:lineRule="atLeas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500</w:t>
                  </w:r>
                </w:p>
              </w:tc>
              <w:tc>
                <w:tcPr>
                  <w:tcW w:w="1286" w:type="pct"/>
                  <w:noWrap w:val="0"/>
                  <w:vAlign w:val="center"/>
                </w:tcPr>
                <w:p w14:paraId="42984EC5">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kern w:val="2"/>
                      <w:sz w:val="18"/>
                      <w:szCs w:val="18"/>
                      <w:shd w:val="clear" w:color="auto" w:fill="auto"/>
                      <w:lang w:val="en-US" w:eastAsia="zh-CN" w:bidi="ar-SA"/>
                    </w:rPr>
                    <w:t>散户居民，约</w:t>
                  </w:r>
                  <w:r>
                    <w:rPr>
                      <w:rFonts w:hint="eastAsia" w:cs="Times New Roman"/>
                      <w:color w:val="auto"/>
                      <w:kern w:val="2"/>
                      <w:sz w:val="18"/>
                      <w:szCs w:val="18"/>
                      <w:shd w:val="clear" w:color="auto" w:fill="auto"/>
                      <w:lang w:val="en-US" w:eastAsia="zh-CN" w:bidi="ar-SA"/>
                    </w:rPr>
                    <w:t>5</w:t>
                  </w:r>
                  <w:r>
                    <w:rPr>
                      <w:rFonts w:hint="eastAsia" w:ascii="Times New Roman" w:hAnsi="Times New Roman" w:eastAsia="宋体" w:cs="Times New Roman"/>
                      <w:color w:val="auto"/>
                      <w:kern w:val="2"/>
                      <w:sz w:val="18"/>
                      <w:szCs w:val="18"/>
                      <w:shd w:val="clear" w:color="auto" w:fill="auto"/>
                      <w:lang w:val="en-US" w:eastAsia="zh-CN" w:bidi="ar-SA"/>
                    </w:rPr>
                    <w:t>户，</w:t>
                  </w:r>
                  <w:r>
                    <w:rPr>
                      <w:rFonts w:hint="eastAsia" w:cs="Times New Roman"/>
                      <w:color w:val="auto"/>
                      <w:kern w:val="2"/>
                      <w:sz w:val="18"/>
                      <w:szCs w:val="18"/>
                      <w:shd w:val="clear" w:color="auto" w:fill="auto"/>
                      <w:lang w:val="en-US" w:eastAsia="zh-CN" w:bidi="ar-SA"/>
                    </w:rPr>
                    <w:t>15</w:t>
                  </w:r>
                  <w:r>
                    <w:rPr>
                      <w:rFonts w:hint="eastAsia" w:ascii="Times New Roman" w:hAnsi="Times New Roman" w:eastAsia="宋体" w:cs="Times New Roman"/>
                      <w:color w:val="auto"/>
                      <w:kern w:val="2"/>
                      <w:sz w:val="18"/>
                      <w:szCs w:val="18"/>
                      <w:shd w:val="clear" w:color="auto" w:fill="auto"/>
                      <w:lang w:val="en-US" w:eastAsia="zh-CN" w:bidi="ar-SA"/>
                    </w:rPr>
                    <w:t>人</w:t>
                  </w:r>
                </w:p>
              </w:tc>
            </w:tr>
            <w:tr w14:paraId="06860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cantSplit/>
                <w:trHeight w:val="185" w:hRule="atLeast"/>
                <w:jc w:val="center"/>
              </w:trPr>
              <w:tc>
                <w:tcPr>
                  <w:tcW w:w="5000" w:type="pct"/>
                  <w:gridSpan w:val="7"/>
                  <w:noWrap w:val="0"/>
                  <w:vAlign w:val="center"/>
                </w:tcPr>
                <w:p w14:paraId="45EA2A58">
                  <w:pPr>
                    <w:adjustRightInd w:val="0"/>
                    <w:snapToGrid w:val="0"/>
                    <w:jc w:val="both"/>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b/>
                      <w:bCs/>
                      <w:color w:val="auto"/>
                      <w:kern w:val="2"/>
                      <w:sz w:val="18"/>
                      <w:szCs w:val="18"/>
                      <w:shd w:val="clear" w:color="auto" w:fill="auto"/>
                      <w:lang w:val="en-US" w:eastAsia="zh-CN" w:bidi="ar-SA"/>
                    </w:rPr>
                    <w:t>注</w:t>
                  </w:r>
                  <w:r>
                    <w:rPr>
                      <w:rFonts w:hint="default" w:ascii="Times New Roman" w:hAnsi="Times New Roman" w:eastAsia="宋体" w:cs="Times New Roman"/>
                      <w:b w:val="0"/>
                      <w:bCs w:val="0"/>
                      <w:color w:val="auto"/>
                      <w:kern w:val="2"/>
                      <w:sz w:val="18"/>
                      <w:szCs w:val="18"/>
                      <w:shd w:val="clear" w:color="auto" w:fill="auto"/>
                      <w:lang w:val="en-US" w:eastAsia="zh-CN" w:bidi="ar-SA"/>
                    </w:rPr>
                    <w:t>：</w:t>
                  </w:r>
                  <w:r>
                    <w:rPr>
                      <w:rFonts w:hint="eastAsia" w:ascii="Times New Roman" w:hAnsi="Times New Roman" w:eastAsia="宋体" w:cs="Times New Roman"/>
                      <w:b w:val="0"/>
                      <w:bCs w:val="0"/>
                      <w:color w:val="auto"/>
                      <w:kern w:val="2"/>
                      <w:sz w:val="18"/>
                      <w:szCs w:val="18"/>
                      <w:shd w:val="clear" w:color="auto" w:fill="auto"/>
                      <w:lang w:val="en-US" w:eastAsia="zh-CN" w:bidi="ar-SA"/>
                    </w:rPr>
                    <w:t>坐标</w:t>
                  </w:r>
                  <w:r>
                    <w:rPr>
                      <w:rFonts w:hint="default" w:ascii="Times New Roman" w:hAnsi="Times New Roman" w:eastAsia="宋体" w:cs="Times New Roman"/>
                      <w:b w:val="0"/>
                      <w:bCs w:val="0"/>
                      <w:color w:val="auto"/>
                      <w:kern w:val="2"/>
                      <w:sz w:val="18"/>
                      <w:szCs w:val="18"/>
                      <w:shd w:val="clear" w:color="auto" w:fill="auto"/>
                      <w:lang w:val="en-US" w:eastAsia="zh-CN" w:bidi="ar-SA"/>
                    </w:rPr>
                    <w:t>以厂区中心为原点</w:t>
                  </w:r>
                  <w:r>
                    <w:rPr>
                      <w:rFonts w:hint="eastAsia" w:ascii="Times New Roman" w:hAnsi="Times New Roman" w:eastAsia="宋体" w:cs="Times New Roman"/>
                      <w:b w:val="0"/>
                      <w:bCs w:val="0"/>
                      <w:color w:val="auto"/>
                      <w:kern w:val="2"/>
                      <w:sz w:val="18"/>
                      <w:szCs w:val="18"/>
                      <w:shd w:val="clear" w:color="auto" w:fill="auto"/>
                      <w:lang w:val="en-US" w:eastAsia="zh-CN" w:bidi="ar-SA"/>
                    </w:rPr>
                    <w:t>。</w:t>
                  </w:r>
                </w:p>
              </w:tc>
            </w:tr>
          </w:tbl>
          <w:p w14:paraId="27E00CDC">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③地下水</w:t>
            </w:r>
          </w:p>
          <w:p w14:paraId="18E7DEA1">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根据现场调查，本项目厂界外500m范围内无地下水集中式饮用水水源和热水、矿泉水、温泉等特殊地下水资源等。</w:t>
            </w:r>
          </w:p>
          <w:p w14:paraId="2B151CC5">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④生态环境</w:t>
            </w:r>
          </w:p>
          <w:p w14:paraId="13C5A5B9">
            <w:pPr>
              <w:pStyle w:val="56"/>
              <w:spacing w:line="240" w:lineRule="auto"/>
              <w:ind w:firstLine="420" w:firstLineChars="200"/>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本项目不新增用地，因此本项目不涉及新增用地范围内的生态环境保护目标。</w:t>
            </w:r>
          </w:p>
        </w:tc>
      </w:tr>
      <w:tr w14:paraId="61E13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55" w:type="pct"/>
            <w:noWrap w:val="0"/>
            <w:tcMar>
              <w:left w:w="28" w:type="dxa"/>
              <w:right w:w="28" w:type="dxa"/>
            </w:tcMar>
            <w:vAlign w:val="center"/>
          </w:tcPr>
          <w:p w14:paraId="6E634E0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2DF8316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153E67E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6B0BFEE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77C3A0D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4644" w:type="pct"/>
            <w:noWrap w:val="0"/>
            <w:vAlign w:val="center"/>
          </w:tcPr>
          <w:p w14:paraId="027DC658">
            <w:pPr>
              <w:adjustRightInd w:val="0"/>
              <w:snapToGrid w:val="0"/>
              <w:spacing w:line="360" w:lineRule="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3.7污染物排放控制标准</w:t>
            </w:r>
          </w:p>
          <w:p w14:paraId="4075CE84">
            <w:pPr>
              <w:pStyle w:val="20"/>
              <w:outlineLvl w:val="1"/>
              <w:rPr>
                <w:rFonts w:hint="default" w:ascii="Times New Roman" w:hAnsi="Times New Roman" w:cs="Times New Roman"/>
                <w:bCs w:val="0"/>
                <w:caps w:val="0"/>
                <w:color w:val="auto"/>
                <w:kern w:val="0"/>
                <w:sz w:val="21"/>
                <w:szCs w:val="21"/>
              </w:rPr>
            </w:pPr>
            <w:r>
              <w:rPr>
                <w:rFonts w:hint="default" w:ascii="Times New Roman" w:hAnsi="Times New Roman" w:cs="Times New Roman"/>
                <w:bCs w:val="0"/>
                <w:caps w:val="0"/>
                <w:color w:val="auto"/>
                <w:kern w:val="0"/>
                <w:sz w:val="21"/>
                <w:szCs w:val="21"/>
              </w:rPr>
              <w:t>3.7.1废气</w:t>
            </w:r>
          </w:p>
          <w:p w14:paraId="0636EAAD">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本项目营运期废气主要为</w:t>
            </w:r>
            <w:r>
              <w:rPr>
                <w:rFonts w:hint="default" w:ascii="Times New Roman" w:hAnsi="Times New Roman" w:cs="Times New Roman"/>
                <w:bCs/>
                <w:color w:val="auto"/>
                <w:szCs w:val="21"/>
                <w:lang w:eastAsia="zh-CN"/>
              </w:rPr>
              <w:t>注塑废气、破碎粉尘</w:t>
            </w:r>
            <w:r>
              <w:rPr>
                <w:rFonts w:hint="default" w:ascii="Times New Roman" w:hAnsi="Times New Roman" w:cs="Times New Roman"/>
                <w:bCs/>
                <w:color w:val="auto"/>
                <w:szCs w:val="21"/>
              </w:rPr>
              <w:t>。</w:t>
            </w:r>
          </w:p>
          <w:p w14:paraId="0E4C8109">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color w:val="auto"/>
                <w:szCs w:val="21"/>
                <w:lang w:val="en-US" w:eastAsia="zh-CN"/>
              </w:rPr>
            </w:pPr>
            <w:r>
              <w:rPr>
                <w:rFonts w:hint="default" w:ascii="Times New Roman" w:hAnsi="Times New Roman" w:cs="Times New Roman"/>
                <w:color w:val="auto"/>
                <w:sz w:val="21"/>
                <w:szCs w:val="21"/>
                <w:lang w:val="en-US" w:eastAsia="zh-CN"/>
              </w:rPr>
              <w:t>本项目位于</w:t>
            </w:r>
            <w:r>
              <w:rPr>
                <w:rFonts w:hint="eastAsia" w:ascii="Times New Roman" w:hAnsi="Times New Roman" w:cs="Times New Roman"/>
                <w:color w:val="auto"/>
                <w:sz w:val="21"/>
                <w:szCs w:val="21"/>
                <w:lang w:val="en-US" w:eastAsia="zh-CN"/>
              </w:rPr>
              <w:t>合川</w:t>
            </w:r>
            <w:r>
              <w:rPr>
                <w:rFonts w:hint="default" w:ascii="Times New Roman" w:hAnsi="Times New Roman" w:cs="Times New Roman"/>
                <w:color w:val="auto"/>
                <w:sz w:val="21"/>
                <w:szCs w:val="21"/>
                <w:lang w:val="en-US" w:eastAsia="zh-CN"/>
              </w:rPr>
              <w:t>区，注塑废气、破碎粉尘执行</w:t>
            </w:r>
            <w:r>
              <w:rPr>
                <w:rFonts w:hint="eastAsia" w:cs="Times New Roman"/>
                <w:color w:val="auto"/>
                <w:sz w:val="21"/>
                <w:szCs w:val="21"/>
                <w:lang w:val="en-US" w:eastAsia="zh-CN"/>
              </w:rPr>
              <w:t>《合成树脂工业污染排放标准》（GB 31572-2015），含2024年修改单）</w:t>
            </w:r>
            <w:r>
              <w:rPr>
                <w:rFonts w:hint="default" w:ascii="Times New Roman" w:hAnsi="Times New Roman" w:cs="Times New Roman"/>
                <w:color w:val="auto"/>
                <w:sz w:val="21"/>
                <w:szCs w:val="21"/>
                <w:lang w:val="en-US" w:eastAsia="zh-CN"/>
              </w:rPr>
              <w:t>特别排放限值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b w:val="0"/>
                <w:bCs w:val="0"/>
                <w:color w:val="auto"/>
                <w:kern w:val="0"/>
                <w:sz w:val="21"/>
                <w:szCs w:val="21"/>
                <w:lang w:val="en-US" w:eastAsia="zh-CN" w:bidi="ar"/>
              </w:rPr>
              <w:t>厂区内非甲烷总烃执行《挥发性有机物无组织排放控制标准》（</w:t>
            </w:r>
            <w:r>
              <w:rPr>
                <w:rFonts w:hint="eastAsia" w:cs="Times New Roman"/>
                <w:b w:val="0"/>
                <w:bCs w:val="0"/>
                <w:color w:val="auto"/>
                <w:kern w:val="0"/>
                <w:sz w:val="21"/>
                <w:szCs w:val="21"/>
                <w:lang w:val="en-US" w:eastAsia="zh-CN" w:bidi="ar"/>
              </w:rPr>
              <w:t>GB 37822-2019</w:t>
            </w:r>
            <w:r>
              <w:rPr>
                <w:rFonts w:hint="default" w:ascii="Times New Roman" w:hAnsi="Times New Roman" w:cs="Times New Roman"/>
                <w:b w:val="0"/>
                <w:bCs w:val="0"/>
                <w:color w:val="auto"/>
                <w:kern w:val="0"/>
                <w:sz w:val="21"/>
                <w:szCs w:val="21"/>
                <w:lang w:val="en-US" w:eastAsia="zh-CN" w:bidi="ar"/>
              </w:rPr>
              <w:t>）表A.1特别排放限值标准</w:t>
            </w:r>
            <w:r>
              <w:rPr>
                <w:rFonts w:hint="eastAsia" w:ascii="Times New Roman" w:hAnsi="Times New Roman" w:cs="Times New Roman"/>
                <w:b w:val="0"/>
                <w:bCs w:val="0"/>
                <w:color w:val="auto"/>
                <w:kern w:val="0"/>
                <w:sz w:val="21"/>
                <w:szCs w:val="21"/>
                <w:lang w:val="en-US" w:eastAsia="zh-CN" w:bidi="ar"/>
              </w:rPr>
              <w:t>，</w:t>
            </w:r>
            <w:r>
              <w:rPr>
                <w:rFonts w:hint="default" w:ascii="Times New Roman" w:hAnsi="Times New Roman" w:eastAsia="宋体" w:cs="Times New Roman"/>
                <w:bCs/>
                <w:color w:val="auto"/>
                <w:spacing w:val="-10"/>
                <w:sz w:val="21"/>
                <w:szCs w:val="21"/>
                <w:lang w:eastAsia="zh-CN"/>
              </w:rPr>
              <w:t>项目</w:t>
            </w:r>
            <w:r>
              <w:rPr>
                <w:rFonts w:hint="default" w:ascii="Times New Roman" w:hAnsi="Times New Roman" w:eastAsia="宋体" w:cs="Times New Roman"/>
                <w:bCs/>
                <w:color w:val="auto"/>
                <w:spacing w:val="-10"/>
                <w:sz w:val="21"/>
                <w:szCs w:val="21"/>
                <w:lang w:val="en-US" w:eastAsia="zh-CN"/>
              </w:rPr>
              <w:t>塑料颗粒加热熔化、成型时会产生</w:t>
            </w:r>
            <w:r>
              <w:rPr>
                <w:rFonts w:hint="default" w:ascii="Times New Roman" w:hAnsi="Times New Roman" w:cs="Times New Roman"/>
                <w:bCs/>
                <w:color w:val="auto"/>
                <w:spacing w:val="-10"/>
                <w:sz w:val="21"/>
                <w:szCs w:val="21"/>
                <w:lang w:val="en-US" w:eastAsia="zh-CN"/>
              </w:rPr>
              <w:t>的</w:t>
            </w:r>
            <w:r>
              <w:rPr>
                <w:rFonts w:hint="default" w:ascii="Times New Roman" w:hAnsi="Times New Roman" w:eastAsia="宋体" w:cs="Times New Roman"/>
                <w:bCs/>
                <w:color w:val="auto"/>
                <w:spacing w:val="-10"/>
                <w:sz w:val="21"/>
                <w:szCs w:val="21"/>
                <w:lang w:val="en-US" w:eastAsia="zh-CN"/>
              </w:rPr>
              <w:t>异味</w:t>
            </w:r>
            <w:r>
              <w:rPr>
                <w:rFonts w:hint="default" w:ascii="Times New Roman" w:hAnsi="Times New Roman" w:eastAsia="宋体" w:cs="Times New Roman"/>
                <w:bCs/>
                <w:color w:val="auto"/>
                <w:spacing w:val="-10"/>
                <w:sz w:val="21"/>
                <w:szCs w:val="21"/>
                <w:lang w:eastAsia="zh-CN"/>
              </w:rPr>
              <w:t>执行《恶臭污染物排放标准》（</w:t>
            </w:r>
            <w:r>
              <w:rPr>
                <w:rFonts w:hint="eastAsia" w:cs="Times New Roman"/>
                <w:bCs/>
                <w:color w:val="auto"/>
                <w:spacing w:val="-10"/>
                <w:sz w:val="21"/>
                <w:szCs w:val="21"/>
                <w:lang w:eastAsia="zh-CN"/>
              </w:rPr>
              <w:t>GB 14554</w:t>
            </w:r>
            <w:r>
              <w:rPr>
                <w:rFonts w:hint="default" w:ascii="Times New Roman" w:hAnsi="Times New Roman" w:eastAsia="宋体" w:cs="Times New Roman"/>
                <w:bCs/>
                <w:color w:val="auto"/>
                <w:spacing w:val="-10"/>
                <w:sz w:val="21"/>
                <w:szCs w:val="21"/>
                <w:lang w:eastAsia="zh-CN"/>
              </w:rPr>
              <w:t>-93）：</w:t>
            </w:r>
            <w:r>
              <w:rPr>
                <w:rFonts w:hint="default" w:ascii="Times New Roman" w:hAnsi="Times New Roman" w:eastAsia="宋体" w:cs="Times New Roman"/>
                <w:bCs/>
                <w:color w:val="auto"/>
                <w:spacing w:val="-10"/>
                <w:sz w:val="21"/>
                <w:szCs w:val="21"/>
                <w:lang w:val="en-US" w:eastAsia="zh-CN"/>
              </w:rPr>
              <w:t>20（无量纲）</w:t>
            </w:r>
            <w:r>
              <w:rPr>
                <w:rFonts w:hint="eastAsia"/>
                <w:color w:val="auto"/>
                <w:lang w:eastAsia="zh-CN"/>
              </w:rPr>
              <w:t>。</w:t>
            </w:r>
          </w:p>
          <w:p w14:paraId="5CA1B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cs="Times New Roman"/>
                <w:b/>
                <w:color w:val="auto"/>
                <w:sz w:val="21"/>
                <w:szCs w:val="21"/>
              </w:rPr>
              <w:t>表</w:t>
            </w:r>
            <w:r>
              <w:rPr>
                <w:rFonts w:hint="default" w:ascii="Times New Roman" w:hAnsi="Times New Roman" w:cs="Times New Roman"/>
                <w:b/>
                <w:bCs/>
                <w:color w:val="auto"/>
                <w:sz w:val="21"/>
                <w:szCs w:val="21"/>
              </w:rPr>
              <w:t>3-</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color w:val="auto"/>
                <w:sz w:val="21"/>
                <w:szCs w:val="21"/>
              </w:rPr>
              <w:t xml:space="preserve">  </w:t>
            </w:r>
            <w:r>
              <w:rPr>
                <w:rFonts w:hint="eastAsia" w:cs="Times New Roman"/>
                <w:b/>
                <w:bCs w:val="0"/>
                <w:color w:val="auto"/>
                <w:sz w:val="21"/>
                <w:szCs w:val="21"/>
                <w:lang w:eastAsia="zh-CN"/>
              </w:rPr>
              <w:t>《合成树脂工业污染排放标准》（GB 31572-2015），含2024年修改单）</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05"/>
              <w:gridCol w:w="2706"/>
              <w:gridCol w:w="2850"/>
            </w:tblGrid>
            <w:tr w14:paraId="5F5EC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596" w:type="pct"/>
                  <w:noWrap w:val="0"/>
                  <w:vAlign w:val="center"/>
                </w:tcPr>
                <w:p w14:paraId="0215D6E3">
                  <w:pPr>
                    <w:pStyle w:val="59"/>
                    <w:widowControl/>
                    <w:spacing w:beforeLines="0" w:afterLines="0" w:line="240" w:lineRule="auto"/>
                    <w:rPr>
                      <w:rFonts w:ascii="Times New Roman" w:hAnsi="Times New Roman" w:cs="Times New Roman"/>
                      <w:bCs/>
                      <w:color w:val="auto"/>
                      <w:sz w:val="18"/>
                      <w:szCs w:val="18"/>
                    </w:rPr>
                  </w:pPr>
                  <w:r>
                    <w:rPr>
                      <w:rFonts w:ascii="Times New Roman" w:hAnsi="Times New Roman" w:cs="Times New Roman"/>
                      <w:bCs/>
                      <w:color w:val="auto"/>
                      <w:sz w:val="18"/>
                      <w:szCs w:val="18"/>
                    </w:rPr>
                    <w:t>污染物</w:t>
                  </w:r>
                </w:p>
              </w:tc>
              <w:tc>
                <w:tcPr>
                  <w:tcW w:w="1658" w:type="pct"/>
                  <w:noWrap w:val="0"/>
                  <w:vAlign w:val="center"/>
                </w:tcPr>
                <w:p w14:paraId="0B5218AD">
                  <w:pPr>
                    <w:pStyle w:val="59"/>
                    <w:widowControl/>
                    <w:spacing w:beforeLines="0" w:afterLines="0" w:line="240" w:lineRule="auto"/>
                    <w:rPr>
                      <w:rFonts w:ascii="Times New Roman" w:hAnsi="Times New Roman" w:cs="Times New Roman"/>
                      <w:bCs/>
                      <w:color w:val="auto"/>
                      <w:sz w:val="18"/>
                      <w:szCs w:val="18"/>
                    </w:rPr>
                  </w:pPr>
                  <w:r>
                    <w:rPr>
                      <w:rFonts w:ascii="Times New Roman" w:hAnsi="Times New Roman" w:cs="Times New Roman"/>
                      <w:bCs/>
                      <w:color w:val="auto"/>
                      <w:sz w:val="18"/>
                      <w:szCs w:val="18"/>
                    </w:rPr>
                    <w:t>最高允许排放浓度mg/m</w:t>
                  </w:r>
                  <w:r>
                    <w:rPr>
                      <w:rFonts w:ascii="Times New Roman" w:hAnsi="Times New Roman" w:cs="Times New Roman"/>
                      <w:bCs/>
                      <w:color w:val="auto"/>
                      <w:sz w:val="18"/>
                      <w:szCs w:val="18"/>
                      <w:vertAlign w:val="superscript"/>
                    </w:rPr>
                    <w:t>3</w:t>
                  </w:r>
                </w:p>
              </w:tc>
              <w:tc>
                <w:tcPr>
                  <w:tcW w:w="1744" w:type="pct"/>
                  <w:noWrap w:val="0"/>
                  <w:vAlign w:val="center"/>
                </w:tcPr>
                <w:p w14:paraId="7D194B44">
                  <w:pPr>
                    <w:pStyle w:val="59"/>
                    <w:widowControl/>
                    <w:spacing w:beforeLines="0" w:afterLines="0" w:line="240" w:lineRule="auto"/>
                    <w:rPr>
                      <w:rFonts w:ascii="Times New Roman" w:hAnsi="Times New Roman" w:cs="Times New Roman"/>
                      <w:bCs/>
                      <w:color w:val="auto"/>
                      <w:sz w:val="18"/>
                      <w:szCs w:val="18"/>
                    </w:rPr>
                  </w:pPr>
                  <w:r>
                    <w:rPr>
                      <w:rFonts w:ascii="Times New Roman" w:hAnsi="Times New Roman" w:cs="Times New Roman"/>
                      <w:bCs/>
                      <w:color w:val="auto"/>
                      <w:sz w:val="18"/>
                      <w:szCs w:val="18"/>
                    </w:rPr>
                    <w:t>污染物排放监控位置</w:t>
                  </w:r>
                </w:p>
              </w:tc>
            </w:tr>
            <w:tr w14:paraId="252B3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596" w:type="pct"/>
                  <w:noWrap w:val="0"/>
                  <w:vAlign w:val="center"/>
                </w:tcPr>
                <w:p w14:paraId="40D531AF">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非甲烷总烃</w:t>
                  </w:r>
                </w:p>
              </w:tc>
              <w:tc>
                <w:tcPr>
                  <w:tcW w:w="1658" w:type="pct"/>
                  <w:noWrap w:val="0"/>
                  <w:vAlign w:val="center"/>
                </w:tcPr>
                <w:p w14:paraId="1B2E3481">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60</w:t>
                  </w:r>
                </w:p>
              </w:tc>
              <w:tc>
                <w:tcPr>
                  <w:tcW w:w="1744" w:type="pct"/>
                  <w:vMerge w:val="restart"/>
                  <w:noWrap w:val="0"/>
                  <w:vAlign w:val="center"/>
                </w:tcPr>
                <w:p w14:paraId="1776D838">
                  <w:pPr>
                    <w:widowControl/>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车间或生产设施排气</w:t>
                  </w:r>
                  <w:r>
                    <w:rPr>
                      <w:rFonts w:ascii="Times New Roman" w:hAnsi="Times New Roman" w:cs="Times New Roman"/>
                      <w:color w:val="auto"/>
                      <w:sz w:val="18"/>
                      <w:szCs w:val="18"/>
                    </w:rPr>
                    <w:t>筒</w:t>
                  </w:r>
                </w:p>
              </w:tc>
            </w:tr>
            <w:tr w14:paraId="6FC1D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3A8B1488">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颗粒物</w:t>
                  </w:r>
                </w:p>
              </w:tc>
              <w:tc>
                <w:tcPr>
                  <w:tcW w:w="1658" w:type="pct"/>
                  <w:noWrap w:val="0"/>
                  <w:vAlign w:val="center"/>
                </w:tcPr>
                <w:p w14:paraId="2A1EC5DB">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1744" w:type="pct"/>
                  <w:vMerge w:val="continue"/>
                  <w:noWrap w:val="0"/>
                  <w:vAlign w:val="center"/>
                </w:tcPr>
                <w:p w14:paraId="321D358F">
                  <w:pPr>
                    <w:widowControl/>
                    <w:jc w:val="left"/>
                    <w:rPr>
                      <w:rFonts w:ascii="Times New Roman" w:hAnsi="Times New Roman" w:cs="Times New Roman"/>
                      <w:color w:val="auto"/>
                      <w:kern w:val="0"/>
                      <w:sz w:val="18"/>
                      <w:szCs w:val="18"/>
                    </w:rPr>
                  </w:pPr>
                </w:p>
              </w:tc>
            </w:tr>
            <w:tr w14:paraId="1C968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533F1853">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苯乙烯</w:t>
                  </w:r>
                </w:p>
              </w:tc>
              <w:tc>
                <w:tcPr>
                  <w:tcW w:w="1658" w:type="pct"/>
                  <w:noWrap w:val="0"/>
                  <w:vAlign w:val="center"/>
                </w:tcPr>
                <w:p w14:paraId="7DA284F3">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1744" w:type="pct"/>
                  <w:vMerge w:val="continue"/>
                  <w:noWrap w:val="0"/>
                  <w:vAlign w:val="center"/>
                </w:tcPr>
                <w:p w14:paraId="3266D976">
                  <w:pPr>
                    <w:widowControl/>
                    <w:jc w:val="left"/>
                    <w:rPr>
                      <w:rFonts w:ascii="Times New Roman" w:hAnsi="Times New Roman" w:cs="Times New Roman"/>
                      <w:color w:val="auto"/>
                      <w:kern w:val="0"/>
                      <w:sz w:val="18"/>
                      <w:szCs w:val="18"/>
                    </w:rPr>
                  </w:pPr>
                </w:p>
              </w:tc>
            </w:tr>
            <w:tr w14:paraId="70EDF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7D87E939">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丙烯腈</w:t>
                  </w:r>
                </w:p>
              </w:tc>
              <w:tc>
                <w:tcPr>
                  <w:tcW w:w="1658" w:type="pct"/>
                  <w:noWrap w:val="0"/>
                  <w:vAlign w:val="center"/>
                </w:tcPr>
                <w:p w14:paraId="0C5EABEF">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0.5</w:t>
                  </w:r>
                </w:p>
              </w:tc>
              <w:tc>
                <w:tcPr>
                  <w:tcW w:w="1744" w:type="pct"/>
                  <w:vMerge w:val="continue"/>
                  <w:noWrap w:val="0"/>
                  <w:vAlign w:val="center"/>
                </w:tcPr>
                <w:p w14:paraId="2A326017">
                  <w:pPr>
                    <w:widowControl/>
                    <w:jc w:val="left"/>
                    <w:rPr>
                      <w:rFonts w:ascii="Times New Roman" w:hAnsi="Times New Roman" w:cs="Times New Roman"/>
                      <w:color w:val="auto"/>
                      <w:kern w:val="0"/>
                      <w:sz w:val="18"/>
                      <w:szCs w:val="18"/>
                    </w:rPr>
                  </w:pPr>
                </w:p>
              </w:tc>
            </w:tr>
            <w:tr w14:paraId="59473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1703E4C3">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1,3-丁二烯</w:t>
                  </w:r>
                  <w:r>
                    <w:rPr>
                      <w:rFonts w:hint="eastAsia" w:ascii="Times New Roman" w:hAnsi="Times New Roman" w:cs="Times New Roman"/>
                      <w:color w:val="auto"/>
                      <w:sz w:val="18"/>
                      <w:szCs w:val="18"/>
                    </w:rPr>
                    <w:t>*</w:t>
                  </w:r>
                </w:p>
              </w:tc>
              <w:tc>
                <w:tcPr>
                  <w:tcW w:w="1658" w:type="pct"/>
                  <w:noWrap w:val="0"/>
                  <w:vAlign w:val="center"/>
                </w:tcPr>
                <w:p w14:paraId="3B2A2A4E">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1744" w:type="pct"/>
                  <w:vMerge w:val="continue"/>
                  <w:noWrap w:val="0"/>
                  <w:vAlign w:val="center"/>
                </w:tcPr>
                <w:p w14:paraId="70ED3D0D">
                  <w:pPr>
                    <w:widowControl/>
                    <w:jc w:val="left"/>
                    <w:rPr>
                      <w:rFonts w:ascii="Times New Roman" w:hAnsi="Times New Roman" w:cs="Times New Roman"/>
                      <w:color w:val="auto"/>
                      <w:kern w:val="0"/>
                      <w:sz w:val="18"/>
                      <w:szCs w:val="18"/>
                    </w:rPr>
                  </w:pPr>
                </w:p>
              </w:tc>
            </w:tr>
            <w:tr w14:paraId="26066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4D6A9983">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氨</w:t>
                  </w:r>
                </w:p>
              </w:tc>
              <w:tc>
                <w:tcPr>
                  <w:tcW w:w="1658" w:type="pct"/>
                  <w:noWrap w:val="0"/>
                  <w:vAlign w:val="center"/>
                </w:tcPr>
                <w:p w14:paraId="0BFFC27F">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20</w:t>
                  </w:r>
                </w:p>
              </w:tc>
              <w:tc>
                <w:tcPr>
                  <w:tcW w:w="1744" w:type="pct"/>
                  <w:vMerge w:val="continue"/>
                  <w:noWrap w:val="0"/>
                  <w:vAlign w:val="center"/>
                </w:tcPr>
                <w:p w14:paraId="60837C6B">
                  <w:pPr>
                    <w:widowControl/>
                    <w:jc w:val="left"/>
                    <w:rPr>
                      <w:rFonts w:ascii="Times New Roman" w:hAnsi="Times New Roman" w:cs="Times New Roman"/>
                      <w:color w:val="auto"/>
                      <w:kern w:val="0"/>
                      <w:sz w:val="18"/>
                      <w:szCs w:val="18"/>
                    </w:rPr>
                  </w:pPr>
                </w:p>
              </w:tc>
            </w:tr>
            <w:tr w14:paraId="7E800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1D67F4B7">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甲苯</w:t>
                  </w:r>
                </w:p>
              </w:tc>
              <w:tc>
                <w:tcPr>
                  <w:tcW w:w="1658" w:type="pct"/>
                  <w:noWrap w:val="0"/>
                  <w:vAlign w:val="center"/>
                </w:tcPr>
                <w:p w14:paraId="6DB4F61B">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8</w:t>
                  </w:r>
                </w:p>
              </w:tc>
              <w:tc>
                <w:tcPr>
                  <w:tcW w:w="1744" w:type="pct"/>
                  <w:vMerge w:val="continue"/>
                  <w:noWrap w:val="0"/>
                  <w:vAlign w:val="center"/>
                </w:tcPr>
                <w:p w14:paraId="6544E19D">
                  <w:pPr>
                    <w:widowControl/>
                    <w:jc w:val="left"/>
                    <w:rPr>
                      <w:rFonts w:ascii="Times New Roman" w:hAnsi="Times New Roman" w:cs="Times New Roman"/>
                      <w:color w:val="auto"/>
                      <w:kern w:val="0"/>
                      <w:sz w:val="18"/>
                      <w:szCs w:val="18"/>
                    </w:rPr>
                  </w:pPr>
                </w:p>
              </w:tc>
            </w:tr>
            <w:tr w14:paraId="3AFA3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2F9E1625">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乙苯</w:t>
                  </w:r>
                </w:p>
              </w:tc>
              <w:tc>
                <w:tcPr>
                  <w:tcW w:w="1658" w:type="pct"/>
                  <w:noWrap w:val="0"/>
                  <w:vAlign w:val="center"/>
                </w:tcPr>
                <w:p w14:paraId="7E52809C">
                  <w:pPr>
                    <w:pStyle w:val="59"/>
                    <w:widowControl/>
                    <w:spacing w:beforeLines="0" w:afterLines="0" w:line="240" w:lineRule="auto"/>
                    <w:ind w:left="780" w:leftChars="200" w:hanging="360" w:hangingChars="200"/>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rPr>
                    <w:t>50</w:t>
                  </w:r>
                </w:p>
              </w:tc>
              <w:tc>
                <w:tcPr>
                  <w:tcW w:w="1744" w:type="pct"/>
                  <w:vMerge w:val="continue"/>
                  <w:noWrap w:val="0"/>
                  <w:vAlign w:val="center"/>
                </w:tcPr>
                <w:p w14:paraId="66EAFCD5">
                  <w:pPr>
                    <w:widowControl/>
                    <w:jc w:val="left"/>
                    <w:rPr>
                      <w:rFonts w:ascii="Times New Roman" w:hAnsi="Times New Roman" w:cs="Times New Roman"/>
                      <w:color w:val="auto"/>
                      <w:kern w:val="0"/>
                      <w:sz w:val="18"/>
                      <w:szCs w:val="18"/>
                    </w:rPr>
                  </w:pPr>
                </w:p>
              </w:tc>
            </w:tr>
            <w:tr w14:paraId="2628E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78E36B73">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颗粒物</w:t>
                  </w:r>
                </w:p>
              </w:tc>
              <w:tc>
                <w:tcPr>
                  <w:tcW w:w="1658" w:type="pct"/>
                  <w:noWrap w:val="0"/>
                  <w:vAlign w:val="center"/>
                </w:tcPr>
                <w:p w14:paraId="6D5273B0">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1744" w:type="pct"/>
                  <w:vMerge w:val="restart"/>
                  <w:noWrap w:val="0"/>
                  <w:vAlign w:val="center"/>
                </w:tcPr>
                <w:p w14:paraId="20E56B16">
                  <w:pPr>
                    <w:widowControl/>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企业边界</w:t>
                  </w:r>
                </w:p>
              </w:tc>
            </w:tr>
            <w:tr w14:paraId="32937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17CB5D5E">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甲苯</w:t>
                  </w:r>
                </w:p>
              </w:tc>
              <w:tc>
                <w:tcPr>
                  <w:tcW w:w="1658" w:type="pct"/>
                  <w:noWrap w:val="0"/>
                  <w:vAlign w:val="center"/>
                </w:tcPr>
                <w:p w14:paraId="2F042153">
                  <w:pPr>
                    <w:pStyle w:val="59"/>
                    <w:widowControl/>
                    <w:spacing w:beforeLines="0" w:afterLines="0" w:line="240" w:lineRule="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0.8</w:t>
                  </w:r>
                </w:p>
              </w:tc>
              <w:tc>
                <w:tcPr>
                  <w:tcW w:w="1744" w:type="pct"/>
                  <w:vMerge w:val="continue"/>
                  <w:noWrap w:val="0"/>
                  <w:vAlign w:val="center"/>
                </w:tcPr>
                <w:p w14:paraId="65073F0B">
                  <w:pPr>
                    <w:widowControl/>
                    <w:jc w:val="left"/>
                    <w:rPr>
                      <w:rFonts w:ascii="Times New Roman" w:hAnsi="Times New Roman" w:cs="Times New Roman"/>
                      <w:color w:val="auto"/>
                      <w:kern w:val="0"/>
                      <w:sz w:val="18"/>
                      <w:szCs w:val="18"/>
                    </w:rPr>
                  </w:pPr>
                </w:p>
              </w:tc>
            </w:tr>
            <w:tr w14:paraId="309A7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96" w:type="pct"/>
                  <w:noWrap w:val="0"/>
                  <w:vAlign w:val="center"/>
                </w:tcPr>
                <w:p w14:paraId="2613C47D">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非甲烷总烃</w:t>
                  </w:r>
                </w:p>
              </w:tc>
              <w:tc>
                <w:tcPr>
                  <w:tcW w:w="1658" w:type="pct"/>
                  <w:noWrap w:val="0"/>
                  <w:vAlign w:val="center"/>
                </w:tcPr>
                <w:p w14:paraId="37E930EE">
                  <w:pPr>
                    <w:pStyle w:val="59"/>
                    <w:widowControl/>
                    <w:spacing w:beforeLines="0" w:afterLines="0" w:line="240" w:lineRule="auto"/>
                    <w:rPr>
                      <w:rFonts w:ascii="Times New Roman" w:hAnsi="Times New Roman" w:cs="Times New Roman"/>
                      <w:color w:val="auto"/>
                      <w:sz w:val="18"/>
                      <w:szCs w:val="18"/>
                    </w:rPr>
                  </w:pPr>
                  <w:r>
                    <w:rPr>
                      <w:rFonts w:ascii="Times New Roman" w:hAnsi="Times New Roman" w:cs="Times New Roman"/>
                      <w:color w:val="auto"/>
                      <w:sz w:val="18"/>
                      <w:szCs w:val="18"/>
                    </w:rPr>
                    <w:t>4.0</w:t>
                  </w:r>
                </w:p>
              </w:tc>
              <w:tc>
                <w:tcPr>
                  <w:tcW w:w="1744" w:type="pct"/>
                  <w:vMerge w:val="continue"/>
                  <w:noWrap w:val="0"/>
                  <w:vAlign w:val="center"/>
                </w:tcPr>
                <w:p w14:paraId="1F5270BE">
                  <w:pPr>
                    <w:widowControl/>
                    <w:jc w:val="left"/>
                    <w:rPr>
                      <w:rFonts w:ascii="Times New Roman" w:hAnsi="Times New Roman" w:cs="Times New Roman"/>
                      <w:color w:val="auto"/>
                      <w:kern w:val="0"/>
                      <w:sz w:val="18"/>
                      <w:szCs w:val="18"/>
                    </w:rPr>
                  </w:pPr>
                </w:p>
              </w:tc>
            </w:tr>
            <w:tr w14:paraId="1C135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5000" w:type="pct"/>
                  <w:gridSpan w:val="3"/>
                  <w:noWrap w:val="0"/>
                  <w:vAlign w:val="center"/>
                </w:tcPr>
                <w:p w14:paraId="72713AD1">
                  <w:pPr>
                    <w:widowControl/>
                    <w:jc w:val="left"/>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备注：</w:t>
                  </w:r>
                  <w:r>
                    <w:rPr>
                      <w:rFonts w:hint="eastAsia" w:ascii="Times New Roman" w:hAnsi="Times New Roman" w:cs="Times New Roman"/>
                      <w:color w:val="auto"/>
                      <w:sz w:val="18"/>
                      <w:szCs w:val="18"/>
                    </w:rPr>
                    <w:t>*</w:t>
                  </w:r>
                  <w:r>
                    <w:rPr>
                      <w:rFonts w:hint="eastAsia" w:cs="Times New Roman"/>
                      <w:color w:val="auto"/>
                      <w:kern w:val="0"/>
                      <w:sz w:val="18"/>
                      <w:szCs w:val="18"/>
                      <w:lang w:val="en-US" w:eastAsia="zh-CN"/>
                    </w:rPr>
                    <w:t>待国家污染物监测方法标准发布后实施。</w:t>
                  </w:r>
                </w:p>
              </w:tc>
            </w:tr>
          </w:tbl>
          <w:p w14:paraId="53BAAC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18"/>
                <w:szCs w:val="18"/>
              </w:rPr>
            </w:pPr>
          </w:p>
          <w:p w14:paraId="568D3566">
            <w:pPr>
              <w:adjustRightInd w:val="0"/>
              <w:snapToGrid w:val="0"/>
              <w:ind w:right="238"/>
              <w:jc w:val="center"/>
              <w:rPr>
                <w:rFonts w:hint="default" w:ascii="Times New Roman" w:hAnsi="Times New Roman" w:cs="Times New Roman"/>
                <w:b/>
                <w:color w:val="auto"/>
                <w:szCs w:val="21"/>
              </w:rPr>
            </w:pPr>
            <w:r>
              <w:rPr>
                <w:rFonts w:hint="default" w:ascii="Times New Roman" w:hAnsi="Times New Roman" w:cs="Times New Roman"/>
                <w:b/>
                <w:bCs/>
                <w:caps/>
                <w:color w:val="auto"/>
                <w:kern w:val="0"/>
                <w:szCs w:val="21"/>
                <w:lang w:eastAsia="zh-CN"/>
              </w:rPr>
              <w:t>表</w:t>
            </w:r>
            <w:r>
              <w:rPr>
                <w:rFonts w:hint="default" w:ascii="Times New Roman" w:hAnsi="Times New Roman" w:cs="Times New Roman"/>
                <w:b/>
                <w:bCs/>
                <w:caps/>
                <w:color w:val="auto"/>
                <w:kern w:val="0"/>
                <w:szCs w:val="21"/>
                <w:lang w:val="en-US" w:eastAsia="zh-CN"/>
              </w:rPr>
              <w:t>3-</w:t>
            </w:r>
            <w:r>
              <w:rPr>
                <w:rFonts w:hint="eastAsia" w:ascii="Times New Roman" w:hAnsi="Times New Roman" w:cs="Times New Roman"/>
                <w:b/>
                <w:bCs/>
                <w:caps/>
                <w:color w:val="auto"/>
                <w:kern w:val="0"/>
                <w:szCs w:val="21"/>
                <w:lang w:val="en-US" w:eastAsia="zh-CN"/>
              </w:rPr>
              <w:t>5</w:t>
            </w:r>
            <w:r>
              <w:rPr>
                <w:rFonts w:hint="default" w:ascii="Times New Roman" w:hAnsi="Times New Roman" w:cs="Times New Roman"/>
                <w:b/>
                <w:bCs/>
                <w:caps/>
                <w:color w:val="auto"/>
                <w:kern w:val="0"/>
                <w:szCs w:val="21"/>
                <w:lang w:val="en-US" w:eastAsia="zh-CN"/>
              </w:rPr>
              <w:t xml:space="preserve">  《</w:t>
            </w:r>
            <w:r>
              <w:rPr>
                <w:rFonts w:hint="default" w:ascii="Times New Roman" w:hAnsi="Times New Roman" w:cs="Times New Roman"/>
                <w:b/>
                <w:color w:val="auto"/>
                <w:szCs w:val="21"/>
              </w:rPr>
              <w:t>挥发性有机物无组织排放控制标准》（</w:t>
            </w:r>
            <w:r>
              <w:rPr>
                <w:rFonts w:hint="eastAsia" w:cs="Times New Roman"/>
                <w:b/>
                <w:color w:val="auto"/>
                <w:szCs w:val="21"/>
                <w:lang w:eastAsia="zh-CN"/>
              </w:rPr>
              <w:t>GB 37822-2019</w:t>
            </w:r>
            <w:r>
              <w:rPr>
                <w:rFonts w:hint="default" w:ascii="Times New Roman" w:hAnsi="Times New Roman" w:cs="Times New Roman"/>
                <w:b/>
                <w:color w:val="auto"/>
                <w:szCs w:val="21"/>
              </w:rPr>
              <w:t>）表A.1标准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2059"/>
              <w:gridCol w:w="2444"/>
              <w:gridCol w:w="1990"/>
            </w:tblGrid>
            <w:tr w14:paraId="6B6AC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4" w:hRule="atLeast"/>
                <w:jc w:val="center"/>
              </w:trPr>
              <w:tc>
                <w:tcPr>
                  <w:tcW w:w="1024" w:type="pct"/>
                  <w:noWrap w:val="0"/>
                  <w:vAlign w:val="center"/>
                </w:tcPr>
                <w:p w14:paraId="0F66F54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污染物</w:t>
                  </w:r>
                </w:p>
              </w:tc>
              <w:tc>
                <w:tcPr>
                  <w:tcW w:w="1260" w:type="pct"/>
                  <w:noWrap w:val="0"/>
                  <w:vAlign w:val="center"/>
                </w:tcPr>
                <w:p w14:paraId="5A3EB99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特别排放限值（mg/m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w:t>
                  </w:r>
                </w:p>
              </w:tc>
              <w:tc>
                <w:tcPr>
                  <w:tcW w:w="1496" w:type="pct"/>
                  <w:noWrap w:val="0"/>
                  <w:vAlign w:val="center"/>
                </w:tcPr>
                <w:p w14:paraId="01DB8B8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限值含义</w:t>
                  </w:r>
                </w:p>
              </w:tc>
              <w:tc>
                <w:tcPr>
                  <w:tcW w:w="1218" w:type="pct"/>
                  <w:noWrap w:val="0"/>
                  <w:vAlign w:val="center"/>
                </w:tcPr>
                <w:p w14:paraId="1593E9BC">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无组织排放监控位置</w:t>
                  </w:r>
                </w:p>
              </w:tc>
            </w:tr>
            <w:tr w14:paraId="4BCC0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1024" w:type="pct"/>
                  <w:vMerge w:val="restart"/>
                  <w:noWrap w:val="0"/>
                  <w:vAlign w:val="center"/>
                </w:tcPr>
                <w:p w14:paraId="58CC6909">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NMHC</w:t>
                  </w:r>
                </w:p>
                <w:p w14:paraId="1FAD8A39">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1260" w:type="pct"/>
                  <w:noWrap w:val="0"/>
                  <w:vAlign w:val="center"/>
                </w:tcPr>
                <w:p w14:paraId="65D7157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496" w:type="pct"/>
                  <w:noWrap w:val="0"/>
                  <w:vAlign w:val="center"/>
                </w:tcPr>
                <w:p w14:paraId="33693BB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监控点处1h平均浓度值</w:t>
                  </w:r>
                </w:p>
              </w:tc>
              <w:tc>
                <w:tcPr>
                  <w:tcW w:w="1218" w:type="pct"/>
                  <w:vMerge w:val="restart"/>
                  <w:noWrap w:val="0"/>
                  <w:vAlign w:val="center"/>
                </w:tcPr>
                <w:p w14:paraId="2AC9DB70">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在厂房外设置监控点</w:t>
                  </w:r>
                </w:p>
              </w:tc>
            </w:tr>
            <w:tr w14:paraId="215F4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8" w:hRule="atLeast"/>
                <w:jc w:val="center"/>
              </w:trPr>
              <w:tc>
                <w:tcPr>
                  <w:tcW w:w="1024" w:type="pct"/>
                  <w:vMerge w:val="continue"/>
                  <w:noWrap w:val="0"/>
                  <w:vAlign w:val="center"/>
                </w:tcPr>
                <w:p w14:paraId="463E4773">
                  <w:pPr>
                    <w:pStyle w:val="89"/>
                    <w:spacing w:line="240" w:lineRule="auto"/>
                    <w:jc w:val="center"/>
                    <w:rPr>
                      <w:rFonts w:hint="default" w:ascii="Times New Roman" w:hAnsi="Times New Roman" w:cs="Times New Roman"/>
                      <w:color w:val="auto"/>
                      <w:sz w:val="18"/>
                      <w:szCs w:val="18"/>
                    </w:rPr>
                  </w:pPr>
                </w:p>
              </w:tc>
              <w:tc>
                <w:tcPr>
                  <w:tcW w:w="1260" w:type="pct"/>
                  <w:noWrap w:val="0"/>
                  <w:vAlign w:val="center"/>
                </w:tcPr>
                <w:p w14:paraId="54706733">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96" w:type="pct"/>
                  <w:noWrap w:val="0"/>
                  <w:vAlign w:val="center"/>
                </w:tcPr>
                <w:p w14:paraId="371BF6AE">
                  <w:pPr>
                    <w:pStyle w:val="71"/>
                    <w:adjustRightInd w:val="0"/>
                    <w:snapToGrid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监控点处任意一次浓度值</w:t>
                  </w:r>
                </w:p>
              </w:tc>
              <w:tc>
                <w:tcPr>
                  <w:tcW w:w="1218" w:type="pct"/>
                  <w:vMerge w:val="continue"/>
                  <w:noWrap w:val="0"/>
                  <w:vAlign w:val="center"/>
                </w:tcPr>
                <w:p w14:paraId="2BB8F8FB">
                  <w:pPr>
                    <w:pStyle w:val="89"/>
                    <w:spacing w:line="240" w:lineRule="auto"/>
                    <w:jc w:val="center"/>
                    <w:rPr>
                      <w:rFonts w:hint="default" w:ascii="Times New Roman" w:hAnsi="Times New Roman" w:cs="Times New Roman"/>
                      <w:color w:val="auto"/>
                      <w:sz w:val="18"/>
                      <w:szCs w:val="18"/>
                    </w:rPr>
                  </w:pPr>
                </w:p>
              </w:tc>
            </w:tr>
            <w:tr w14:paraId="2AD25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8" w:hRule="atLeast"/>
                <w:jc w:val="center"/>
              </w:trPr>
              <w:tc>
                <w:tcPr>
                  <w:tcW w:w="1024" w:type="pct"/>
                  <w:vMerge w:val="continue"/>
                  <w:noWrap w:val="0"/>
                  <w:vAlign w:val="center"/>
                </w:tcPr>
                <w:p w14:paraId="6E37BC5E">
                  <w:pPr>
                    <w:pStyle w:val="89"/>
                    <w:spacing w:line="240" w:lineRule="auto"/>
                    <w:jc w:val="center"/>
                    <w:rPr>
                      <w:rFonts w:hint="default" w:ascii="Times New Roman" w:hAnsi="Times New Roman" w:cs="Times New Roman"/>
                      <w:color w:val="auto"/>
                      <w:sz w:val="18"/>
                      <w:szCs w:val="18"/>
                    </w:rPr>
                  </w:pPr>
                </w:p>
              </w:tc>
              <w:tc>
                <w:tcPr>
                  <w:tcW w:w="1260" w:type="pct"/>
                  <w:noWrap w:val="0"/>
                  <w:vAlign w:val="center"/>
                </w:tcPr>
                <w:p w14:paraId="14DBBDFD">
                  <w:pPr>
                    <w:pStyle w:val="89"/>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496" w:type="pct"/>
                  <w:noWrap w:val="0"/>
                  <w:vAlign w:val="center"/>
                </w:tcPr>
                <w:p w14:paraId="3A71F0D8">
                  <w:pPr>
                    <w:pStyle w:val="89"/>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监控点处任意一次浓度值</w:t>
                  </w:r>
                </w:p>
              </w:tc>
              <w:tc>
                <w:tcPr>
                  <w:tcW w:w="1218" w:type="pct"/>
                  <w:vMerge w:val="continue"/>
                  <w:noWrap w:val="0"/>
                  <w:vAlign w:val="center"/>
                </w:tcPr>
                <w:p w14:paraId="54D0E451">
                  <w:pPr>
                    <w:pStyle w:val="89"/>
                    <w:spacing w:line="240" w:lineRule="auto"/>
                    <w:jc w:val="center"/>
                    <w:rPr>
                      <w:rFonts w:hint="default" w:ascii="Times New Roman" w:hAnsi="Times New Roman" w:cs="Times New Roman"/>
                      <w:color w:val="auto"/>
                      <w:sz w:val="18"/>
                      <w:szCs w:val="18"/>
                    </w:rPr>
                  </w:pPr>
                </w:p>
              </w:tc>
            </w:tr>
          </w:tbl>
          <w:p w14:paraId="1E2C11F2">
            <w:pPr>
              <w:adjustRightInd w:val="0"/>
              <w:snapToGrid w:val="0"/>
              <w:spacing w:line="240" w:lineRule="auto"/>
              <w:jc w:val="center"/>
              <w:rPr>
                <w:rFonts w:hint="default" w:ascii="Times New Roman" w:hAnsi="Times New Roman" w:eastAsia="宋体" w:cs="Times New Roman"/>
                <w:b/>
                <w:bCs/>
                <w:color w:val="auto"/>
                <w:spacing w:val="-10"/>
                <w:sz w:val="21"/>
                <w:szCs w:val="21"/>
                <w:lang w:eastAsia="zh-CN"/>
              </w:rPr>
            </w:pPr>
            <w:r>
              <w:rPr>
                <w:rFonts w:hint="eastAsia" w:cs="Times New Roman"/>
                <w:b/>
                <w:bCs/>
                <w:caps/>
                <w:color w:val="auto"/>
                <w:kern w:val="0"/>
                <w:szCs w:val="21"/>
                <w:lang w:val="en-US" w:eastAsia="zh-CN"/>
              </w:rPr>
              <w:t xml:space="preserve">表3-6  </w:t>
            </w:r>
            <w:r>
              <w:rPr>
                <w:rFonts w:hint="default" w:ascii="Times New Roman" w:hAnsi="Times New Roman" w:eastAsia="宋体" w:cs="Times New Roman"/>
                <w:b/>
                <w:bCs/>
                <w:color w:val="auto"/>
                <w:spacing w:val="-10"/>
                <w:sz w:val="21"/>
                <w:szCs w:val="21"/>
                <w:lang w:eastAsia="zh-CN"/>
              </w:rPr>
              <w:t>《恶臭污染物排放标准》（</w:t>
            </w:r>
            <w:r>
              <w:rPr>
                <w:rFonts w:hint="eastAsia" w:cs="Times New Roman"/>
                <w:b/>
                <w:bCs/>
                <w:color w:val="auto"/>
                <w:spacing w:val="-10"/>
                <w:sz w:val="21"/>
                <w:szCs w:val="21"/>
                <w:lang w:eastAsia="zh-CN"/>
              </w:rPr>
              <w:t>GB 14554</w:t>
            </w:r>
            <w:r>
              <w:rPr>
                <w:rFonts w:hint="default" w:ascii="Times New Roman" w:hAnsi="Times New Roman" w:eastAsia="宋体" w:cs="Times New Roman"/>
                <w:b/>
                <w:bCs/>
                <w:color w:val="auto"/>
                <w:spacing w:val="-10"/>
                <w:sz w:val="21"/>
                <w:szCs w:val="21"/>
                <w:lang w:eastAsia="zh-CN"/>
              </w:rPr>
              <w:t>-93）</w:t>
            </w:r>
          </w:p>
          <w:tbl>
            <w:tblPr>
              <w:tblStyle w:val="30"/>
              <w:tblW w:w="499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759"/>
              <w:gridCol w:w="4408"/>
            </w:tblGrid>
            <w:tr w14:paraId="1A0C84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9" w:hRule="atLeast"/>
                <w:jc w:val="center"/>
              </w:trPr>
              <w:tc>
                <w:tcPr>
                  <w:tcW w:w="2301" w:type="pct"/>
                  <w:noWrap w:val="0"/>
                  <w:vAlign w:val="center"/>
                </w:tcPr>
                <w:p w14:paraId="44832A03">
                  <w:pPr>
                    <w:pStyle w:val="71"/>
                    <w:adjustRightInd w:val="0"/>
                    <w:snapToGrid w:val="0"/>
                    <w:rPr>
                      <w:rFonts w:hint="default" w:ascii="Times New Roman" w:hAnsi="Times New Roman" w:eastAsia="宋体" w:cs="Times New Roman"/>
                      <w:color w:val="auto"/>
                      <w:lang w:val="en-US" w:eastAsia="zh-CN"/>
                    </w:rPr>
                  </w:pPr>
                  <w:r>
                    <w:rPr>
                      <w:rFonts w:hint="eastAsia" w:cs="Times New Roman"/>
                      <w:color w:val="auto"/>
                      <w:lang w:val="en-US" w:eastAsia="zh-CN"/>
                    </w:rPr>
                    <w:t>污染物</w:t>
                  </w:r>
                </w:p>
              </w:tc>
              <w:tc>
                <w:tcPr>
                  <w:tcW w:w="2698" w:type="pct"/>
                  <w:noWrap w:val="0"/>
                  <w:vAlign w:val="center"/>
                </w:tcPr>
                <w:p w14:paraId="04E4C985">
                  <w:pPr>
                    <w:pStyle w:val="71"/>
                    <w:adjustRightInd w:val="0"/>
                    <w:snapToGrid w:val="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r>
            <w:tr w14:paraId="767614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4" w:hRule="atLeast"/>
                <w:jc w:val="center"/>
              </w:trPr>
              <w:tc>
                <w:tcPr>
                  <w:tcW w:w="2301" w:type="pct"/>
                  <w:noWrap w:val="0"/>
                  <w:vAlign w:val="center"/>
                </w:tcPr>
                <w:p w14:paraId="0A1934A5">
                  <w:pPr>
                    <w:pStyle w:val="71"/>
                    <w:adjustRightInd w:val="0"/>
                    <w:snapToGrid w:val="0"/>
                    <w:rPr>
                      <w:rFonts w:hint="default" w:ascii="Times New Roman" w:hAnsi="Times New Roman" w:eastAsia="宋体" w:cs="Times New Roman"/>
                      <w:color w:val="auto"/>
                      <w:lang w:val="en-US" w:eastAsia="zh-CN"/>
                    </w:rPr>
                  </w:pPr>
                  <w:r>
                    <w:rPr>
                      <w:rFonts w:hint="eastAsia" w:cs="Times New Roman"/>
                      <w:color w:val="auto"/>
                      <w:lang w:val="en-US" w:eastAsia="zh-CN"/>
                    </w:rPr>
                    <w:t>臭气浓度</w:t>
                  </w:r>
                </w:p>
              </w:tc>
              <w:tc>
                <w:tcPr>
                  <w:tcW w:w="2698" w:type="pct"/>
                  <w:noWrap w:val="0"/>
                  <w:vAlign w:val="center"/>
                </w:tcPr>
                <w:p w14:paraId="4C8691CD">
                  <w:pPr>
                    <w:pStyle w:val="71"/>
                    <w:adjustRightInd w:val="0"/>
                    <w:snapToGrid w:val="0"/>
                    <w:rPr>
                      <w:rFonts w:hint="default" w:ascii="Times New Roman" w:hAnsi="Times New Roman" w:eastAsia="宋体" w:cs="Times New Roman"/>
                      <w:color w:val="auto"/>
                      <w:lang w:val="en-US" w:eastAsia="zh-CN"/>
                    </w:rPr>
                  </w:pPr>
                  <w:r>
                    <w:rPr>
                      <w:rFonts w:hint="eastAsia" w:cs="Times New Roman"/>
                      <w:color w:val="auto"/>
                      <w:lang w:val="en-US" w:eastAsia="zh-CN"/>
                    </w:rPr>
                    <w:t>20（无量纲）</w:t>
                  </w:r>
                </w:p>
              </w:tc>
            </w:tr>
          </w:tbl>
          <w:p w14:paraId="586D0458">
            <w:pPr>
              <w:adjustRightInd w:val="0"/>
              <w:snapToGrid w:val="0"/>
              <w:spacing w:line="360" w:lineRule="auto"/>
              <w:rPr>
                <w:rFonts w:hint="default" w:ascii="Times New Roman" w:hAnsi="Times New Roman" w:cs="Times New Roman"/>
                <w:b/>
                <w:bCs/>
                <w:caps/>
                <w:color w:val="auto"/>
                <w:kern w:val="0"/>
                <w:szCs w:val="21"/>
              </w:rPr>
            </w:pPr>
            <w:r>
              <w:rPr>
                <w:rFonts w:hint="default" w:ascii="Times New Roman" w:hAnsi="Times New Roman" w:cs="Times New Roman"/>
                <w:b/>
                <w:bCs/>
                <w:caps/>
                <w:color w:val="auto"/>
                <w:kern w:val="0"/>
                <w:szCs w:val="21"/>
              </w:rPr>
              <w:t>3.7.2废水</w:t>
            </w:r>
          </w:p>
          <w:p w14:paraId="2372909F">
            <w:pPr>
              <w:pStyle w:val="122"/>
              <w:ind w:firstLine="420"/>
              <w:rPr>
                <w:rFonts w:ascii="Times New Roman" w:hAnsi="Times New Roman"/>
                <w:color w:val="auto"/>
              </w:rPr>
            </w:pPr>
            <w:r>
              <w:rPr>
                <w:rFonts w:ascii="Times New Roman" w:hAnsi="Times New Roman"/>
                <w:color w:val="auto"/>
              </w:rPr>
              <w:t>项目排放的水污染物在</w:t>
            </w:r>
            <w:r>
              <w:rPr>
                <w:rFonts w:hint="eastAsia" w:ascii="Times New Roman" w:hAnsi="Times New Roman"/>
                <w:color w:val="auto"/>
                <w:lang w:eastAsia="zh-CN"/>
              </w:rPr>
              <w:t>《合成树脂工业污染排放标准》（GB 31572-2015），含2024年修改单）</w:t>
            </w:r>
            <w:r>
              <w:rPr>
                <w:rFonts w:ascii="Times New Roman" w:hAnsi="Times New Roman"/>
                <w:color w:val="auto"/>
              </w:rPr>
              <w:t>水污染物间接排放标准中无相应限值，按照园区接管要求，项目所识别的污染因子执行园区污水处理厂接管要求，即《污水综合排放标准》（GB8978-1996）三级标准。</w:t>
            </w:r>
          </w:p>
          <w:p w14:paraId="4289C36B">
            <w:pPr>
              <w:adjustRightInd w:val="0"/>
              <w:snapToGrid w:val="0"/>
              <w:spacing w:line="360" w:lineRule="auto"/>
              <w:ind w:firstLine="420" w:firstLineChars="200"/>
              <w:rPr>
                <w:rFonts w:hint="default" w:ascii="Times New Roman" w:hAnsi="Times New Roman" w:eastAsia="宋体" w:cs="Times New Roman"/>
                <w:b/>
                <w:bCs/>
                <w:caps/>
                <w:color w:val="auto"/>
                <w:kern w:val="0"/>
                <w:szCs w:val="21"/>
              </w:rPr>
            </w:pPr>
            <w:r>
              <w:rPr>
                <w:rFonts w:hint="default" w:ascii="Times New Roman" w:hAnsi="Times New Roman" w:eastAsia="宋体" w:cs="Times New Roman"/>
                <w:color w:val="auto"/>
                <w:szCs w:val="21"/>
              </w:rPr>
              <w:t>本项目所在区域属于</w:t>
            </w:r>
            <w:r>
              <w:rPr>
                <w:rFonts w:hint="eastAsia" w:ascii="Times New Roman" w:hAnsi="Times New Roman" w:cs="Times New Roman"/>
                <w:color w:val="auto"/>
                <w:szCs w:val="21"/>
                <w:lang w:eastAsia="zh-CN"/>
              </w:rPr>
              <w:t>南溪组团A区污水处理厂</w:t>
            </w:r>
            <w:r>
              <w:rPr>
                <w:rFonts w:hint="default" w:ascii="Times New Roman" w:hAnsi="Times New Roman" w:eastAsia="宋体" w:cs="Times New Roman"/>
                <w:color w:val="auto"/>
                <w:szCs w:val="21"/>
              </w:rPr>
              <w:t>服务范围，本项目营运期产生的废水主要</w:t>
            </w:r>
            <w:r>
              <w:rPr>
                <w:rFonts w:hint="default" w:ascii="Times New Roman" w:hAnsi="Times New Roman" w:eastAsia="宋体" w:cs="Times New Roman"/>
                <w:color w:val="auto"/>
                <w:szCs w:val="21"/>
                <w:lang w:eastAsia="zh-CN"/>
              </w:rPr>
              <w:t>为</w:t>
            </w:r>
            <w:r>
              <w:rPr>
                <w:rFonts w:hint="default" w:ascii="Times New Roman" w:hAnsi="Times New Roman" w:eastAsia="宋体" w:cs="Times New Roman"/>
                <w:color w:val="auto"/>
                <w:szCs w:val="21"/>
              </w:rPr>
              <w:t>生活污水</w:t>
            </w:r>
            <w:r>
              <w:rPr>
                <w:rFonts w:hint="eastAsia" w:ascii="Times New Roman" w:hAnsi="Times New Roman" w:cs="Times New Roman"/>
                <w:color w:val="auto"/>
                <w:szCs w:val="21"/>
                <w:lang w:eastAsia="zh-CN"/>
              </w:rPr>
              <w:t>、地面清洁废水等</w:t>
            </w:r>
            <w:r>
              <w:rPr>
                <w:rFonts w:hint="default" w:ascii="Times New Roman" w:hAnsi="Times New Roman" w:eastAsia="宋体" w:cs="Times New Roman"/>
                <w:color w:val="auto"/>
                <w:szCs w:val="21"/>
                <w:lang w:eastAsia="zh-CN"/>
              </w:rPr>
              <w:t>，</w:t>
            </w:r>
            <w:r>
              <w:rPr>
                <w:rFonts w:hint="eastAsia" w:ascii="Times New Roman" w:hAnsi="Times New Roman" w:cs="Times New Roman"/>
                <w:color w:val="auto"/>
                <w:szCs w:val="21"/>
                <w:lang w:eastAsia="zh-CN"/>
              </w:rPr>
              <w:t>废水</w:t>
            </w:r>
            <w:r>
              <w:rPr>
                <w:rFonts w:hint="default" w:ascii="Times New Roman" w:hAnsi="Times New Roman" w:eastAsia="宋体" w:cs="Times New Roman"/>
                <w:color w:val="auto"/>
                <w:szCs w:val="21"/>
                <w:lang w:eastAsia="zh-CN"/>
              </w:rPr>
              <w:t>依托现有生化池</w:t>
            </w:r>
            <w:r>
              <w:rPr>
                <w:rFonts w:hint="default" w:ascii="Times New Roman" w:hAnsi="Times New Roman" w:eastAsia="宋体" w:cs="Times New Roman"/>
                <w:color w:val="auto"/>
                <w:szCs w:val="21"/>
              </w:rPr>
              <w:t>处理达《污水综合排放标准》（</w:t>
            </w:r>
            <w:r>
              <w:rPr>
                <w:rFonts w:hint="eastAsia" w:cs="Times New Roman"/>
                <w:color w:val="auto"/>
                <w:szCs w:val="21"/>
                <w:lang w:eastAsia="zh-CN"/>
              </w:rPr>
              <w:t>GB 8978</w:t>
            </w:r>
            <w:r>
              <w:rPr>
                <w:rFonts w:hint="default" w:ascii="Times New Roman" w:hAnsi="Times New Roman" w:eastAsia="宋体" w:cs="Times New Roman"/>
                <w:color w:val="auto"/>
                <w:szCs w:val="21"/>
              </w:rPr>
              <w:t>-1996）三级标准后</w:t>
            </w:r>
            <w:r>
              <w:rPr>
                <w:rFonts w:hint="default" w:ascii="Times New Roman" w:hAnsi="Times New Roman" w:eastAsia="宋体" w:cs="Times New Roman"/>
                <w:color w:val="auto"/>
                <w:szCs w:val="21"/>
                <w:lang w:eastAsia="zh-CN"/>
              </w:rPr>
              <w:t>排</w:t>
            </w:r>
            <w:r>
              <w:rPr>
                <w:rFonts w:hint="default" w:ascii="Times New Roman" w:hAnsi="Times New Roman" w:eastAsia="宋体" w:cs="Times New Roman"/>
                <w:color w:val="auto"/>
                <w:szCs w:val="21"/>
              </w:rPr>
              <w:t>入</w:t>
            </w:r>
            <w:r>
              <w:rPr>
                <w:rFonts w:hint="default" w:ascii="Times New Roman" w:hAnsi="Times New Roman" w:eastAsia="宋体" w:cs="Times New Roman"/>
                <w:color w:val="auto"/>
                <w:szCs w:val="21"/>
                <w:lang w:eastAsia="zh-CN"/>
              </w:rPr>
              <w:t>园区</w:t>
            </w:r>
            <w:r>
              <w:rPr>
                <w:rFonts w:hint="default" w:ascii="Times New Roman" w:hAnsi="Times New Roman" w:eastAsia="宋体" w:cs="Times New Roman"/>
                <w:color w:val="auto"/>
                <w:szCs w:val="21"/>
              </w:rPr>
              <w:t>污水管网进入</w:t>
            </w:r>
            <w:r>
              <w:rPr>
                <w:rFonts w:hint="eastAsia" w:ascii="Times New Roman" w:hAnsi="Times New Roman" w:cs="Times New Roman"/>
                <w:color w:val="auto"/>
                <w:szCs w:val="21"/>
                <w:lang w:eastAsia="zh-CN"/>
              </w:rPr>
              <w:t>南溪组团A区污水处理厂</w:t>
            </w:r>
            <w:r>
              <w:rPr>
                <w:rFonts w:hint="default" w:ascii="Times New Roman" w:hAnsi="Times New Roman" w:eastAsia="宋体" w:cs="Times New Roman"/>
                <w:color w:val="auto"/>
                <w:szCs w:val="21"/>
              </w:rPr>
              <w:t>进一步处理</w:t>
            </w:r>
            <w:r>
              <w:rPr>
                <w:rFonts w:hint="eastAsia" w:ascii="Times New Roman" w:hAnsi="Times New Roman" w:cs="Times New Roman"/>
                <w:color w:val="auto"/>
                <w:szCs w:val="21"/>
                <w:lang w:eastAsia="zh-CN"/>
              </w:rPr>
              <w:t>达《城镇污水处理厂污染物排放标准》（</w:t>
            </w:r>
            <w:r>
              <w:rPr>
                <w:rFonts w:hint="eastAsia" w:cs="Times New Roman"/>
                <w:color w:val="auto"/>
                <w:szCs w:val="21"/>
                <w:lang w:eastAsia="zh-CN"/>
              </w:rPr>
              <w:t>GB 1891</w:t>
            </w:r>
            <w:r>
              <w:rPr>
                <w:rFonts w:hint="eastAsia" w:ascii="Times New Roman" w:hAnsi="Times New Roman" w:cs="Times New Roman"/>
                <w:color w:val="auto"/>
                <w:szCs w:val="21"/>
                <w:lang w:eastAsia="zh-CN"/>
              </w:rPr>
              <w:t>8-2002）一级B标后排入建梁河，最后汇入嘉陵江</w:t>
            </w:r>
            <w:r>
              <w:rPr>
                <w:rFonts w:hint="default" w:ascii="Times New Roman" w:hAnsi="Times New Roman" w:eastAsia="宋体" w:cs="Times New Roman"/>
                <w:color w:val="auto"/>
                <w:szCs w:val="21"/>
              </w:rPr>
              <w:t>。见表3-</w:t>
            </w:r>
            <w:r>
              <w:rPr>
                <w:rFonts w:hint="eastAsia" w:cs="Times New Roman"/>
                <w:color w:val="auto"/>
                <w:szCs w:val="21"/>
                <w:lang w:val="en-US" w:eastAsia="zh-CN"/>
              </w:rPr>
              <w:t>7</w:t>
            </w:r>
            <w:r>
              <w:rPr>
                <w:rFonts w:hint="default" w:ascii="Times New Roman" w:hAnsi="Times New Roman" w:eastAsia="宋体" w:cs="Times New Roman"/>
                <w:color w:val="auto"/>
                <w:szCs w:val="21"/>
              </w:rPr>
              <w:t>。</w:t>
            </w:r>
          </w:p>
          <w:p w14:paraId="34E4EC55">
            <w:pPr>
              <w:autoSpaceDE w:val="0"/>
              <w:autoSpaceDN w:val="0"/>
              <w:adjustRightInd w:val="0"/>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表3-</w:t>
            </w:r>
            <w:r>
              <w:rPr>
                <w:rFonts w:hint="eastAsia" w:cs="Times New Roman"/>
                <w:b/>
                <w:color w:val="auto"/>
                <w:szCs w:val="21"/>
                <w:lang w:val="en-US" w:eastAsia="zh-CN"/>
              </w:rPr>
              <w:t>7</w:t>
            </w:r>
            <w:r>
              <w:rPr>
                <w:rFonts w:hint="default" w:ascii="Times New Roman" w:hAnsi="Times New Roman" w:cs="Times New Roman"/>
                <w:b/>
                <w:color w:val="auto"/>
                <w:szCs w:val="21"/>
                <w:lang w:val="en-US" w:eastAsia="zh-CN"/>
              </w:rPr>
              <w:t xml:space="preserve">  </w:t>
            </w:r>
            <w:r>
              <w:rPr>
                <w:rFonts w:hint="default" w:ascii="Times New Roman" w:hAnsi="Times New Roman" w:eastAsia="宋体" w:cs="Times New Roman"/>
                <w:b/>
                <w:color w:val="auto"/>
                <w:szCs w:val="21"/>
              </w:rPr>
              <w:t>污水排放标准   单位：mg/L</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
              <w:gridCol w:w="3350"/>
              <w:gridCol w:w="958"/>
              <w:gridCol w:w="961"/>
              <w:gridCol w:w="961"/>
              <w:gridCol w:w="974"/>
              <w:gridCol w:w="959"/>
              <w:gridCol w:w="4"/>
            </w:tblGrid>
            <w:tr w14:paraId="2752F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051" w:type="pct"/>
                  <w:gridSpan w:val="2"/>
                  <w:noWrap w:val="0"/>
                  <w:vAlign w:val="center"/>
                </w:tcPr>
                <w:p w14:paraId="02930ABF">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指标</w:t>
                  </w:r>
                </w:p>
              </w:tc>
              <w:tc>
                <w:tcPr>
                  <w:tcW w:w="586" w:type="pct"/>
                  <w:noWrap w:val="0"/>
                  <w:vAlign w:val="center"/>
                </w:tcPr>
                <w:p w14:paraId="18AA7A94">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COD</w:t>
                  </w:r>
                </w:p>
              </w:tc>
              <w:tc>
                <w:tcPr>
                  <w:tcW w:w="588" w:type="pct"/>
                  <w:noWrap w:val="0"/>
                  <w:vAlign w:val="center"/>
                </w:tcPr>
                <w:p w14:paraId="55116452">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BOD</w:t>
                  </w:r>
                  <w:r>
                    <w:rPr>
                      <w:rFonts w:ascii="Times New Roman" w:hAnsi="Times New Roman" w:cs="Times New Roman"/>
                      <w:color w:val="auto"/>
                      <w:szCs w:val="21"/>
                      <w:vertAlign w:val="subscript"/>
                    </w:rPr>
                    <w:t>5</w:t>
                  </w:r>
                </w:p>
              </w:tc>
              <w:tc>
                <w:tcPr>
                  <w:tcW w:w="588" w:type="pct"/>
                  <w:noWrap w:val="0"/>
                  <w:vAlign w:val="center"/>
                </w:tcPr>
                <w:p w14:paraId="1B470F08">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SS</w:t>
                  </w:r>
                </w:p>
              </w:tc>
              <w:tc>
                <w:tcPr>
                  <w:tcW w:w="596" w:type="pct"/>
                  <w:noWrap w:val="0"/>
                  <w:vAlign w:val="center"/>
                </w:tcPr>
                <w:p w14:paraId="4719C2B1">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NH</w:t>
                  </w:r>
                  <w:r>
                    <w:rPr>
                      <w:rFonts w:ascii="Times New Roman" w:hAnsi="Times New Roman" w:cs="Times New Roman"/>
                      <w:color w:val="auto"/>
                      <w:szCs w:val="21"/>
                      <w:vertAlign w:val="subscript"/>
                    </w:rPr>
                    <w:t>3</w:t>
                  </w:r>
                  <w:r>
                    <w:rPr>
                      <w:rFonts w:ascii="Times New Roman" w:hAnsi="Times New Roman" w:cs="Times New Roman"/>
                      <w:color w:val="auto"/>
                      <w:szCs w:val="21"/>
                    </w:rPr>
                    <w:t>-N</w:t>
                  </w:r>
                </w:p>
              </w:tc>
              <w:tc>
                <w:tcPr>
                  <w:tcW w:w="588" w:type="pct"/>
                  <w:gridSpan w:val="2"/>
                  <w:noWrap w:val="0"/>
                  <w:vAlign w:val="center"/>
                </w:tcPr>
                <w:p w14:paraId="7655E6E5">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石油类</w:t>
                  </w:r>
                </w:p>
              </w:tc>
            </w:tr>
            <w:tr w14:paraId="242B3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051" w:type="pct"/>
                  <w:gridSpan w:val="2"/>
                  <w:noWrap w:val="0"/>
                  <w:vAlign w:val="center"/>
                </w:tcPr>
                <w:p w14:paraId="61CDFC55">
                  <w:pPr>
                    <w:ind w:left="-105" w:leftChars="-50" w:right="-105" w:rightChars="-50"/>
                    <w:rPr>
                      <w:rFonts w:ascii="Times New Roman" w:hAnsi="Times New Roman" w:cs="Times New Roman"/>
                      <w:color w:val="auto"/>
                      <w:szCs w:val="21"/>
                    </w:rPr>
                  </w:pPr>
                  <w:r>
                    <w:rPr>
                      <w:rFonts w:ascii="Times New Roman" w:hAnsi="Times New Roman" w:cs="Times New Roman"/>
                      <w:color w:val="auto"/>
                      <w:szCs w:val="21"/>
                    </w:rPr>
                    <w:t>《污水综合排放标准》（</w:t>
                  </w:r>
                  <w:r>
                    <w:rPr>
                      <w:rFonts w:hint="eastAsia" w:cs="Times New Roman"/>
                      <w:color w:val="auto"/>
                      <w:szCs w:val="21"/>
                      <w:lang w:eastAsia="zh-CN"/>
                    </w:rPr>
                    <w:t>GB 8978</w:t>
                  </w:r>
                  <w:r>
                    <w:rPr>
                      <w:rFonts w:ascii="Times New Roman" w:hAnsi="Times New Roman" w:cs="Times New Roman"/>
                      <w:color w:val="auto"/>
                      <w:szCs w:val="21"/>
                    </w:rPr>
                    <w:t>-1996）三级标准</w:t>
                  </w:r>
                </w:p>
              </w:tc>
              <w:tc>
                <w:tcPr>
                  <w:tcW w:w="586" w:type="pct"/>
                  <w:noWrap w:val="0"/>
                  <w:vAlign w:val="center"/>
                </w:tcPr>
                <w:p w14:paraId="133897D2">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500</w:t>
                  </w:r>
                </w:p>
              </w:tc>
              <w:tc>
                <w:tcPr>
                  <w:tcW w:w="588" w:type="pct"/>
                  <w:noWrap w:val="0"/>
                  <w:vAlign w:val="center"/>
                </w:tcPr>
                <w:p w14:paraId="0268279C">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300</w:t>
                  </w:r>
                </w:p>
              </w:tc>
              <w:tc>
                <w:tcPr>
                  <w:tcW w:w="588" w:type="pct"/>
                  <w:noWrap w:val="0"/>
                  <w:vAlign w:val="center"/>
                </w:tcPr>
                <w:p w14:paraId="0F4CD2F1">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400</w:t>
                  </w:r>
                </w:p>
              </w:tc>
              <w:tc>
                <w:tcPr>
                  <w:tcW w:w="596" w:type="pct"/>
                  <w:noWrap w:val="0"/>
                  <w:vAlign w:val="center"/>
                </w:tcPr>
                <w:p w14:paraId="31BCEA17">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45</w:t>
                  </w:r>
                  <w:r>
                    <w:rPr>
                      <w:rFonts w:ascii="Times New Roman" w:hAnsi="Times New Roman" w:cs="Times New Roman"/>
                      <w:color w:val="auto"/>
                      <w:kern w:val="0"/>
                      <w:szCs w:val="18"/>
                      <w:vertAlign w:val="superscript"/>
                    </w:rPr>
                    <w:fldChar w:fldCharType="begin"/>
                  </w:r>
                  <w:r>
                    <w:rPr>
                      <w:rFonts w:ascii="Times New Roman" w:hAnsi="Times New Roman" w:cs="Times New Roman"/>
                      <w:color w:val="auto"/>
                      <w:kern w:val="0"/>
                      <w:szCs w:val="18"/>
                      <w:vertAlign w:val="superscript"/>
                    </w:rPr>
                    <w:instrText xml:space="preserve"> = 1 \* GB3 </w:instrText>
                  </w:r>
                  <w:r>
                    <w:rPr>
                      <w:rFonts w:ascii="Times New Roman" w:hAnsi="Times New Roman" w:cs="Times New Roman"/>
                      <w:color w:val="auto"/>
                      <w:kern w:val="0"/>
                      <w:szCs w:val="18"/>
                      <w:vertAlign w:val="superscript"/>
                    </w:rPr>
                    <w:fldChar w:fldCharType="separate"/>
                  </w:r>
                  <w:r>
                    <w:rPr>
                      <w:rFonts w:hint="eastAsia" w:ascii="宋体" w:hAnsi="宋体" w:cs="宋体"/>
                      <w:color w:val="auto"/>
                      <w:kern w:val="0"/>
                      <w:szCs w:val="18"/>
                      <w:vertAlign w:val="superscript"/>
                    </w:rPr>
                    <w:t>①</w:t>
                  </w:r>
                  <w:r>
                    <w:rPr>
                      <w:rFonts w:ascii="Times New Roman" w:hAnsi="Times New Roman" w:cs="Times New Roman"/>
                      <w:color w:val="auto"/>
                      <w:kern w:val="0"/>
                      <w:szCs w:val="18"/>
                      <w:vertAlign w:val="superscript"/>
                    </w:rPr>
                    <w:fldChar w:fldCharType="end"/>
                  </w:r>
                </w:p>
              </w:tc>
              <w:tc>
                <w:tcPr>
                  <w:tcW w:w="588" w:type="pct"/>
                  <w:gridSpan w:val="2"/>
                  <w:noWrap w:val="0"/>
                  <w:vAlign w:val="center"/>
                </w:tcPr>
                <w:p w14:paraId="66933198">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20</w:t>
                  </w:r>
                </w:p>
              </w:tc>
            </w:tr>
            <w:tr w14:paraId="6DEF6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051" w:type="pct"/>
                  <w:gridSpan w:val="2"/>
                  <w:noWrap w:val="0"/>
                  <w:vAlign w:val="center"/>
                </w:tcPr>
                <w:p w14:paraId="25DF4211">
                  <w:pPr>
                    <w:ind w:left="-105" w:leftChars="-50" w:right="-105" w:rightChars="-50"/>
                    <w:rPr>
                      <w:rFonts w:ascii="Times New Roman" w:hAnsi="Times New Roman" w:cs="Times New Roman"/>
                      <w:color w:val="auto"/>
                      <w:szCs w:val="21"/>
                    </w:rPr>
                  </w:pPr>
                  <w:r>
                    <w:rPr>
                      <w:rFonts w:ascii="Times New Roman" w:hAnsi="Times New Roman" w:cs="Times New Roman"/>
                      <w:color w:val="auto"/>
                      <w:szCs w:val="21"/>
                    </w:rPr>
                    <w:t>《城镇污水处理厂污染物排放标准》（</w:t>
                  </w:r>
                  <w:r>
                    <w:rPr>
                      <w:rFonts w:hint="eastAsia" w:cs="Times New Roman"/>
                      <w:color w:val="auto"/>
                      <w:szCs w:val="21"/>
                      <w:lang w:eastAsia="zh-CN"/>
                    </w:rPr>
                    <w:t>GB 1891</w:t>
                  </w:r>
                  <w:r>
                    <w:rPr>
                      <w:rFonts w:ascii="Times New Roman" w:hAnsi="Times New Roman" w:cs="Times New Roman"/>
                      <w:color w:val="auto"/>
                      <w:szCs w:val="21"/>
                    </w:rPr>
                    <w:t>8-2002）一级B标准</w:t>
                  </w:r>
                </w:p>
              </w:tc>
              <w:tc>
                <w:tcPr>
                  <w:tcW w:w="586" w:type="pct"/>
                  <w:noWrap w:val="0"/>
                  <w:vAlign w:val="center"/>
                </w:tcPr>
                <w:p w14:paraId="1D42C3A0">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60</w:t>
                  </w:r>
                </w:p>
              </w:tc>
              <w:tc>
                <w:tcPr>
                  <w:tcW w:w="588" w:type="pct"/>
                  <w:noWrap w:val="0"/>
                  <w:vAlign w:val="center"/>
                </w:tcPr>
                <w:p w14:paraId="38E165B0">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20</w:t>
                  </w:r>
                </w:p>
              </w:tc>
              <w:tc>
                <w:tcPr>
                  <w:tcW w:w="588" w:type="pct"/>
                  <w:noWrap w:val="0"/>
                  <w:vAlign w:val="center"/>
                </w:tcPr>
                <w:p w14:paraId="1AC6E6D4">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20</w:t>
                  </w:r>
                </w:p>
              </w:tc>
              <w:tc>
                <w:tcPr>
                  <w:tcW w:w="596" w:type="pct"/>
                  <w:noWrap w:val="0"/>
                  <w:vAlign w:val="center"/>
                </w:tcPr>
                <w:p w14:paraId="2F3425A3">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rPr>
                    <w:t>8</w:t>
                  </w:r>
                  <w:r>
                    <w:rPr>
                      <w:rFonts w:hint="eastAsia" w:cs="Times New Roman"/>
                      <w:color w:val="auto"/>
                      <w:lang w:eastAsia="zh-CN"/>
                    </w:rPr>
                    <w:t>(</w:t>
                  </w:r>
                  <w:r>
                    <w:rPr>
                      <w:rFonts w:ascii="Times New Roman" w:hAnsi="Times New Roman" w:cs="Times New Roman"/>
                      <w:color w:val="auto"/>
                    </w:rPr>
                    <w:t>15</w:t>
                  </w:r>
                  <w:r>
                    <w:rPr>
                      <w:rFonts w:hint="eastAsia" w:cs="Times New Roman"/>
                      <w:color w:val="auto"/>
                      <w:lang w:eastAsia="zh-CN"/>
                    </w:rPr>
                    <w:t>)</w:t>
                  </w:r>
                  <w:r>
                    <w:rPr>
                      <w:rFonts w:ascii="Times New Roman" w:hAnsi="Times New Roman" w:cs="Times New Roman"/>
                      <w:color w:val="auto"/>
                      <w:kern w:val="0"/>
                      <w:szCs w:val="18"/>
                      <w:vertAlign w:val="superscript"/>
                    </w:rPr>
                    <w:fldChar w:fldCharType="begin"/>
                  </w:r>
                  <w:r>
                    <w:rPr>
                      <w:rFonts w:ascii="Times New Roman" w:hAnsi="Times New Roman" w:cs="Times New Roman"/>
                      <w:color w:val="auto"/>
                      <w:kern w:val="0"/>
                      <w:szCs w:val="18"/>
                      <w:vertAlign w:val="superscript"/>
                    </w:rPr>
                    <w:instrText xml:space="preserve"> = 2 \* GB3 </w:instrText>
                  </w:r>
                  <w:r>
                    <w:rPr>
                      <w:rFonts w:ascii="Times New Roman" w:hAnsi="Times New Roman" w:cs="Times New Roman"/>
                      <w:color w:val="auto"/>
                      <w:kern w:val="0"/>
                      <w:szCs w:val="18"/>
                      <w:vertAlign w:val="superscript"/>
                    </w:rPr>
                    <w:fldChar w:fldCharType="separate"/>
                  </w:r>
                  <w:r>
                    <w:rPr>
                      <w:rFonts w:hint="eastAsia" w:ascii="宋体" w:hAnsi="宋体" w:cs="宋体"/>
                      <w:color w:val="auto"/>
                      <w:kern w:val="0"/>
                      <w:szCs w:val="18"/>
                      <w:vertAlign w:val="superscript"/>
                    </w:rPr>
                    <w:t>②</w:t>
                  </w:r>
                  <w:r>
                    <w:rPr>
                      <w:rFonts w:ascii="Times New Roman" w:hAnsi="Times New Roman" w:cs="Times New Roman"/>
                      <w:color w:val="auto"/>
                      <w:kern w:val="0"/>
                      <w:szCs w:val="18"/>
                      <w:vertAlign w:val="superscript"/>
                    </w:rPr>
                    <w:fldChar w:fldCharType="end"/>
                  </w:r>
                </w:p>
              </w:tc>
              <w:tc>
                <w:tcPr>
                  <w:tcW w:w="588" w:type="pct"/>
                  <w:gridSpan w:val="2"/>
                  <w:noWrap w:val="0"/>
                  <w:vAlign w:val="center"/>
                </w:tcPr>
                <w:p w14:paraId="1E0D41B8">
                  <w:pPr>
                    <w:ind w:left="-105" w:leftChars="-50" w:right="-105" w:rightChars="-50"/>
                    <w:jc w:val="center"/>
                    <w:rPr>
                      <w:rFonts w:ascii="Times New Roman" w:hAnsi="Times New Roman" w:cs="Times New Roman"/>
                      <w:color w:val="auto"/>
                      <w:szCs w:val="21"/>
                    </w:rPr>
                  </w:pPr>
                  <w:r>
                    <w:rPr>
                      <w:rFonts w:ascii="Times New Roman" w:hAnsi="Times New Roman" w:cs="Times New Roman"/>
                      <w:color w:val="auto"/>
                      <w:szCs w:val="21"/>
                    </w:rPr>
                    <w:t>3</w:t>
                  </w:r>
                </w:p>
              </w:tc>
            </w:tr>
            <w:tr w14:paraId="4AAF55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Before w:val="1"/>
                <w:gridAfter w:val="1"/>
                <w:wBefore w:w="1" w:type="pct"/>
                <w:wAfter w:w="2" w:type="pct"/>
                <w:trHeight w:val="122" w:hRule="atLeast"/>
                <w:jc w:val="center"/>
              </w:trPr>
              <w:tc>
                <w:tcPr>
                  <w:tcW w:w="4995" w:type="pct"/>
                  <w:gridSpan w:val="6"/>
                  <w:noWrap w:val="0"/>
                  <w:vAlign w:val="center"/>
                </w:tcPr>
                <w:p w14:paraId="20C80569">
                  <w:pPr>
                    <w:jc w:val="left"/>
                    <w:rPr>
                      <w:rFonts w:hint="eastAsia" w:cs="Times New Roman"/>
                      <w:color w:val="auto"/>
                      <w:sz w:val="18"/>
                      <w:szCs w:val="18"/>
                      <w:lang w:eastAsia="zh-CN"/>
                    </w:rPr>
                  </w:pPr>
                  <w:r>
                    <w:rPr>
                      <w:rFonts w:hint="default" w:ascii="Times New Roman" w:hAnsi="Times New Roman" w:eastAsia="宋体" w:cs="Times New Roman"/>
                      <w:color w:val="auto"/>
                      <w:sz w:val="18"/>
                      <w:szCs w:val="18"/>
                    </w:rPr>
                    <w:t>备注：</w:t>
                  </w:r>
                  <w:r>
                    <w:rPr>
                      <w:rFonts w:hint="eastAsia" w:cs="Times New Roman"/>
                      <w:color w:val="auto"/>
                      <w:sz w:val="18"/>
                      <w:szCs w:val="18"/>
                      <w:lang w:val="en-US" w:eastAsia="zh-CN"/>
                    </w:rPr>
                    <w:t>①</w:t>
                  </w:r>
                  <w:r>
                    <w:rPr>
                      <w:rFonts w:hint="default" w:ascii="Times New Roman" w:hAnsi="Times New Roman" w:eastAsia="宋体" w:cs="Times New Roman"/>
                      <w:color w:val="auto"/>
                      <w:sz w:val="18"/>
                      <w:szCs w:val="18"/>
                    </w:rPr>
                    <w:t>根据《国家环境保护总局关于纳污管排污单位氨氮执行标准的复函》（环函</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2005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454号），氨氮执行《污水排入城镇下水道水质标准》（GB/T31962-2015）。</w:t>
                  </w:r>
                </w:p>
                <w:p w14:paraId="56EA76C9">
                  <w:pPr>
                    <w:jc w:val="left"/>
                    <w:rPr>
                      <w:rFonts w:hint="eastAsia" w:eastAsia="宋体"/>
                      <w:color w:val="auto"/>
                      <w:lang w:val="en-US" w:eastAsia="zh-CN"/>
                    </w:rPr>
                  </w:pPr>
                  <w:r>
                    <w:rPr>
                      <w:rFonts w:hint="eastAsia" w:cs="Times New Roman"/>
                      <w:color w:val="auto"/>
                      <w:sz w:val="18"/>
                      <w:szCs w:val="18"/>
                      <w:lang w:val="en-US" w:eastAsia="zh-CN"/>
                    </w:rPr>
                    <w:t>②</w:t>
                  </w:r>
                  <w:r>
                    <w:rPr>
                      <w:color w:val="auto"/>
                      <w:kern w:val="0"/>
                      <w:sz w:val="18"/>
                      <w:szCs w:val="21"/>
                    </w:rPr>
                    <w:t>括号外数值为水温&gt;12℃时的控制指标，括号内数值为水温≤12℃时的控制指标</w:t>
                  </w:r>
                </w:p>
              </w:tc>
            </w:tr>
          </w:tbl>
          <w:p w14:paraId="38EEB853">
            <w:pPr>
              <w:pStyle w:val="20"/>
              <w:spacing w:line="440" w:lineRule="exact"/>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bCs w:val="0"/>
                <w:caps w:val="0"/>
                <w:color w:val="auto"/>
                <w:kern w:val="0"/>
                <w:sz w:val="21"/>
                <w:szCs w:val="21"/>
              </w:rPr>
              <w:t>3.7.3</w:t>
            </w:r>
            <w:r>
              <w:rPr>
                <w:rFonts w:hint="default" w:ascii="Times New Roman" w:hAnsi="Times New Roman" w:eastAsia="宋体" w:cs="Times New Roman"/>
                <w:color w:val="auto"/>
                <w:sz w:val="21"/>
                <w:szCs w:val="21"/>
              </w:rPr>
              <w:t>噪声</w:t>
            </w:r>
          </w:p>
          <w:p w14:paraId="736B733A">
            <w:pPr>
              <w:pStyle w:val="7"/>
              <w:spacing w:line="440" w:lineRule="exac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项目营运期厂界噪声执行《工业企业厂界环境噪声排放标准》（</w:t>
            </w:r>
            <w:r>
              <w:rPr>
                <w:rFonts w:hint="eastAsia" w:cs="Times New Roman"/>
                <w:color w:val="auto"/>
                <w:szCs w:val="21"/>
                <w:lang w:val="en-US" w:eastAsia="zh-CN"/>
              </w:rPr>
              <w:t>GB 12348</w:t>
            </w:r>
            <w:r>
              <w:rPr>
                <w:rFonts w:hint="default" w:ascii="Times New Roman" w:hAnsi="Times New Roman" w:eastAsia="宋体" w:cs="Times New Roman"/>
                <w:color w:val="auto"/>
                <w:szCs w:val="21"/>
                <w:lang w:val="en-US" w:eastAsia="zh-CN"/>
              </w:rPr>
              <w:t>-2008）中3类区标准，详见表3-</w:t>
            </w:r>
            <w:r>
              <w:rPr>
                <w:rFonts w:hint="eastAsia" w:cs="Times New Roman"/>
                <w:color w:val="auto"/>
                <w:szCs w:val="21"/>
                <w:lang w:val="en-US" w:eastAsia="zh-CN"/>
              </w:rPr>
              <w:t>8</w:t>
            </w:r>
            <w:r>
              <w:rPr>
                <w:rFonts w:hint="default" w:ascii="Times New Roman" w:hAnsi="Times New Roman" w:eastAsia="宋体" w:cs="Times New Roman"/>
                <w:color w:val="auto"/>
                <w:szCs w:val="21"/>
                <w:lang w:val="en-US" w:eastAsia="zh-CN"/>
              </w:rPr>
              <w:t>。</w:t>
            </w:r>
          </w:p>
          <w:p w14:paraId="06FD5E2C">
            <w:pPr>
              <w:pStyle w:val="65"/>
              <w:spacing w:before="72" w:after="60"/>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表3-</w:t>
            </w:r>
            <w:r>
              <w:rPr>
                <w:rFonts w:hint="eastAsia" w:ascii="Times New Roman" w:hAnsi="Times New Roman" w:cs="Times New Roman"/>
                <w:b/>
                <w:color w:val="auto"/>
                <w:szCs w:val="21"/>
                <w:lang w:val="en-US" w:eastAsia="zh-CN"/>
              </w:rPr>
              <w:t>8</w:t>
            </w:r>
            <w:r>
              <w:rPr>
                <w:rFonts w:hint="default" w:ascii="Times New Roman" w:hAnsi="Times New Roman" w:cs="Times New Roman"/>
                <w:b/>
                <w:color w:val="auto"/>
                <w:szCs w:val="21"/>
                <w:lang w:val="en-US" w:eastAsia="zh-CN"/>
              </w:rPr>
              <w:t xml:space="preserve"> </w:t>
            </w:r>
            <w:r>
              <w:rPr>
                <w:rFonts w:hint="default" w:ascii="Times New Roman" w:hAnsi="Times New Roman" w:eastAsia="宋体" w:cs="Times New Roman"/>
                <w:b/>
                <w:color w:val="auto"/>
                <w:szCs w:val="21"/>
                <w:lang w:val="en-US" w:eastAsia="zh-CN"/>
              </w:rPr>
              <w:t xml:space="preserve"> 工业企业厂界环境噪声排放标准   单位：dB(A)</w:t>
            </w:r>
          </w:p>
          <w:tbl>
            <w:tblPr>
              <w:tblStyle w:val="30"/>
              <w:tblW w:w="499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588"/>
              <w:gridCol w:w="3036"/>
              <w:gridCol w:w="2543"/>
            </w:tblGrid>
            <w:tr w14:paraId="324191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9" w:hRule="atLeast"/>
                <w:jc w:val="center"/>
              </w:trPr>
              <w:tc>
                <w:tcPr>
                  <w:tcW w:w="1584" w:type="pct"/>
                  <w:noWrap w:val="0"/>
                  <w:vAlign w:val="center"/>
                </w:tcPr>
                <w:p w14:paraId="38932C41">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1858" w:type="pct"/>
                  <w:noWrap w:val="0"/>
                  <w:vAlign w:val="center"/>
                </w:tcPr>
                <w:p w14:paraId="6459FC20">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556" w:type="pct"/>
                  <w:noWrap w:val="0"/>
                  <w:vAlign w:val="center"/>
                </w:tcPr>
                <w:p w14:paraId="5997D15F">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r>
            <w:tr w14:paraId="3FC870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4" w:hRule="atLeast"/>
                <w:jc w:val="center"/>
              </w:trPr>
              <w:tc>
                <w:tcPr>
                  <w:tcW w:w="1584" w:type="pct"/>
                  <w:noWrap w:val="0"/>
                  <w:vAlign w:val="center"/>
                </w:tcPr>
                <w:p w14:paraId="3792C460">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3类</w:t>
                  </w:r>
                </w:p>
              </w:tc>
              <w:tc>
                <w:tcPr>
                  <w:tcW w:w="1858" w:type="pct"/>
                  <w:noWrap w:val="0"/>
                  <w:vAlign w:val="center"/>
                </w:tcPr>
                <w:p w14:paraId="747C534D">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1556" w:type="pct"/>
                  <w:noWrap w:val="0"/>
                  <w:vAlign w:val="center"/>
                </w:tcPr>
                <w:p w14:paraId="5385CF18">
                  <w:pPr>
                    <w:pStyle w:val="71"/>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w:t>
                  </w:r>
                </w:p>
              </w:tc>
            </w:tr>
          </w:tbl>
          <w:p w14:paraId="33265A88">
            <w:pPr>
              <w:pStyle w:val="20"/>
              <w:outlineLvl w:val="1"/>
              <w:rPr>
                <w:rFonts w:hint="default" w:ascii="Times New Roman" w:hAnsi="Times New Roman" w:cs="Times New Roman"/>
                <w:color w:val="auto"/>
                <w:sz w:val="21"/>
                <w:szCs w:val="21"/>
              </w:rPr>
            </w:pPr>
            <w:r>
              <w:rPr>
                <w:rFonts w:hint="default" w:ascii="Times New Roman" w:hAnsi="Times New Roman" w:cs="Times New Roman"/>
                <w:bCs w:val="0"/>
                <w:caps w:val="0"/>
                <w:color w:val="auto"/>
                <w:kern w:val="0"/>
                <w:sz w:val="21"/>
                <w:szCs w:val="21"/>
              </w:rPr>
              <w:t>3.7.4</w:t>
            </w:r>
            <w:r>
              <w:rPr>
                <w:rFonts w:hint="default" w:ascii="Times New Roman" w:hAnsi="Times New Roman" w:cs="Times New Roman"/>
                <w:color w:val="auto"/>
                <w:sz w:val="21"/>
                <w:szCs w:val="21"/>
              </w:rPr>
              <w:t>固废</w:t>
            </w:r>
          </w:p>
          <w:p w14:paraId="6DA60141">
            <w:pPr>
              <w:tabs>
                <w:tab w:val="left" w:pos="980"/>
              </w:tabs>
              <w:spacing w:line="360" w:lineRule="auto"/>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项目设置的一般工业固体废物暂存间，即为采用库房或包装工具贮存一般工业固体废物过程的污染控制，不适用于《一般工业固体废物贮存和填埋污染控制标准》（GB 18599-2020），其贮存过程应满足相应防渗漏、防雨淋、防扬尘等环境保护要求。</w:t>
            </w:r>
          </w:p>
          <w:p w14:paraId="4B1D46D1">
            <w:pPr>
              <w:tabs>
                <w:tab w:val="left" w:pos="980"/>
              </w:tabs>
              <w:spacing w:line="360" w:lineRule="auto"/>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危险废物执行《危险废物贮存污染控制标准》</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GB18597-2023</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w:t>
            </w:r>
          </w:p>
        </w:tc>
      </w:tr>
      <w:tr w14:paraId="7CABE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9" w:hRule="atLeast"/>
          <w:jc w:val="center"/>
        </w:trPr>
        <w:tc>
          <w:tcPr>
            <w:tcW w:w="355" w:type="pct"/>
            <w:noWrap w:val="0"/>
            <w:vAlign w:val="center"/>
          </w:tcPr>
          <w:p w14:paraId="6EDA6EC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E5B6D4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60BD02B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4644" w:type="pct"/>
            <w:noWrap w:val="0"/>
            <w:vAlign w:val="center"/>
          </w:tcPr>
          <w:p w14:paraId="1F3BDA1F">
            <w:pPr>
              <w:pStyle w:val="6"/>
              <w:rPr>
                <w:rFonts w:hint="default" w:ascii="Times New Roman" w:hAnsi="Times New Roman" w:eastAsia="宋体" w:cs="Times New Roman"/>
                <w:bCs/>
                <w:snapToGrid w:val="0"/>
                <w:color w:val="auto"/>
                <w:sz w:val="21"/>
                <w:szCs w:val="21"/>
              </w:rPr>
            </w:pPr>
          </w:p>
          <w:p w14:paraId="6DD63575">
            <w:pPr>
              <w:rPr>
                <w:rFonts w:hint="default" w:ascii="Times New Roman" w:hAnsi="Times New Roman" w:eastAsia="宋体" w:cs="Times New Roman"/>
                <w:bCs/>
                <w:snapToGrid w:val="0"/>
                <w:color w:val="auto"/>
                <w:sz w:val="21"/>
                <w:szCs w:val="21"/>
              </w:rPr>
            </w:pPr>
          </w:p>
          <w:p w14:paraId="33E0D64C">
            <w:pPr>
              <w:rPr>
                <w:rFonts w:hint="default" w:ascii="Times New Roman" w:hAnsi="Times New Roman" w:eastAsia="宋体" w:cs="Times New Roman"/>
                <w:bCs/>
                <w:snapToGrid w:val="0"/>
                <w:color w:val="auto"/>
                <w:sz w:val="21"/>
                <w:szCs w:val="21"/>
              </w:rPr>
            </w:pPr>
          </w:p>
          <w:p w14:paraId="59F0146E">
            <w:pPr>
              <w:spacing w:line="360" w:lineRule="auto"/>
              <w:ind w:firstLine="422" w:firstLineChars="200"/>
              <w:rPr>
                <w:rFonts w:hint="default" w:ascii="Times New Roman" w:hAnsi="Times New Roman" w:cs="Times New Roman"/>
                <w:bCs/>
                <w:snapToGrid w:val="0"/>
                <w:color w:val="auto"/>
                <w:sz w:val="21"/>
                <w:szCs w:val="21"/>
              </w:rPr>
            </w:pPr>
            <w:r>
              <w:rPr>
                <w:rFonts w:hint="default" w:ascii="Times New Roman" w:hAnsi="Times New Roman" w:cs="Times New Roman"/>
                <w:b/>
                <w:color w:val="auto"/>
                <w:sz w:val="21"/>
                <w:szCs w:val="21"/>
              </w:rPr>
              <w:t>废气：</w:t>
            </w:r>
            <w:r>
              <w:rPr>
                <w:rFonts w:hint="default" w:ascii="Times New Roman" w:hAnsi="Times New Roman" w:cs="Times New Roman"/>
                <w:bCs/>
                <w:snapToGrid w:val="0"/>
                <w:color w:val="auto"/>
                <w:sz w:val="21"/>
                <w:szCs w:val="21"/>
              </w:rPr>
              <w:t>非甲烷总烃</w:t>
            </w:r>
            <w:r>
              <w:rPr>
                <w:rFonts w:hint="eastAsia" w:ascii="Times New Roman" w:hAnsi="Times New Roman" w:cs="Times New Roman"/>
                <w:bCs/>
                <w:snapToGrid w:val="0"/>
                <w:color w:val="auto"/>
                <w:sz w:val="21"/>
                <w:szCs w:val="21"/>
                <w:lang w:val="en-US" w:eastAsia="zh-CN"/>
              </w:rPr>
              <w:t>0.518</w:t>
            </w:r>
            <w:r>
              <w:rPr>
                <w:rFonts w:hint="default" w:ascii="Times New Roman" w:hAnsi="Times New Roman" w:cs="Times New Roman"/>
                <w:bCs/>
                <w:snapToGrid w:val="0"/>
                <w:color w:val="auto"/>
                <w:sz w:val="21"/>
                <w:szCs w:val="21"/>
              </w:rPr>
              <w:t>t/a</w:t>
            </w:r>
          </w:p>
          <w:p w14:paraId="66E20ED0">
            <w:pPr>
              <w:pStyle w:val="54"/>
              <w:spacing w:line="360" w:lineRule="auto"/>
              <w:ind w:firstLine="422" w:firstLineChars="200"/>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
                <w:bCs/>
                <w:color w:val="auto"/>
                <w:sz w:val="21"/>
                <w:szCs w:val="21"/>
                <w:lang w:val="en-US" w:eastAsia="zh-CN"/>
              </w:rPr>
              <w:t>废水：</w:t>
            </w:r>
            <w:r>
              <w:rPr>
                <w:rFonts w:hint="default" w:ascii="Times New Roman" w:hAnsi="Times New Roman" w:eastAsia="宋体" w:cs="Times New Roman"/>
                <w:color w:val="auto"/>
                <w:sz w:val="21"/>
                <w:szCs w:val="21"/>
              </w:rPr>
              <w:t>COD</w:t>
            </w:r>
            <w:r>
              <w:rPr>
                <w:rFonts w:hint="eastAsia" w:ascii="Times New Roman" w:hAnsi="Times New Roman" w:eastAsia="宋体" w:cs="Times New Roman"/>
                <w:i w:val="0"/>
                <w:iCs w:val="0"/>
                <w:color w:val="auto"/>
                <w:kern w:val="0"/>
                <w:sz w:val="21"/>
                <w:szCs w:val="21"/>
                <w:u w:val="none"/>
                <w:lang w:val="en-US" w:eastAsia="zh-CN" w:bidi="ar"/>
              </w:rPr>
              <w:t>0.017</w:t>
            </w:r>
            <w:r>
              <w:rPr>
                <w:rFonts w:hint="default" w:ascii="Times New Roman" w:hAnsi="Times New Roman" w:eastAsia="宋体" w:cs="Times New Roman"/>
                <w:bCs/>
                <w:snapToGrid w:val="0"/>
                <w:color w:val="auto"/>
                <w:sz w:val="21"/>
                <w:szCs w:val="21"/>
              </w:rPr>
              <w:t>t/a</w:t>
            </w:r>
            <w:r>
              <w:rPr>
                <w:rFonts w:hint="default" w:ascii="Times New Roman" w:hAnsi="Times New Roman" w:eastAsia="宋体" w:cs="Times New Roman"/>
                <w:bCs/>
                <w:snapToGrid w:val="0"/>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bCs/>
                <w:snapToGrid w:val="0"/>
                <w:color w:val="auto"/>
                <w:sz w:val="21"/>
                <w:szCs w:val="21"/>
              </w:rPr>
              <w:t>/a</w:t>
            </w:r>
          </w:p>
          <w:p w14:paraId="6E20707A">
            <w:pPr>
              <w:rPr>
                <w:rFonts w:hint="default" w:ascii="Times New Roman" w:hAnsi="Times New Roman" w:eastAsia="宋体" w:cs="Times New Roman"/>
                <w:bCs/>
                <w:snapToGrid w:val="0"/>
                <w:color w:val="auto"/>
                <w:sz w:val="21"/>
                <w:szCs w:val="21"/>
              </w:rPr>
            </w:pPr>
          </w:p>
          <w:p w14:paraId="3E489EC7">
            <w:pPr>
              <w:rPr>
                <w:rFonts w:hint="default" w:ascii="Times New Roman" w:hAnsi="Times New Roman" w:eastAsia="宋体" w:cs="Times New Roman"/>
                <w:bCs/>
                <w:snapToGrid w:val="0"/>
                <w:color w:val="auto"/>
                <w:sz w:val="21"/>
                <w:szCs w:val="21"/>
              </w:rPr>
            </w:pPr>
          </w:p>
          <w:p w14:paraId="00A3443E">
            <w:pPr>
              <w:rPr>
                <w:rFonts w:hint="default" w:ascii="Times New Roman" w:hAnsi="Times New Roman" w:eastAsia="宋体" w:cs="Times New Roman"/>
                <w:bCs/>
                <w:snapToGrid w:val="0"/>
                <w:color w:val="auto"/>
                <w:sz w:val="21"/>
                <w:szCs w:val="21"/>
              </w:rPr>
            </w:pPr>
          </w:p>
          <w:p w14:paraId="3052FD5A">
            <w:pPr>
              <w:rPr>
                <w:rFonts w:hint="default" w:ascii="Times New Roman" w:hAnsi="Times New Roman" w:eastAsia="宋体" w:cs="Times New Roman"/>
                <w:bCs/>
                <w:snapToGrid w:val="0"/>
                <w:color w:val="auto"/>
                <w:sz w:val="21"/>
                <w:szCs w:val="21"/>
              </w:rPr>
            </w:pPr>
          </w:p>
          <w:p w14:paraId="7B5C80B5">
            <w:pPr>
              <w:rPr>
                <w:rFonts w:hint="default" w:ascii="Times New Roman" w:hAnsi="Times New Roman" w:eastAsia="宋体" w:cs="Times New Roman"/>
                <w:bCs/>
                <w:snapToGrid w:val="0"/>
                <w:color w:val="auto"/>
                <w:sz w:val="21"/>
                <w:szCs w:val="21"/>
              </w:rPr>
            </w:pPr>
          </w:p>
          <w:p w14:paraId="74512B6F">
            <w:pPr>
              <w:rPr>
                <w:rFonts w:hint="default" w:ascii="Times New Roman" w:hAnsi="Times New Roman" w:eastAsia="宋体" w:cs="Times New Roman"/>
                <w:bCs/>
                <w:snapToGrid w:val="0"/>
                <w:color w:val="auto"/>
                <w:sz w:val="21"/>
                <w:szCs w:val="21"/>
              </w:rPr>
            </w:pPr>
          </w:p>
          <w:p w14:paraId="61666A48">
            <w:pPr>
              <w:rPr>
                <w:rFonts w:hint="default" w:ascii="Times New Roman" w:hAnsi="Times New Roman" w:eastAsia="宋体" w:cs="Times New Roman"/>
                <w:bCs/>
                <w:snapToGrid w:val="0"/>
                <w:color w:val="auto"/>
                <w:sz w:val="21"/>
                <w:szCs w:val="21"/>
              </w:rPr>
            </w:pPr>
          </w:p>
          <w:p w14:paraId="185FA5BF">
            <w:pPr>
              <w:rPr>
                <w:rFonts w:hint="default" w:ascii="Times New Roman" w:hAnsi="Times New Roman" w:eastAsia="宋体" w:cs="Times New Roman"/>
                <w:bCs/>
                <w:snapToGrid w:val="0"/>
                <w:color w:val="auto"/>
                <w:sz w:val="21"/>
                <w:szCs w:val="21"/>
              </w:rPr>
            </w:pPr>
          </w:p>
        </w:tc>
      </w:tr>
    </w:tbl>
    <w:p w14:paraId="04ED4125">
      <w:pPr>
        <w:pStyle w:val="26"/>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6"/>
          <w:szCs w:val="36"/>
        </w:rPr>
        <w:br w:type="page"/>
      </w:r>
      <w:r>
        <w:rPr>
          <w:rFonts w:hint="default" w:ascii="Times New Roman" w:hAnsi="Times New Roman" w:cs="Times New Roman"/>
          <w:snapToGrid w:val="0"/>
          <w:color w:val="auto"/>
          <w:sz w:val="30"/>
          <w:szCs w:val="30"/>
        </w:rPr>
        <w:t>四、主要环境影响和保护措施</w:t>
      </w: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8335"/>
      </w:tblGrid>
      <w:tr w14:paraId="3A46F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73" w:type="dxa"/>
            <w:noWrap w:val="0"/>
            <w:tcMar>
              <w:left w:w="28" w:type="dxa"/>
              <w:right w:w="28" w:type="dxa"/>
            </w:tcMar>
            <w:vAlign w:val="center"/>
          </w:tcPr>
          <w:p w14:paraId="61D74860">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1611D9C1">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21D35436">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209DA43F">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BB37752">
            <w:pPr>
              <w:pStyle w:val="26"/>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335" w:type="dxa"/>
            <w:noWrap w:val="0"/>
            <w:vAlign w:val="center"/>
          </w:tcPr>
          <w:p w14:paraId="1EB45189">
            <w:pPr>
              <w:adjustRightInd w:val="0"/>
              <w:snapToGrid w:val="0"/>
              <w:spacing w:line="360" w:lineRule="auto"/>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4.1施工期环境影响及保护措施</w:t>
            </w:r>
          </w:p>
          <w:p w14:paraId="1660514B">
            <w:pPr>
              <w:adjustRightInd w:val="0"/>
              <w:snapToGrid w:val="0"/>
              <w:spacing w:line="360" w:lineRule="auto"/>
              <w:ind w:firstLine="420" w:firstLineChars="200"/>
              <w:rPr>
                <w:rFonts w:hint="default" w:ascii="Times New Roman" w:hAnsi="Times New Roman" w:cs="Times New Roman"/>
                <w:b/>
                <w:bCs/>
                <w:color w:val="auto"/>
                <w:szCs w:val="21"/>
              </w:rPr>
            </w:pPr>
            <w:r>
              <w:rPr>
                <w:rFonts w:hint="default" w:ascii="Times New Roman" w:hAnsi="Times New Roman" w:cs="Times New Roman"/>
                <w:color w:val="auto"/>
                <w:szCs w:val="21"/>
              </w:rPr>
              <w:t>本项目在</w:t>
            </w:r>
            <w:r>
              <w:rPr>
                <w:rFonts w:hint="eastAsia" w:cs="Times New Roman"/>
                <w:color w:val="auto"/>
                <w:szCs w:val="21"/>
                <w:lang w:eastAsia="zh-CN"/>
              </w:rPr>
              <w:t>重庆市合川区南津街街道龙阳路10号1楼B区、C区厂房（南溪组团A区）</w:t>
            </w:r>
            <w:r>
              <w:rPr>
                <w:rFonts w:hint="default" w:ascii="Times New Roman" w:hAnsi="Times New Roman" w:cs="Times New Roman"/>
                <w:color w:val="auto"/>
                <w:szCs w:val="21"/>
              </w:rPr>
              <w:t>进行布置生产，其厂房已建设完成，施工期主要为设备安装，不涉及土建及厂房修建等工程，施工期较短，且影响较小，故本次评价不对施工期进行分析。</w:t>
            </w:r>
          </w:p>
        </w:tc>
      </w:tr>
      <w:tr w14:paraId="5136D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3" w:hRule="atLeast"/>
          <w:jc w:val="center"/>
        </w:trPr>
        <w:tc>
          <w:tcPr>
            <w:tcW w:w="573" w:type="dxa"/>
            <w:noWrap w:val="0"/>
            <w:tcMar>
              <w:left w:w="28" w:type="dxa"/>
              <w:right w:w="28" w:type="dxa"/>
            </w:tcMar>
            <w:vAlign w:val="center"/>
          </w:tcPr>
          <w:p w14:paraId="5AE6FDE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18BE7EC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2B8BAB0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3269AE7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7AF96F4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01F5562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335" w:type="dxa"/>
            <w:noWrap w:val="0"/>
            <w:vAlign w:val="center"/>
          </w:tcPr>
          <w:p w14:paraId="658A8ED7">
            <w:pPr>
              <w:adjustRightInd w:val="0"/>
              <w:snapToGrid w:val="0"/>
              <w:spacing w:line="360" w:lineRule="auto"/>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4.2废气环境影响及保护措施</w:t>
            </w:r>
          </w:p>
          <w:p w14:paraId="632F4967">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lang w:val="en-US" w:eastAsia="zh-CN"/>
              </w:rPr>
              <w:t>4.2.1</w:t>
            </w:r>
            <w:r>
              <w:rPr>
                <w:rFonts w:hint="default" w:ascii="Times New Roman" w:hAnsi="Times New Roman" w:cs="Times New Roman"/>
                <w:b/>
                <w:bCs/>
                <w:color w:val="auto"/>
                <w:spacing w:val="-10"/>
                <w:szCs w:val="21"/>
              </w:rPr>
              <w:t>源强核算</w:t>
            </w:r>
          </w:p>
          <w:p w14:paraId="705017BD">
            <w:pPr>
              <w:adjustRightInd w:val="0"/>
              <w:snapToGrid w:val="0"/>
              <w:spacing w:line="360" w:lineRule="auto"/>
              <w:ind w:firstLine="420" w:firstLineChars="200"/>
              <w:rPr>
                <w:rFonts w:hint="default" w:ascii="Times New Roman" w:hAnsi="Times New Roman" w:cs="Times New Roman"/>
                <w:b/>
                <w:bCs w:val="0"/>
                <w:color w:val="auto"/>
                <w:szCs w:val="21"/>
                <w:lang w:val="en-US" w:eastAsia="zh-CN"/>
              </w:rPr>
            </w:pPr>
            <w:r>
              <w:rPr>
                <w:rFonts w:hint="default" w:ascii="Times New Roman" w:hAnsi="Times New Roman" w:cs="Times New Roman"/>
                <w:color w:val="auto"/>
                <w:szCs w:val="21"/>
              </w:rPr>
              <w:t>本项目营运期废气主要为</w:t>
            </w:r>
            <w:r>
              <w:rPr>
                <w:rFonts w:hint="eastAsia" w:ascii="Times New Roman" w:hAnsi="Times New Roman" w:cs="Times New Roman"/>
                <w:color w:val="auto"/>
                <w:szCs w:val="21"/>
                <w:lang w:val="en-US" w:eastAsia="zh-CN"/>
              </w:rPr>
              <w:t>注塑废气G1、破碎粉尘G2</w:t>
            </w:r>
            <w:r>
              <w:rPr>
                <w:rFonts w:hint="default" w:ascii="Times New Roman" w:hAnsi="Times New Roman" w:cs="Times New Roman"/>
                <w:bCs/>
                <w:color w:val="auto"/>
                <w:szCs w:val="21"/>
              </w:rPr>
              <w:t>。</w:t>
            </w:r>
          </w:p>
          <w:p w14:paraId="454F1B27">
            <w:pPr>
              <w:adjustRightInd w:val="0"/>
              <w:snapToGrid w:val="0"/>
              <w:spacing w:line="360" w:lineRule="auto"/>
              <w:ind w:firstLine="422" w:firstLineChars="200"/>
              <w:rPr>
                <w:rFonts w:hint="default" w:ascii="Times New Roman" w:hAnsi="Times New Roman" w:cs="Times New Roman"/>
                <w:bCs/>
                <w:color w:val="auto"/>
                <w:spacing w:val="-10"/>
                <w:szCs w:val="21"/>
                <w:lang w:val="en-US"/>
              </w:rPr>
            </w:pPr>
            <w:r>
              <w:rPr>
                <w:rFonts w:hint="default" w:ascii="Times New Roman" w:hAnsi="Times New Roman" w:cs="Times New Roman"/>
                <w:b/>
                <w:bCs w:val="0"/>
                <w:color w:val="auto"/>
                <w:szCs w:val="21"/>
                <w:lang w:val="en-US" w:eastAsia="zh-CN"/>
              </w:rPr>
              <w:t>（1）注塑废气G</w:t>
            </w:r>
            <w:r>
              <w:rPr>
                <w:rFonts w:hint="eastAsia" w:ascii="Times New Roman" w:hAnsi="Times New Roman" w:cs="Times New Roman"/>
                <w:b/>
                <w:bCs w:val="0"/>
                <w:color w:val="auto"/>
                <w:szCs w:val="21"/>
                <w:lang w:val="en-US" w:eastAsia="zh-CN"/>
              </w:rPr>
              <w:t>1</w:t>
            </w:r>
          </w:p>
          <w:p w14:paraId="31E6ECB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lang w:val="en-US" w:eastAsia="zh-CN"/>
              </w:rPr>
              <w:t>所使用塑料颗粒为ABS颗粒</w:t>
            </w:r>
            <w:r>
              <w:rPr>
                <w:rFonts w:hint="eastAsia" w:ascii="Times New Roman" w:hAnsi="Times New Roman" w:cs="Times New Roman"/>
                <w:color w:val="auto"/>
                <w:sz w:val="21"/>
                <w:szCs w:val="21"/>
                <w:lang w:val="en-US" w:eastAsia="zh-CN"/>
              </w:rPr>
              <w:t>、PP颗粒以</w:t>
            </w:r>
            <w:r>
              <w:rPr>
                <w:rFonts w:hint="default" w:ascii="Times New Roman" w:hAnsi="Times New Roman" w:eastAsia="宋体" w:cs="Times New Roman"/>
                <w:color w:val="auto"/>
                <w:sz w:val="21"/>
                <w:szCs w:val="21"/>
                <w:lang w:val="en-US" w:eastAsia="zh-CN"/>
              </w:rPr>
              <w:t>及</w:t>
            </w:r>
            <w:r>
              <w:rPr>
                <w:rFonts w:hint="eastAsia" w:ascii="Times New Roman" w:hAnsi="Times New Roman" w:cs="Times New Roman"/>
                <w:bCs/>
                <w:color w:val="auto"/>
                <w:szCs w:val="21"/>
              </w:rPr>
              <w:t>PA</w:t>
            </w:r>
            <w:r>
              <w:rPr>
                <w:rFonts w:hint="default" w:ascii="Times New Roman" w:hAnsi="Times New Roman" w:eastAsia="宋体" w:cs="Times New Roman"/>
                <w:color w:val="auto"/>
                <w:sz w:val="21"/>
                <w:szCs w:val="21"/>
                <w:lang w:val="en-US" w:eastAsia="zh-CN"/>
              </w:rPr>
              <w:t>颗粒，均为外购的新料，不涉及废旧再生塑料。</w:t>
            </w:r>
          </w:p>
          <w:p w14:paraId="6AF8D8A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根据</w:t>
            </w:r>
            <w:r>
              <w:rPr>
                <w:rFonts w:hint="eastAsia" w:cs="Times New Roman"/>
                <w:b w:val="0"/>
                <w:bCs w:val="0"/>
                <w:color w:val="auto"/>
                <w:sz w:val="21"/>
                <w:szCs w:val="21"/>
                <w:lang w:val="en-US" w:eastAsia="zh-CN"/>
              </w:rPr>
              <w:t>《合成树脂工业污染物排放标准》（GB 31572-2015，含2024年修改单</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：ABS的废气污染物种类为非甲烷总烃、丙烯腈、丁二烯、苯乙烯、甲苯、乙苯</w:t>
            </w:r>
            <w:r>
              <w:rPr>
                <w:rFonts w:hint="default" w:ascii="Times New Roman" w:hAnsi="Times New Roman" w:cs="Times New Roman"/>
                <w:color w:val="auto"/>
                <w:sz w:val="21"/>
                <w:szCs w:val="21"/>
                <w:lang w:val="en-US" w:eastAsia="zh-CN"/>
              </w:rPr>
              <w:t>。</w:t>
            </w:r>
          </w:p>
          <w:p w14:paraId="088E1DD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Cs/>
                <w:color w:val="auto"/>
                <w:szCs w:val="21"/>
              </w:rPr>
              <w:t>PA</w:t>
            </w:r>
            <w:r>
              <w:rPr>
                <w:rFonts w:hint="default" w:ascii="Times New Roman" w:hAnsi="Times New Roman" w:eastAsia="宋体" w:cs="Times New Roman"/>
                <w:b w:val="0"/>
                <w:bCs w:val="0"/>
                <w:color w:val="auto"/>
                <w:sz w:val="21"/>
                <w:szCs w:val="21"/>
                <w:lang w:val="en-US" w:eastAsia="zh-CN"/>
              </w:rPr>
              <w:t>的废气污染物种类为非甲烷总烃、氨，根据PA</w:t>
            </w:r>
            <w:r>
              <w:rPr>
                <w:rFonts w:hint="default" w:ascii="Times New Roman" w:hAnsi="Times New Roman" w:eastAsia="宋体" w:cs="Times New Roman"/>
                <w:color w:val="auto"/>
                <w:sz w:val="21"/>
                <w:szCs w:val="21"/>
                <w:lang w:val="en-US" w:eastAsia="zh-CN"/>
              </w:rPr>
              <w:t>的理化性质可知，PA塑料粒子的分解温度</w:t>
            </w:r>
            <w:r>
              <w:rPr>
                <w:rFonts w:hint="default" w:ascii="Times New Roman" w:hAnsi="Times New Roman" w:cs="Times New Roman"/>
                <w:bCs/>
                <w:color w:val="auto"/>
                <w:spacing w:val="-10"/>
                <w:sz w:val="21"/>
                <w:szCs w:val="21"/>
              </w:rPr>
              <w:t>为310℃</w:t>
            </w:r>
            <w:r>
              <w:rPr>
                <w:rFonts w:hint="default" w:ascii="Times New Roman" w:hAnsi="Times New Roman" w:cs="Times New Roman"/>
                <w:bCs/>
                <w:color w:val="auto"/>
                <w:spacing w:val="-10"/>
                <w:sz w:val="21"/>
                <w:szCs w:val="21"/>
                <w:lang w:eastAsia="zh-CN"/>
              </w:rPr>
              <w:t>，</w:t>
            </w:r>
            <w:r>
              <w:rPr>
                <w:rFonts w:hint="default" w:ascii="Times New Roman" w:hAnsi="Times New Roman" w:cs="Times New Roman"/>
                <w:bCs/>
                <w:color w:val="auto"/>
                <w:spacing w:val="-10"/>
                <w:sz w:val="21"/>
                <w:szCs w:val="21"/>
                <w:lang w:val="en-US" w:eastAsia="zh-CN"/>
              </w:rPr>
              <w:t>根据工艺可知，本项目PA塑料粒子的注塑温度为210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bCs/>
                <w:color w:val="auto"/>
                <w:spacing w:val="-10"/>
                <w:sz w:val="21"/>
                <w:szCs w:val="21"/>
              </w:rPr>
              <w:t>温度远低于分解温度，故塑料加热基本不分解，</w:t>
            </w:r>
            <w:r>
              <w:rPr>
                <w:rFonts w:hint="default" w:ascii="Times New Roman" w:hAnsi="Times New Roman" w:cs="Times New Roman"/>
                <w:bCs/>
                <w:color w:val="auto"/>
                <w:spacing w:val="-10"/>
                <w:sz w:val="21"/>
                <w:szCs w:val="21"/>
                <w:lang w:eastAsia="zh-CN"/>
              </w:rPr>
              <w:t>故本项目注塑工序使用非甲烷</w:t>
            </w:r>
            <w:r>
              <w:rPr>
                <w:rFonts w:hint="default" w:ascii="Times New Roman" w:hAnsi="Times New Roman" w:cs="Times New Roman"/>
                <w:bCs/>
                <w:color w:val="auto"/>
                <w:spacing w:val="-10"/>
                <w:sz w:val="21"/>
                <w:szCs w:val="21"/>
                <w:lang w:val="en-US" w:eastAsia="zh-CN"/>
              </w:rPr>
              <w:t>总烃</w:t>
            </w:r>
            <w:r>
              <w:rPr>
                <w:rFonts w:hint="default" w:ascii="Times New Roman" w:hAnsi="Times New Roman" w:cs="Times New Roman"/>
                <w:bCs/>
                <w:color w:val="auto"/>
                <w:spacing w:val="-10"/>
                <w:sz w:val="21"/>
                <w:szCs w:val="21"/>
                <w:lang w:eastAsia="zh-CN"/>
              </w:rPr>
              <w:t>作为综合控制指标，PA在注塑时基本不会产生氨，因此将氨作为特征污染物监测指标，不</w:t>
            </w:r>
            <w:r>
              <w:rPr>
                <w:rFonts w:hint="default" w:ascii="Times New Roman" w:hAnsi="Times New Roman" w:cs="Times New Roman"/>
                <w:bCs/>
                <w:color w:val="auto"/>
                <w:spacing w:val="-10"/>
                <w:sz w:val="21"/>
                <w:szCs w:val="21"/>
                <w:lang w:val="en-US" w:eastAsia="zh-CN"/>
              </w:rPr>
              <w:t>定量</w:t>
            </w:r>
            <w:r>
              <w:rPr>
                <w:rFonts w:hint="eastAsia" w:ascii="Times New Roman" w:hAnsi="Times New Roman" w:cs="Times New Roman"/>
                <w:bCs/>
                <w:color w:val="auto"/>
                <w:spacing w:val="-10"/>
                <w:sz w:val="21"/>
                <w:szCs w:val="21"/>
                <w:lang w:val="en-US" w:eastAsia="zh-CN"/>
              </w:rPr>
              <w:t>核</w:t>
            </w:r>
            <w:r>
              <w:rPr>
                <w:rFonts w:hint="default" w:ascii="Times New Roman" w:hAnsi="Times New Roman" w:cs="Times New Roman"/>
                <w:bCs/>
                <w:color w:val="auto"/>
                <w:spacing w:val="-10"/>
                <w:sz w:val="21"/>
                <w:szCs w:val="21"/>
                <w:lang w:eastAsia="zh-CN"/>
              </w:rPr>
              <w:t>算。</w:t>
            </w:r>
          </w:p>
          <w:p w14:paraId="6BDED2E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PP的废气污染物种类为非甲烷总烃；</w:t>
            </w:r>
          </w:p>
          <w:p w14:paraId="2C4E0290">
            <w:pPr>
              <w:adjustRightInd w:val="0"/>
              <w:snapToGrid w:val="0"/>
              <w:spacing w:line="360" w:lineRule="auto"/>
              <w:ind w:firstLine="420" w:firstLineChars="200"/>
              <w:rPr>
                <w:rFonts w:hint="default" w:ascii="Times New Roman" w:hAnsi="Times New Roman" w:eastAsia="宋体" w:cs="Times New Roman"/>
                <w:b/>
                <w:bCs w:val="0"/>
                <w:color w:val="auto"/>
                <w:sz w:val="21"/>
                <w:szCs w:val="21"/>
              </w:rPr>
            </w:pPr>
            <w:r>
              <w:rPr>
                <w:rFonts w:hint="default" w:ascii="Times New Roman" w:hAnsi="Times New Roman" w:cs="Times New Roman"/>
                <w:b w:val="0"/>
                <w:bCs w:val="0"/>
                <w:color w:val="auto"/>
                <w:lang w:val="en-US" w:eastAsia="zh-CN"/>
              </w:rPr>
              <w:t>根据</w:t>
            </w:r>
            <w:r>
              <w:rPr>
                <w:rFonts w:hint="eastAsia" w:cs="Times New Roman"/>
                <w:b w:val="0"/>
                <w:bCs w:val="0"/>
                <w:color w:val="auto"/>
                <w:spacing w:val="-10"/>
                <w:sz w:val="21"/>
                <w:szCs w:val="21"/>
                <w:lang w:eastAsia="zh-CN"/>
              </w:rPr>
              <w:t>《合成树脂工业污染物排放标准》（GB 31572-2015，含2024年修改单</w:t>
            </w:r>
            <w:r>
              <w:rPr>
                <w:rFonts w:hint="default" w:ascii="Times New Roman" w:hAnsi="Times New Roman" w:cs="Times New Roman"/>
                <w:b w:val="0"/>
                <w:bCs w:val="0"/>
                <w:color w:val="auto"/>
                <w:spacing w:val="-10"/>
                <w:sz w:val="21"/>
                <w:szCs w:val="21"/>
                <w:lang w:eastAsia="zh-CN"/>
              </w:rPr>
              <w:t>））</w:t>
            </w:r>
            <w:r>
              <w:rPr>
                <w:rFonts w:hint="default" w:ascii="Times New Roman" w:hAnsi="Times New Roman" w:eastAsia="宋体" w:cs="Times New Roman"/>
                <w:b w:val="0"/>
                <w:bCs w:val="0"/>
                <w:color w:val="auto"/>
                <w:spacing w:val="-10"/>
                <w:sz w:val="21"/>
                <w:szCs w:val="21"/>
                <w:lang w:eastAsia="zh-CN"/>
              </w:rPr>
              <w:t>，</w:t>
            </w:r>
            <w:r>
              <w:rPr>
                <w:rFonts w:hint="default" w:ascii="Times New Roman" w:hAnsi="Times New Roman" w:eastAsia="宋体" w:cs="Times New Roman"/>
                <w:b w:val="0"/>
                <w:bCs w:val="0"/>
                <w:color w:val="auto"/>
                <w:spacing w:val="-10"/>
                <w:sz w:val="21"/>
                <w:szCs w:val="21"/>
                <w:lang w:val="en-US" w:eastAsia="zh-CN"/>
              </w:rPr>
              <w:t>注塑废气中可能会含有少量的颗粒物，但结合业主实际生产经验，注塑时加热挤出过程中产生的颗粒物量极少，且《排放源统计调查产排污核算方法和系数手册》中的292塑料制品行业系数手册中塑料零件及其他塑料制品制造行业系数表（续表1）中无颗粒物产排污系数，因此本次环评不对</w:t>
            </w:r>
            <w:r>
              <w:rPr>
                <w:rFonts w:hint="default" w:ascii="Times New Roman" w:hAnsi="Times New Roman" w:cs="Times New Roman"/>
                <w:b w:val="0"/>
                <w:bCs w:val="0"/>
                <w:color w:val="auto"/>
                <w:szCs w:val="21"/>
                <w:lang w:val="en-US" w:eastAsia="zh-CN"/>
              </w:rPr>
              <w:t>加热挤出过程中产生的颗粒物</w:t>
            </w:r>
            <w:r>
              <w:rPr>
                <w:rFonts w:hint="default" w:ascii="Times New Roman" w:hAnsi="Times New Roman" w:eastAsia="宋体" w:cs="Times New Roman"/>
                <w:b w:val="0"/>
                <w:bCs w:val="0"/>
                <w:color w:val="auto"/>
                <w:spacing w:val="-10"/>
                <w:sz w:val="21"/>
                <w:szCs w:val="21"/>
                <w:lang w:val="en-US" w:eastAsia="zh-CN"/>
              </w:rPr>
              <w:t>进行定量分析，只将其纳入验收监测中，因此本次评价注塑过程中只考虑产生的有机废气。</w:t>
            </w:r>
          </w:p>
          <w:p w14:paraId="151D6D53">
            <w:pPr>
              <w:adjustRightInd w:val="0"/>
              <w:snapToGrid w:val="0"/>
              <w:spacing w:line="360" w:lineRule="auto"/>
              <w:ind w:firstLine="422" w:firstLineChars="20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①</w:t>
            </w:r>
            <w:r>
              <w:rPr>
                <w:rFonts w:hint="default" w:ascii="Times New Roman" w:hAnsi="Times New Roman" w:eastAsia="宋体" w:cs="Times New Roman"/>
                <w:b/>
                <w:bCs w:val="0"/>
                <w:color w:val="auto"/>
                <w:sz w:val="21"/>
                <w:szCs w:val="21"/>
                <w:lang w:val="en-US" w:eastAsia="zh-CN"/>
              </w:rPr>
              <w:t>非甲烷总烃</w:t>
            </w:r>
          </w:p>
          <w:p w14:paraId="7B35B435">
            <w:pPr>
              <w:pStyle w:val="56"/>
              <w:spacing w:line="360" w:lineRule="auto"/>
              <w:ind w:firstLine="38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pacing w:val="-10"/>
                <w:sz w:val="21"/>
                <w:szCs w:val="21"/>
                <w:lang w:eastAsia="zh-CN"/>
              </w:rPr>
              <w:t>根据</w:t>
            </w:r>
            <w:r>
              <w:rPr>
                <w:rFonts w:hint="default" w:ascii="Times New Roman" w:hAnsi="Times New Roman" w:eastAsia="宋体" w:cs="Times New Roman"/>
                <w:bCs/>
                <w:color w:val="auto"/>
                <w:spacing w:val="-10"/>
                <w:sz w:val="21"/>
                <w:szCs w:val="21"/>
              </w:rPr>
              <w:t>《排放源统计调查产排污核算方法和系数手册》中的292塑料制品行业系数手册中</w:t>
            </w:r>
            <w:r>
              <w:rPr>
                <w:rFonts w:hint="default" w:ascii="Times New Roman" w:hAnsi="Times New Roman" w:eastAsia="宋体" w:cs="Times New Roman"/>
                <w:bCs/>
                <w:color w:val="auto"/>
                <w:spacing w:val="-10"/>
                <w:sz w:val="21"/>
                <w:szCs w:val="21"/>
                <w:lang w:eastAsia="zh-CN"/>
              </w:rPr>
              <w:t>塑料零件及其他塑料制品制造行业系数表（续表1）中废气（</w:t>
            </w:r>
            <w:r>
              <w:rPr>
                <w:rFonts w:hint="default" w:ascii="Times New Roman" w:hAnsi="Times New Roman" w:eastAsia="宋体" w:cs="Times New Roman"/>
                <w:color w:val="auto"/>
                <w:sz w:val="21"/>
                <w:szCs w:val="21"/>
              </w:rPr>
              <w:t>以非甲烷总烃计</w:t>
            </w:r>
            <w:r>
              <w:rPr>
                <w:rFonts w:hint="default" w:ascii="Times New Roman" w:hAnsi="Times New Roman" w:eastAsia="宋体" w:cs="Times New Roman"/>
                <w:bCs/>
                <w:color w:val="auto"/>
                <w:spacing w:val="-10"/>
                <w:sz w:val="21"/>
                <w:szCs w:val="21"/>
                <w:lang w:eastAsia="zh-CN"/>
              </w:rPr>
              <w:t>）</w:t>
            </w:r>
            <w:r>
              <w:rPr>
                <w:rFonts w:hint="default" w:ascii="Times New Roman" w:hAnsi="Times New Roman" w:eastAsia="宋体" w:cs="Times New Roman"/>
                <w:bCs/>
                <w:color w:val="auto"/>
                <w:spacing w:val="-10"/>
                <w:sz w:val="21"/>
                <w:szCs w:val="21"/>
              </w:rPr>
              <w:t>产排污系数</w:t>
            </w:r>
            <w:r>
              <w:rPr>
                <w:rFonts w:hint="default" w:ascii="Times New Roman" w:hAnsi="Times New Roman" w:eastAsia="宋体" w:cs="Times New Roman"/>
                <w:bCs/>
                <w:color w:val="auto"/>
                <w:spacing w:val="-10"/>
                <w:sz w:val="21"/>
                <w:szCs w:val="21"/>
                <w:lang w:eastAsia="zh-CN"/>
              </w:rPr>
              <w:t>为</w:t>
            </w:r>
            <w:r>
              <w:rPr>
                <w:rFonts w:hint="default" w:ascii="Times New Roman" w:hAnsi="Times New Roman" w:eastAsia="宋体" w:cs="Times New Roman"/>
                <w:bCs/>
                <w:color w:val="auto"/>
                <w:spacing w:val="-10"/>
                <w:sz w:val="21"/>
                <w:szCs w:val="21"/>
                <w:lang w:val="en-US" w:eastAsia="zh-CN"/>
              </w:rPr>
              <w:t>2.7kg/吨－产品</w:t>
            </w:r>
            <w:r>
              <w:rPr>
                <w:rFonts w:hint="default" w:ascii="Times New Roman" w:hAnsi="Times New Roman" w:eastAsia="宋体" w:cs="Times New Roman"/>
                <w:bCs/>
                <w:color w:val="auto"/>
                <w:spacing w:val="-10"/>
                <w:sz w:val="21"/>
                <w:szCs w:val="21"/>
              </w:rPr>
              <w:t>，</w:t>
            </w:r>
            <w:r>
              <w:rPr>
                <w:rFonts w:hint="default" w:ascii="Times New Roman" w:hAnsi="Times New Roman" w:eastAsia="宋体" w:cs="Times New Roman"/>
                <w:bCs/>
                <w:color w:val="auto"/>
                <w:spacing w:val="-10"/>
                <w:sz w:val="21"/>
                <w:szCs w:val="21"/>
                <w:lang w:eastAsia="zh-CN"/>
              </w:rPr>
              <w:t>本项目</w:t>
            </w:r>
            <w:r>
              <w:rPr>
                <w:rFonts w:hint="default" w:ascii="Times New Roman" w:hAnsi="Times New Roman" w:eastAsia="宋体" w:cs="Times New Roman"/>
                <w:bCs/>
                <w:color w:val="auto"/>
                <w:spacing w:val="-10"/>
                <w:sz w:val="21"/>
                <w:szCs w:val="21"/>
                <w:lang w:val="en-US" w:eastAsia="zh-CN"/>
              </w:rPr>
              <w:t>塑料产品合计重量为</w:t>
            </w:r>
            <w:r>
              <w:rPr>
                <w:rFonts w:hint="eastAsia" w:ascii="Times New Roman" w:hAnsi="Times New Roman" w:cs="Times New Roman"/>
                <w:bCs/>
                <w:color w:val="auto"/>
                <w:spacing w:val="-10"/>
                <w:sz w:val="21"/>
                <w:szCs w:val="21"/>
                <w:lang w:val="en-US" w:eastAsia="zh-CN"/>
              </w:rPr>
              <w:t>1000</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eastAsia="zh-CN"/>
              </w:rPr>
              <w:t>，则非甲烷总烃产生总量为</w:t>
            </w:r>
            <w:r>
              <w:rPr>
                <w:rFonts w:hint="eastAsia" w:ascii="Times New Roman" w:hAnsi="Times New Roman" w:cs="Times New Roman"/>
                <w:color w:val="auto"/>
                <w:sz w:val="21"/>
                <w:szCs w:val="21"/>
                <w:lang w:val="en-US" w:eastAsia="zh-CN"/>
              </w:rPr>
              <w:t>2.7t</w:t>
            </w:r>
            <w:r>
              <w:rPr>
                <w:rFonts w:hint="default" w:ascii="Times New Roman" w:hAnsi="Times New Roman" w:eastAsia="宋体" w:cs="Times New Roman"/>
                <w:color w:val="auto"/>
                <w:sz w:val="21"/>
                <w:szCs w:val="21"/>
                <w:lang w:val="en-US" w:eastAsia="zh-CN"/>
              </w:rPr>
              <w:t>/a。</w:t>
            </w:r>
          </w:p>
          <w:p w14:paraId="2BF5015B">
            <w:pPr>
              <w:pageBreakBefore w:val="0"/>
              <w:kinsoku/>
              <w:wordWrap/>
              <w:overflowPunct/>
              <w:topLinePunct w:val="0"/>
              <w:bidi w:val="0"/>
              <w:spacing w:line="360" w:lineRule="auto"/>
              <w:ind w:firstLine="422" w:firstLineChars="200"/>
              <w:contextualSpacing/>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②</w:t>
            </w:r>
            <w:r>
              <w:rPr>
                <w:rFonts w:hint="default" w:ascii="Times New Roman" w:hAnsi="Times New Roman" w:eastAsia="宋体" w:cs="Times New Roman"/>
                <w:b/>
                <w:bCs/>
                <w:color w:val="auto"/>
                <w:sz w:val="21"/>
                <w:szCs w:val="21"/>
                <w:lang w:val="en-US" w:eastAsia="zh-CN"/>
              </w:rPr>
              <w:t>苯乙烯、丙烯腈（ABS产生）</w:t>
            </w:r>
          </w:p>
          <w:p w14:paraId="41E7AF89">
            <w:pPr>
              <w:spacing w:line="360" w:lineRule="auto"/>
              <w:ind w:firstLine="420" w:firstLineChars="200"/>
              <w:rPr>
                <w:rFonts w:ascii="Times New Roman" w:hAnsi="Times New Roman" w:cs="Times New Roman"/>
                <w:bCs/>
                <w:color w:val="auto"/>
                <w:sz w:val="21"/>
                <w:szCs w:val="21"/>
              </w:rPr>
            </w:pPr>
            <w:r>
              <w:rPr>
                <w:rFonts w:ascii="Times New Roman" w:hAnsi="Times New Roman" w:cs="Times New Roman"/>
                <w:bCs/>
                <w:color w:val="auto"/>
                <w:sz w:val="21"/>
                <w:szCs w:val="21"/>
              </w:rPr>
              <w:t>ABS材料在高温状态下热分解产生甲苯、乙苯、苯乙烯、丙烯腈、1,3-丁二烯，根据《阻燃ABS复合材料的制备及热分解性能》（复合材料学报，2013年第30卷第3期），ABS在380</w:t>
            </w:r>
            <w:r>
              <w:rPr>
                <w:rFonts w:hint="eastAsia" w:ascii="宋体" w:hAnsi="宋体" w:cs="宋体"/>
                <w:bCs/>
                <w:color w:val="auto"/>
                <w:sz w:val="21"/>
                <w:szCs w:val="21"/>
              </w:rPr>
              <w:t>℃</w:t>
            </w:r>
            <w:r>
              <w:rPr>
                <w:rFonts w:ascii="Times New Roman" w:hAnsi="Times New Roman" w:cs="Times New Roman"/>
                <w:bCs/>
                <w:color w:val="auto"/>
                <w:sz w:val="21"/>
                <w:szCs w:val="21"/>
              </w:rPr>
              <w:t>以上时，ABS大分子链才大量分解，ABS在200</w:t>
            </w:r>
            <w:r>
              <w:rPr>
                <w:rFonts w:hint="eastAsia" w:ascii="宋体" w:hAnsi="宋体" w:cs="宋体"/>
                <w:bCs/>
                <w:color w:val="auto"/>
                <w:sz w:val="21"/>
                <w:szCs w:val="21"/>
              </w:rPr>
              <w:t>℃</w:t>
            </w:r>
            <w:r>
              <w:rPr>
                <w:rFonts w:ascii="Times New Roman" w:hAnsi="Times New Roman" w:cs="Times New Roman"/>
                <w:bCs/>
                <w:color w:val="auto"/>
                <w:sz w:val="21"/>
                <w:szCs w:val="21"/>
              </w:rPr>
              <w:t>时，基本无失重现象，但在加工过程中ABS树脂仍可能会逸散少量的苯乙烯、丙烯腈、乙苯、甲苯和1,3-丁二烯。根据“李丽.丙烯腈一丁二烯一苯乙烯塑料残留单体含量的研究[J].炼油与化工</w:t>
            </w:r>
            <w:r>
              <w:rPr>
                <w:rFonts w:hint="eastAsia" w:ascii="Times New Roman" w:hAnsi="Times New Roman" w:cs="Times New Roman"/>
                <w:bCs/>
                <w:color w:val="auto"/>
                <w:sz w:val="21"/>
                <w:szCs w:val="21"/>
              </w:rPr>
              <w:t>，</w:t>
            </w:r>
            <w:r>
              <w:rPr>
                <w:rFonts w:ascii="Times New Roman" w:hAnsi="Times New Roman" w:cs="Times New Roman"/>
                <w:bCs/>
                <w:color w:val="auto"/>
                <w:sz w:val="21"/>
                <w:szCs w:val="21"/>
              </w:rPr>
              <w:t>2016</w:t>
            </w:r>
            <w:r>
              <w:rPr>
                <w:rFonts w:hint="eastAsia" w:ascii="Times New Roman" w:hAnsi="Times New Roman" w:cs="Times New Roman"/>
                <w:bCs/>
                <w:color w:val="auto"/>
                <w:sz w:val="21"/>
                <w:szCs w:val="21"/>
              </w:rPr>
              <w:t>，</w:t>
            </w:r>
            <w:r>
              <w:rPr>
                <w:rFonts w:ascii="Times New Roman" w:hAnsi="Times New Roman" w:cs="Times New Roman"/>
                <w:bCs/>
                <w:color w:val="auto"/>
                <w:sz w:val="21"/>
                <w:szCs w:val="21"/>
              </w:rPr>
              <w:t>27(6):62-63.DOI:10.3969/j.issn.1671-4962.2016.06.023.”，</w:t>
            </w:r>
            <w:r>
              <w:rPr>
                <w:rFonts w:hint="eastAsia" w:ascii="Times New Roman" w:hAnsi="Times New Roman" w:cs="Times New Roman"/>
                <w:bCs/>
                <w:color w:val="auto"/>
                <w:sz w:val="21"/>
                <w:szCs w:val="21"/>
              </w:rPr>
              <w:t>本项目</w:t>
            </w:r>
            <w:r>
              <w:rPr>
                <w:rFonts w:ascii="Times New Roman" w:hAnsi="Times New Roman" w:cs="Times New Roman"/>
                <w:bCs/>
                <w:color w:val="auto"/>
                <w:sz w:val="21"/>
                <w:szCs w:val="21"/>
              </w:rPr>
              <w:t>ABS熔融挥发的乙苯、苯乙烯、丙烯腈分别为15.34mg/kg、25.55mg/kg、10.63mg/kg；根据“《丙烯腈-丁二烯-苯乙烯（ABS）塑料中残留单体的溶解沉淀-气相色谱法测定》（袁丽凤，邬蓓蕾等，分析测试学报[J].2008(27</w:t>
            </w:r>
            <w:r>
              <w:rPr>
                <w:rFonts w:hint="eastAsia" w:ascii="Times New Roman" w:hAnsi="Times New Roman" w:cs="Times New Roman"/>
                <w:bCs/>
                <w:color w:val="auto"/>
                <w:sz w:val="21"/>
                <w:szCs w:val="21"/>
                <w:lang w:eastAsia="zh-CN"/>
              </w:rPr>
              <w:t>）</w:t>
            </w:r>
            <w:r>
              <w:rPr>
                <w:rFonts w:ascii="Times New Roman" w:hAnsi="Times New Roman" w:cs="Times New Roman"/>
                <w:bCs/>
                <w:color w:val="auto"/>
                <w:sz w:val="21"/>
                <w:szCs w:val="21"/>
              </w:rPr>
              <w:t>：1095-1098）”，</w:t>
            </w:r>
            <w:r>
              <w:rPr>
                <w:rFonts w:hint="eastAsia" w:ascii="Times New Roman" w:hAnsi="Times New Roman" w:cs="Times New Roman"/>
                <w:bCs/>
                <w:color w:val="auto"/>
                <w:sz w:val="21"/>
                <w:szCs w:val="21"/>
              </w:rPr>
              <w:t>本项目</w:t>
            </w:r>
            <w:r>
              <w:rPr>
                <w:rFonts w:ascii="Times New Roman" w:hAnsi="Times New Roman" w:cs="Times New Roman"/>
                <w:bCs/>
                <w:color w:val="auto"/>
                <w:sz w:val="21"/>
                <w:szCs w:val="21"/>
              </w:rPr>
              <w:t>ABS熔融挥发的甲苯为32.9mg/kg；根据“陈旭明</w:t>
            </w:r>
            <w:r>
              <w:rPr>
                <w:rFonts w:hint="eastAsia" w:ascii="Times New Roman" w:hAnsi="Times New Roman" w:cs="Times New Roman"/>
                <w:bCs/>
                <w:color w:val="auto"/>
                <w:sz w:val="21"/>
                <w:szCs w:val="21"/>
                <w:lang w:eastAsia="zh-CN"/>
              </w:rPr>
              <w:t>，</w:t>
            </w:r>
            <w:r>
              <w:rPr>
                <w:rFonts w:ascii="Times New Roman" w:hAnsi="Times New Roman" w:cs="Times New Roman"/>
                <w:bCs/>
                <w:color w:val="auto"/>
                <w:sz w:val="21"/>
                <w:szCs w:val="21"/>
              </w:rPr>
              <w:t>刘贵深</w:t>
            </w:r>
            <w:r>
              <w:rPr>
                <w:rFonts w:hint="eastAsia" w:ascii="Times New Roman" w:hAnsi="Times New Roman" w:cs="Times New Roman"/>
                <w:bCs/>
                <w:color w:val="auto"/>
                <w:sz w:val="21"/>
                <w:szCs w:val="21"/>
                <w:lang w:eastAsia="zh-CN"/>
              </w:rPr>
              <w:t>，</w:t>
            </w:r>
            <w:r>
              <w:rPr>
                <w:rFonts w:ascii="Times New Roman" w:hAnsi="Times New Roman" w:cs="Times New Roman"/>
                <w:bCs/>
                <w:color w:val="auto"/>
                <w:sz w:val="21"/>
                <w:szCs w:val="21"/>
              </w:rPr>
              <w:t>候晓东.PS和ABS制品中1,3-丁二烯残留量的测定[J].塑料包装,2018,28(03):29-32.”，</w:t>
            </w:r>
            <w:r>
              <w:rPr>
                <w:rFonts w:hint="eastAsia" w:ascii="Times New Roman" w:hAnsi="Times New Roman" w:cs="Times New Roman"/>
                <w:bCs/>
                <w:color w:val="auto"/>
                <w:sz w:val="21"/>
                <w:szCs w:val="21"/>
              </w:rPr>
              <w:t>本项目</w:t>
            </w:r>
            <w:r>
              <w:rPr>
                <w:rFonts w:ascii="Times New Roman" w:hAnsi="Times New Roman" w:cs="Times New Roman"/>
                <w:bCs/>
                <w:color w:val="auto"/>
                <w:sz w:val="21"/>
                <w:szCs w:val="21"/>
              </w:rPr>
              <w:t>ABS熔融挥发的1,3-丁二烯为4.31mg/kg。</w:t>
            </w:r>
          </w:p>
          <w:p w14:paraId="3F5D90E0">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根据</w:t>
            </w:r>
            <w:r>
              <w:rPr>
                <w:rFonts w:ascii="宋体" w:hAnsi="宋体" w:cs="宋体"/>
                <w:color w:val="auto"/>
                <w:sz w:val="21"/>
                <w:szCs w:val="21"/>
              </w:rPr>
              <w:t>原辅材料消耗情况，以及上述污染物</w:t>
            </w:r>
            <w:r>
              <w:rPr>
                <w:rFonts w:hint="eastAsia" w:ascii="宋体" w:hAnsi="宋体" w:cs="宋体"/>
                <w:color w:val="auto"/>
                <w:sz w:val="21"/>
                <w:szCs w:val="21"/>
              </w:rPr>
              <w:t>产生</w:t>
            </w:r>
            <w:r>
              <w:rPr>
                <w:rFonts w:ascii="宋体" w:hAnsi="宋体" w:cs="宋体"/>
                <w:color w:val="auto"/>
                <w:sz w:val="21"/>
                <w:szCs w:val="21"/>
              </w:rPr>
              <w:t>情况，</w:t>
            </w:r>
            <w:r>
              <w:rPr>
                <w:rFonts w:hint="eastAsia" w:ascii="宋体" w:hAnsi="宋体" w:cs="宋体"/>
                <w:color w:val="auto"/>
                <w:sz w:val="21"/>
                <w:szCs w:val="21"/>
              </w:rPr>
              <w:t>本项目生产过程</w:t>
            </w:r>
            <w:r>
              <w:rPr>
                <w:rFonts w:ascii="宋体" w:hAnsi="宋体" w:cs="宋体"/>
                <w:color w:val="auto"/>
                <w:sz w:val="21"/>
                <w:szCs w:val="21"/>
              </w:rPr>
              <w:t>污染物的</w:t>
            </w:r>
            <w:r>
              <w:rPr>
                <w:rFonts w:hint="eastAsia" w:ascii="宋体" w:hAnsi="宋体" w:cs="宋体"/>
                <w:color w:val="auto"/>
                <w:sz w:val="21"/>
                <w:szCs w:val="21"/>
              </w:rPr>
              <w:t>产生</w:t>
            </w:r>
            <w:r>
              <w:rPr>
                <w:rFonts w:ascii="宋体" w:hAnsi="宋体" w:cs="宋体"/>
                <w:color w:val="auto"/>
                <w:sz w:val="21"/>
                <w:szCs w:val="21"/>
              </w:rPr>
              <w:t>情况见</w:t>
            </w:r>
            <w:r>
              <w:rPr>
                <w:rFonts w:hint="eastAsia" w:ascii="宋体" w:hAnsi="宋体" w:cs="宋体"/>
                <w:color w:val="auto"/>
                <w:sz w:val="21"/>
                <w:szCs w:val="21"/>
              </w:rPr>
              <w:t>下表</w:t>
            </w:r>
            <w:r>
              <w:rPr>
                <w:rFonts w:ascii="宋体" w:hAnsi="宋体" w:cs="宋体"/>
                <w:color w:val="auto"/>
                <w:sz w:val="21"/>
                <w:szCs w:val="21"/>
              </w:rPr>
              <w:t>。</w:t>
            </w:r>
          </w:p>
          <w:p w14:paraId="2FD47C61">
            <w:pPr>
              <w:pStyle w:val="63"/>
              <w:widowControl/>
              <w:adjustRightInd w:val="0"/>
              <w:snapToGrid w:val="0"/>
              <w:spacing w:before="156" w:beforeLines="50"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表4-</w:t>
            </w:r>
            <w:r>
              <w:rPr>
                <w:rFonts w:hint="eastAsia" w:ascii="Times New Roman" w:hAnsi="Times New Roman" w:cs="Times New Roman"/>
                <w:b/>
                <w:bCs/>
                <w:color w:val="auto"/>
                <w:kern w:val="0"/>
                <w:sz w:val="21"/>
                <w:szCs w:val="21"/>
                <w:lang w:val="en-US" w:eastAsia="zh-CN"/>
              </w:rPr>
              <w:t>1</w:t>
            </w:r>
            <w:r>
              <w:rPr>
                <w:rFonts w:ascii="Times New Roman" w:hAnsi="Times New Roman" w:cs="Times New Roman"/>
                <w:b/>
                <w:bCs/>
                <w:color w:val="auto"/>
                <w:kern w:val="0"/>
                <w:sz w:val="21"/>
                <w:szCs w:val="21"/>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rPr>
              <w:t>项目</w:t>
            </w:r>
            <w:r>
              <w:rPr>
                <w:rFonts w:ascii="Times New Roman" w:hAnsi="Times New Roman" w:cs="Times New Roman"/>
                <w:b/>
                <w:bCs/>
                <w:color w:val="auto"/>
                <w:kern w:val="0"/>
                <w:sz w:val="21"/>
                <w:szCs w:val="21"/>
              </w:rPr>
              <w:t>污染物产生情况表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37"/>
              <w:gridCol w:w="2567"/>
              <w:gridCol w:w="1759"/>
              <w:gridCol w:w="1826"/>
            </w:tblGrid>
            <w:tr w14:paraId="7F170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3CC4CB9D">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污染物</w:t>
                  </w:r>
                  <w:r>
                    <w:rPr>
                      <w:rFonts w:ascii="Times New Roman" w:hAnsi="Times New Roman" w:eastAsia="宋体" w:cs="Times New Roman"/>
                      <w:bCs/>
                      <w:color w:val="auto"/>
                      <w:kern w:val="0"/>
                      <w:sz w:val="18"/>
                      <w:szCs w:val="18"/>
                      <w:lang w:val="en-US" w:eastAsia="zh-CN" w:bidi="ar-SA"/>
                    </w:rPr>
                    <w:t>种类</w:t>
                  </w:r>
                </w:p>
              </w:tc>
              <w:tc>
                <w:tcPr>
                  <w:tcW w:w="1586" w:type="pct"/>
                  <w:noWrap w:val="0"/>
                  <w:vAlign w:val="center"/>
                </w:tcPr>
                <w:p w14:paraId="537ED5DE">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来源</w:t>
                  </w:r>
                </w:p>
              </w:tc>
              <w:tc>
                <w:tcPr>
                  <w:tcW w:w="1087" w:type="pct"/>
                  <w:noWrap w:val="0"/>
                  <w:vAlign w:val="center"/>
                </w:tcPr>
                <w:p w14:paraId="5C82372F">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污染物产生</w:t>
                  </w:r>
                  <w:r>
                    <w:rPr>
                      <w:rFonts w:ascii="Times New Roman" w:hAnsi="Times New Roman" w:eastAsia="宋体" w:cs="Times New Roman"/>
                      <w:bCs/>
                      <w:color w:val="auto"/>
                      <w:kern w:val="0"/>
                      <w:sz w:val="18"/>
                      <w:szCs w:val="18"/>
                      <w:lang w:val="en-US" w:eastAsia="zh-CN" w:bidi="ar-SA"/>
                    </w:rPr>
                    <w:t>系数</w:t>
                  </w:r>
                </w:p>
              </w:tc>
              <w:tc>
                <w:tcPr>
                  <w:tcW w:w="1128" w:type="pct"/>
                  <w:noWrap w:val="0"/>
                  <w:vAlign w:val="center"/>
                </w:tcPr>
                <w:p w14:paraId="34919EE1">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污染物</w:t>
                  </w:r>
                  <w:r>
                    <w:rPr>
                      <w:rFonts w:ascii="Times New Roman" w:hAnsi="Times New Roman" w:eastAsia="宋体" w:cs="Times New Roman"/>
                      <w:bCs/>
                      <w:color w:val="auto"/>
                      <w:kern w:val="0"/>
                      <w:sz w:val="18"/>
                      <w:szCs w:val="18"/>
                      <w:lang w:val="en-US" w:eastAsia="zh-CN" w:bidi="ar-SA"/>
                    </w:rPr>
                    <w:t>产生量</w:t>
                  </w:r>
                  <w:r>
                    <w:rPr>
                      <w:rFonts w:hint="eastAsia" w:ascii="Times New Roman" w:hAnsi="Times New Roman" w:eastAsia="宋体" w:cs="Times New Roman"/>
                      <w:bCs/>
                      <w:color w:val="auto"/>
                      <w:kern w:val="0"/>
                      <w:sz w:val="18"/>
                      <w:szCs w:val="18"/>
                      <w:lang w:val="en-US" w:eastAsia="zh-CN" w:bidi="ar-SA"/>
                    </w:rPr>
                    <w:t>t/a</w:t>
                  </w:r>
                </w:p>
              </w:tc>
            </w:tr>
            <w:tr w14:paraId="2321F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6F0835AD">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非甲烷</w:t>
                  </w:r>
                  <w:r>
                    <w:rPr>
                      <w:rFonts w:ascii="Times New Roman" w:hAnsi="Times New Roman" w:eastAsia="宋体" w:cs="Times New Roman"/>
                      <w:bCs/>
                      <w:color w:val="auto"/>
                      <w:kern w:val="0"/>
                      <w:sz w:val="18"/>
                      <w:szCs w:val="18"/>
                      <w:lang w:val="en-US" w:eastAsia="zh-CN" w:bidi="ar-SA"/>
                    </w:rPr>
                    <w:t>总烃</w:t>
                  </w:r>
                </w:p>
              </w:tc>
              <w:tc>
                <w:tcPr>
                  <w:tcW w:w="1586" w:type="pct"/>
                  <w:noWrap w:val="0"/>
                  <w:vAlign w:val="center"/>
                </w:tcPr>
                <w:p w14:paraId="17388C2D">
                  <w:pPr>
                    <w:widowControl/>
                    <w:adjustRightInd w:val="0"/>
                    <w:snapToGrid w:val="0"/>
                    <w:spacing w:beforeLines="0" w:afterLines="0" w:line="240" w:lineRule="auto"/>
                    <w:jc w:val="both"/>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PP、</w:t>
                  </w:r>
                  <w:r>
                    <w:rPr>
                      <w:rFonts w:ascii="Times New Roman" w:hAnsi="Times New Roman" w:eastAsia="宋体" w:cs="Times New Roman"/>
                      <w:bCs/>
                      <w:color w:val="auto"/>
                      <w:kern w:val="0"/>
                      <w:sz w:val="18"/>
                      <w:szCs w:val="18"/>
                      <w:lang w:val="en-US" w:eastAsia="zh-CN" w:bidi="ar-SA"/>
                    </w:rPr>
                    <w:t>ABS、</w:t>
                  </w:r>
                  <w:bookmarkStart w:id="62" w:name="OLE_LINK10"/>
                  <w:r>
                    <w:rPr>
                      <w:rFonts w:hint="eastAsia" w:ascii="Times New Roman" w:hAnsi="Times New Roman" w:eastAsia="宋体" w:cs="Times New Roman"/>
                      <w:bCs/>
                      <w:color w:val="auto"/>
                      <w:kern w:val="0"/>
                      <w:sz w:val="18"/>
                      <w:szCs w:val="18"/>
                      <w:lang w:val="en-US" w:eastAsia="zh-CN" w:bidi="ar-SA"/>
                    </w:rPr>
                    <w:t>PA</w:t>
                  </w:r>
                  <w:bookmarkEnd w:id="62"/>
                </w:p>
              </w:tc>
              <w:tc>
                <w:tcPr>
                  <w:tcW w:w="1087" w:type="pct"/>
                  <w:noWrap w:val="0"/>
                  <w:vAlign w:val="center"/>
                </w:tcPr>
                <w:p w14:paraId="276469FA">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2.7</w:t>
                  </w:r>
                  <w:r>
                    <w:rPr>
                      <w:rFonts w:ascii="Times New Roman" w:hAnsi="Times New Roman" w:eastAsia="宋体" w:cs="Times New Roman"/>
                      <w:bCs/>
                      <w:color w:val="auto"/>
                      <w:kern w:val="0"/>
                      <w:sz w:val="18"/>
                      <w:szCs w:val="18"/>
                      <w:lang w:val="en-US" w:eastAsia="zh-CN" w:bidi="ar-SA"/>
                    </w:rPr>
                    <w:t>kg/t-</w:t>
                  </w:r>
                  <w:r>
                    <w:rPr>
                      <w:rFonts w:hint="eastAsia" w:ascii="Times New Roman" w:hAnsi="Times New Roman" w:eastAsia="宋体" w:cs="Times New Roman"/>
                      <w:bCs/>
                      <w:color w:val="auto"/>
                      <w:kern w:val="0"/>
                      <w:sz w:val="18"/>
                      <w:szCs w:val="18"/>
                      <w:lang w:val="en-US" w:eastAsia="zh-CN" w:bidi="ar-SA"/>
                    </w:rPr>
                    <w:t>产品</w:t>
                  </w:r>
                </w:p>
              </w:tc>
              <w:tc>
                <w:tcPr>
                  <w:tcW w:w="1826" w:type="dxa"/>
                  <w:noWrap w:val="0"/>
                  <w:vAlign w:val="center"/>
                </w:tcPr>
                <w:p w14:paraId="315DB899">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2.7</w:t>
                  </w:r>
                </w:p>
              </w:tc>
            </w:tr>
            <w:tr w14:paraId="2AA74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2ECD3192">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甲苯</w:t>
                  </w:r>
                </w:p>
              </w:tc>
              <w:tc>
                <w:tcPr>
                  <w:tcW w:w="1586" w:type="pct"/>
                  <w:vMerge w:val="restart"/>
                  <w:noWrap w:val="0"/>
                  <w:vAlign w:val="center"/>
                </w:tcPr>
                <w:p w14:paraId="10CB8EB1">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ABS</w:t>
                  </w:r>
                </w:p>
              </w:tc>
              <w:tc>
                <w:tcPr>
                  <w:tcW w:w="1087" w:type="pct"/>
                  <w:noWrap w:val="0"/>
                  <w:vAlign w:val="center"/>
                </w:tcPr>
                <w:p w14:paraId="608E7A24">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32.9</w:t>
                  </w:r>
                  <w:r>
                    <w:rPr>
                      <w:rFonts w:ascii="Times New Roman" w:hAnsi="Times New Roman" w:eastAsia="宋体" w:cs="Times New Roman"/>
                      <w:bCs/>
                      <w:color w:val="auto"/>
                      <w:kern w:val="0"/>
                      <w:sz w:val="18"/>
                      <w:szCs w:val="18"/>
                      <w:lang w:val="en-US" w:eastAsia="zh-CN" w:bidi="ar-SA"/>
                    </w:rPr>
                    <w:t>mg/kg</w:t>
                  </w:r>
                  <w:r>
                    <w:rPr>
                      <w:rFonts w:hint="eastAsia" w:ascii="Times New Roman" w:hAnsi="Times New Roman" w:eastAsia="宋体" w:cs="Times New Roman"/>
                      <w:bCs/>
                      <w:color w:val="auto"/>
                      <w:kern w:val="0"/>
                      <w:sz w:val="18"/>
                      <w:szCs w:val="18"/>
                      <w:lang w:val="en-US" w:eastAsia="zh-CN" w:bidi="ar-SA"/>
                    </w:rPr>
                    <w:t>－</w:t>
                  </w:r>
                  <w:r>
                    <w:rPr>
                      <w:rFonts w:ascii="Times New Roman" w:hAnsi="Times New Roman" w:eastAsia="宋体" w:cs="Times New Roman"/>
                      <w:bCs/>
                      <w:color w:val="auto"/>
                      <w:kern w:val="0"/>
                      <w:sz w:val="18"/>
                      <w:szCs w:val="18"/>
                      <w:lang w:val="en-US" w:eastAsia="zh-CN" w:bidi="ar-SA"/>
                    </w:rPr>
                    <w:t>原料</w:t>
                  </w:r>
                </w:p>
              </w:tc>
              <w:tc>
                <w:tcPr>
                  <w:tcW w:w="1826" w:type="dxa"/>
                  <w:noWrap w:val="0"/>
                  <w:vAlign w:val="center"/>
                </w:tcPr>
                <w:p w14:paraId="1D824976">
                  <w:pPr>
                    <w:widowControl/>
                    <w:adjustRightInd w:val="0"/>
                    <w:snapToGrid w:val="0"/>
                    <w:spacing w:beforeLines="0" w:afterLines="0"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0.033</w:t>
                  </w:r>
                </w:p>
              </w:tc>
            </w:tr>
            <w:tr w14:paraId="1B7AC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21B483FE">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乙苯</w:t>
                  </w:r>
                </w:p>
              </w:tc>
              <w:tc>
                <w:tcPr>
                  <w:tcW w:w="1586" w:type="pct"/>
                  <w:vMerge w:val="continue"/>
                  <w:noWrap w:val="0"/>
                  <w:vAlign w:val="center"/>
                </w:tcPr>
                <w:p w14:paraId="2C164BAF">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p>
              </w:tc>
              <w:tc>
                <w:tcPr>
                  <w:tcW w:w="1087" w:type="pct"/>
                  <w:noWrap w:val="0"/>
                  <w:vAlign w:val="center"/>
                </w:tcPr>
                <w:p w14:paraId="6DE3FF02">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15.34</w:t>
                  </w:r>
                  <w:r>
                    <w:rPr>
                      <w:rFonts w:ascii="Times New Roman" w:hAnsi="Times New Roman" w:eastAsia="宋体" w:cs="Times New Roman"/>
                      <w:bCs/>
                      <w:color w:val="auto"/>
                      <w:kern w:val="0"/>
                      <w:sz w:val="18"/>
                      <w:szCs w:val="18"/>
                      <w:lang w:val="en-US" w:eastAsia="zh-CN" w:bidi="ar-SA"/>
                    </w:rPr>
                    <w:t>mg/kg</w:t>
                  </w:r>
                  <w:r>
                    <w:rPr>
                      <w:rFonts w:hint="eastAsia" w:ascii="Times New Roman" w:hAnsi="Times New Roman" w:eastAsia="宋体" w:cs="Times New Roman"/>
                      <w:bCs/>
                      <w:color w:val="auto"/>
                      <w:kern w:val="0"/>
                      <w:sz w:val="18"/>
                      <w:szCs w:val="18"/>
                      <w:lang w:val="en-US" w:eastAsia="zh-CN" w:bidi="ar-SA"/>
                    </w:rPr>
                    <w:t>－</w:t>
                  </w:r>
                  <w:r>
                    <w:rPr>
                      <w:rFonts w:ascii="Times New Roman" w:hAnsi="Times New Roman" w:eastAsia="宋体" w:cs="Times New Roman"/>
                      <w:bCs/>
                      <w:color w:val="auto"/>
                      <w:kern w:val="0"/>
                      <w:sz w:val="18"/>
                      <w:szCs w:val="18"/>
                      <w:lang w:val="en-US" w:eastAsia="zh-CN" w:bidi="ar-SA"/>
                    </w:rPr>
                    <w:t>原料</w:t>
                  </w:r>
                </w:p>
              </w:tc>
              <w:tc>
                <w:tcPr>
                  <w:tcW w:w="1826" w:type="dxa"/>
                  <w:noWrap w:val="0"/>
                  <w:vAlign w:val="center"/>
                </w:tcPr>
                <w:p w14:paraId="070D79D2">
                  <w:pPr>
                    <w:widowControl/>
                    <w:adjustRightInd w:val="0"/>
                    <w:snapToGrid w:val="0"/>
                    <w:spacing w:beforeLines="0" w:afterLines="0"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0.015</w:t>
                  </w:r>
                </w:p>
              </w:tc>
            </w:tr>
            <w:tr w14:paraId="2C7BB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5E795D7E">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苯乙烯</w:t>
                  </w:r>
                </w:p>
              </w:tc>
              <w:tc>
                <w:tcPr>
                  <w:tcW w:w="1586" w:type="pct"/>
                  <w:vMerge w:val="continue"/>
                  <w:noWrap w:val="0"/>
                  <w:vAlign w:val="center"/>
                </w:tcPr>
                <w:p w14:paraId="7CA2FC0A">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p>
              </w:tc>
              <w:tc>
                <w:tcPr>
                  <w:tcW w:w="1087" w:type="pct"/>
                  <w:noWrap w:val="0"/>
                  <w:vAlign w:val="center"/>
                </w:tcPr>
                <w:p w14:paraId="650EF95F">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25.55</w:t>
                  </w:r>
                  <w:r>
                    <w:rPr>
                      <w:rFonts w:ascii="Times New Roman" w:hAnsi="Times New Roman" w:eastAsia="宋体" w:cs="Times New Roman"/>
                      <w:bCs/>
                      <w:color w:val="auto"/>
                      <w:kern w:val="0"/>
                      <w:sz w:val="18"/>
                      <w:szCs w:val="18"/>
                      <w:lang w:val="en-US" w:eastAsia="zh-CN" w:bidi="ar-SA"/>
                    </w:rPr>
                    <w:t>mg/kg</w:t>
                  </w:r>
                  <w:r>
                    <w:rPr>
                      <w:rFonts w:hint="eastAsia" w:ascii="Times New Roman" w:hAnsi="Times New Roman" w:eastAsia="宋体" w:cs="Times New Roman"/>
                      <w:bCs/>
                      <w:color w:val="auto"/>
                      <w:kern w:val="0"/>
                      <w:sz w:val="18"/>
                      <w:szCs w:val="18"/>
                      <w:lang w:val="en-US" w:eastAsia="zh-CN" w:bidi="ar-SA"/>
                    </w:rPr>
                    <w:t>－</w:t>
                  </w:r>
                  <w:r>
                    <w:rPr>
                      <w:rFonts w:ascii="Times New Roman" w:hAnsi="Times New Roman" w:eastAsia="宋体" w:cs="Times New Roman"/>
                      <w:bCs/>
                      <w:color w:val="auto"/>
                      <w:kern w:val="0"/>
                      <w:sz w:val="18"/>
                      <w:szCs w:val="18"/>
                      <w:lang w:val="en-US" w:eastAsia="zh-CN" w:bidi="ar-SA"/>
                    </w:rPr>
                    <w:t>原料</w:t>
                  </w:r>
                </w:p>
              </w:tc>
              <w:tc>
                <w:tcPr>
                  <w:tcW w:w="1826" w:type="dxa"/>
                  <w:noWrap w:val="0"/>
                  <w:vAlign w:val="center"/>
                </w:tcPr>
                <w:p w14:paraId="3DD77D02">
                  <w:pPr>
                    <w:widowControl/>
                    <w:adjustRightInd w:val="0"/>
                    <w:snapToGrid w:val="0"/>
                    <w:spacing w:beforeLines="0" w:afterLines="0"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0.026</w:t>
                  </w:r>
                </w:p>
              </w:tc>
            </w:tr>
            <w:tr w14:paraId="7ED68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16C73AE1">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丙烯腈</w:t>
                  </w:r>
                </w:p>
              </w:tc>
              <w:tc>
                <w:tcPr>
                  <w:tcW w:w="1586" w:type="pct"/>
                  <w:vMerge w:val="continue"/>
                  <w:noWrap w:val="0"/>
                  <w:vAlign w:val="center"/>
                </w:tcPr>
                <w:p w14:paraId="69120C8B">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p>
              </w:tc>
              <w:tc>
                <w:tcPr>
                  <w:tcW w:w="1087" w:type="pct"/>
                  <w:noWrap w:val="0"/>
                  <w:vAlign w:val="center"/>
                </w:tcPr>
                <w:p w14:paraId="68081A81">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10.63</w:t>
                  </w:r>
                  <w:r>
                    <w:rPr>
                      <w:rFonts w:ascii="Times New Roman" w:hAnsi="Times New Roman" w:eastAsia="宋体" w:cs="Times New Roman"/>
                      <w:bCs/>
                      <w:color w:val="auto"/>
                      <w:kern w:val="0"/>
                      <w:sz w:val="18"/>
                      <w:szCs w:val="18"/>
                      <w:lang w:val="en-US" w:eastAsia="zh-CN" w:bidi="ar-SA"/>
                    </w:rPr>
                    <w:t>mg/kg</w:t>
                  </w:r>
                  <w:r>
                    <w:rPr>
                      <w:rFonts w:hint="eastAsia" w:ascii="Times New Roman" w:hAnsi="Times New Roman" w:eastAsia="宋体" w:cs="Times New Roman"/>
                      <w:bCs/>
                      <w:color w:val="auto"/>
                      <w:kern w:val="0"/>
                      <w:sz w:val="18"/>
                      <w:szCs w:val="18"/>
                      <w:lang w:val="en-US" w:eastAsia="zh-CN" w:bidi="ar-SA"/>
                    </w:rPr>
                    <w:t>－</w:t>
                  </w:r>
                  <w:r>
                    <w:rPr>
                      <w:rFonts w:ascii="Times New Roman" w:hAnsi="Times New Roman" w:eastAsia="宋体" w:cs="Times New Roman"/>
                      <w:bCs/>
                      <w:color w:val="auto"/>
                      <w:kern w:val="0"/>
                      <w:sz w:val="18"/>
                      <w:szCs w:val="18"/>
                      <w:lang w:val="en-US" w:eastAsia="zh-CN" w:bidi="ar-SA"/>
                    </w:rPr>
                    <w:t>原料</w:t>
                  </w:r>
                </w:p>
              </w:tc>
              <w:tc>
                <w:tcPr>
                  <w:tcW w:w="1826" w:type="dxa"/>
                  <w:noWrap w:val="0"/>
                  <w:vAlign w:val="center"/>
                </w:tcPr>
                <w:p w14:paraId="0FB679A4">
                  <w:pPr>
                    <w:widowControl/>
                    <w:adjustRightInd w:val="0"/>
                    <w:snapToGrid w:val="0"/>
                    <w:spacing w:beforeLines="0" w:afterLines="0"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0.011</w:t>
                  </w:r>
                </w:p>
              </w:tc>
            </w:tr>
            <w:tr w14:paraId="63727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0869563E">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ascii="Times New Roman" w:hAnsi="Times New Roman" w:eastAsia="宋体" w:cs="Times New Roman"/>
                      <w:bCs/>
                      <w:color w:val="auto"/>
                      <w:kern w:val="0"/>
                      <w:sz w:val="18"/>
                      <w:szCs w:val="18"/>
                      <w:lang w:val="en-US" w:eastAsia="zh-CN" w:bidi="ar-SA"/>
                    </w:rPr>
                    <w:t>1,3-丁二烯</w:t>
                  </w:r>
                </w:p>
              </w:tc>
              <w:tc>
                <w:tcPr>
                  <w:tcW w:w="1586" w:type="pct"/>
                  <w:vMerge w:val="continue"/>
                  <w:noWrap w:val="0"/>
                  <w:vAlign w:val="center"/>
                </w:tcPr>
                <w:p w14:paraId="15054E72">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p>
              </w:tc>
              <w:tc>
                <w:tcPr>
                  <w:tcW w:w="1087" w:type="pct"/>
                  <w:noWrap w:val="0"/>
                  <w:vAlign w:val="center"/>
                </w:tcPr>
                <w:p w14:paraId="3D30B1D2">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4.31</w:t>
                  </w:r>
                  <w:r>
                    <w:rPr>
                      <w:rFonts w:ascii="Times New Roman" w:hAnsi="Times New Roman" w:eastAsia="宋体" w:cs="Times New Roman"/>
                      <w:bCs/>
                      <w:color w:val="auto"/>
                      <w:kern w:val="0"/>
                      <w:sz w:val="18"/>
                      <w:szCs w:val="18"/>
                      <w:lang w:val="en-US" w:eastAsia="zh-CN" w:bidi="ar-SA"/>
                    </w:rPr>
                    <w:t>mg/kg</w:t>
                  </w:r>
                  <w:r>
                    <w:rPr>
                      <w:rFonts w:hint="eastAsia" w:ascii="Times New Roman" w:hAnsi="Times New Roman" w:eastAsia="宋体" w:cs="Times New Roman"/>
                      <w:bCs/>
                      <w:color w:val="auto"/>
                      <w:kern w:val="0"/>
                      <w:sz w:val="18"/>
                      <w:szCs w:val="18"/>
                      <w:lang w:val="en-US" w:eastAsia="zh-CN" w:bidi="ar-SA"/>
                    </w:rPr>
                    <w:t>－</w:t>
                  </w:r>
                  <w:r>
                    <w:rPr>
                      <w:rFonts w:ascii="Times New Roman" w:hAnsi="Times New Roman" w:eastAsia="宋体" w:cs="Times New Roman"/>
                      <w:bCs/>
                      <w:color w:val="auto"/>
                      <w:kern w:val="0"/>
                      <w:sz w:val="18"/>
                      <w:szCs w:val="18"/>
                      <w:lang w:val="en-US" w:eastAsia="zh-CN" w:bidi="ar-SA"/>
                    </w:rPr>
                    <w:t>原料</w:t>
                  </w:r>
                </w:p>
              </w:tc>
              <w:tc>
                <w:tcPr>
                  <w:tcW w:w="1826" w:type="dxa"/>
                  <w:noWrap w:val="0"/>
                  <w:vAlign w:val="center"/>
                </w:tcPr>
                <w:p w14:paraId="0BD93278">
                  <w:pPr>
                    <w:widowControl/>
                    <w:adjustRightInd w:val="0"/>
                    <w:snapToGrid w:val="0"/>
                    <w:spacing w:beforeLines="0" w:afterLines="0" w:line="240" w:lineRule="auto"/>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0.004</w:t>
                  </w:r>
                </w:p>
              </w:tc>
            </w:tr>
            <w:tr w14:paraId="03070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97" w:type="pct"/>
                  <w:noWrap w:val="0"/>
                  <w:vAlign w:val="center"/>
                </w:tcPr>
                <w:p w14:paraId="6665F777">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氨</w:t>
                  </w:r>
                </w:p>
              </w:tc>
              <w:tc>
                <w:tcPr>
                  <w:tcW w:w="1586" w:type="pct"/>
                  <w:noWrap w:val="0"/>
                  <w:vAlign w:val="center"/>
                </w:tcPr>
                <w:p w14:paraId="21713EFD">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PA</w:t>
                  </w:r>
                </w:p>
              </w:tc>
              <w:tc>
                <w:tcPr>
                  <w:tcW w:w="1087" w:type="pct"/>
                  <w:noWrap w:val="0"/>
                  <w:vAlign w:val="center"/>
                </w:tcPr>
                <w:p w14:paraId="6C73FBA1">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w:t>
                  </w:r>
                </w:p>
              </w:tc>
              <w:tc>
                <w:tcPr>
                  <w:tcW w:w="1128" w:type="pct"/>
                  <w:noWrap w:val="0"/>
                  <w:vAlign w:val="center"/>
                </w:tcPr>
                <w:p w14:paraId="567BBF1D">
                  <w:pPr>
                    <w:widowControl/>
                    <w:adjustRightInd w:val="0"/>
                    <w:snapToGrid w:val="0"/>
                    <w:spacing w:beforeLines="0" w:afterLines="0" w:line="240" w:lineRule="auto"/>
                    <w:jc w:val="center"/>
                    <w:rPr>
                      <w:rFonts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定性分析</w:t>
                  </w:r>
                </w:p>
              </w:tc>
            </w:tr>
          </w:tbl>
          <w:p w14:paraId="4EC7C07F">
            <w:pPr>
              <w:adjustRightInd w:val="0"/>
              <w:snapToGrid w:val="0"/>
              <w:spacing w:line="360" w:lineRule="auto"/>
              <w:ind w:firstLine="420" w:firstLineChars="200"/>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t>根据上表，除非甲烷总烃外，其余污染物的产生量较少，通过有机废气处理设施处理后的排放量极少，本次评价不对其进行排放量统计，但纳入达标排放管理和监控。</w:t>
            </w:r>
          </w:p>
          <w:p w14:paraId="49C2B89F">
            <w:pPr>
              <w:adjustRightInd w:val="0"/>
              <w:snapToGrid w:val="0"/>
              <w:spacing w:line="360" w:lineRule="auto"/>
              <w:ind w:firstLine="422" w:firstLineChars="200"/>
              <w:rPr>
                <w:rFonts w:hint="default" w:ascii="Times New Roman" w:hAnsi="Times New Roman" w:cs="Times New Roman"/>
                <w:b/>
                <w:bCs w:val="0"/>
                <w:color w:val="auto"/>
                <w:szCs w:val="21"/>
                <w:lang w:val="en-US" w:eastAsia="zh-CN"/>
              </w:rPr>
            </w:pPr>
            <w:r>
              <w:rPr>
                <w:rFonts w:hint="eastAsia" w:ascii="Times New Roman" w:hAnsi="Times New Roman" w:cs="Times New Roman"/>
                <w:b/>
                <w:bCs w:val="0"/>
                <w:color w:val="auto"/>
                <w:szCs w:val="21"/>
                <w:lang w:val="en-US" w:eastAsia="zh-CN"/>
              </w:rPr>
              <w:t>（2）</w:t>
            </w:r>
            <w:r>
              <w:rPr>
                <w:rFonts w:hint="default" w:ascii="Times New Roman" w:hAnsi="Times New Roman" w:cs="Times New Roman"/>
                <w:b/>
                <w:bCs w:val="0"/>
                <w:color w:val="auto"/>
                <w:szCs w:val="21"/>
                <w:lang w:val="en-US" w:eastAsia="zh-CN"/>
              </w:rPr>
              <w:t>风量核算</w:t>
            </w:r>
          </w:p>
          <w:p w14:paraId="03024170">
            <w:pPr>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rPr>
              <w:t>本项目拟在</w:t>
            </w:r>
            <w:r>
              <w:rPr>
                <w:rFonts w:hint="default" w:ascii="Times New Roman" w:hAnsi="Times New Roman" w:cs="Times New Roman"/>
                <w:color w:val="auto"/>
                <w:szCs w:val="21"/>
                <w:lang w:val="en-US" w:eastAsia="zh-CN"/>
              </w:rPr>
              <w:t>注塑机</w:t>
            </w:r>
            <w:r>
              <w:rPr>
                <w:rFonts w:hint="default" w:ascii="Times New Roman" w:hAnsi="Times New Roman" w:cs="Times New Roman"/>
                <w:color w:val="auto"/>
                <w:szCs w:val="21"/>
                <w:highlight w:val="none"/>
              </w:rPr>
              <w:t>（共</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台）上方设置集气罩（</w:t>
            </w:r>
            <w:r>
              <w:rPr>
                <w:rFonts w:hint="eastAsia" w:cs="Times New Roman"/>
                <w:color w:val="auto"/>
                <w:szCs w:val="21"/>
                <w:highlight w:val="none"/>
                <w:lang w:val="en-US" w:eastAsia="zh-CN"/>
              </w:rPr>
              <w:t>收集率按</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0%</w:t>
            </w:r>
            <w:r>
              <w:rPr>
                <w:rFonts w:hint="eastAsia" w:cs="Times New Roman"/>
                <w:color w:val="auto"/>
                <w:szCs w:val="21"/>
                <w:highlight w:val="none"/>
                <w:lang w:val="en-US" w:eastAsia="zh-CN"/>
              </w:rPr>
              <w:t>计</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收集</w:t>
            </w:r>
            <w:r>
              <w:rPr>
                <w:rFonts w:hint="default" w:ascii="Times New Roman" w:hAnsi="Times New Roman" w:cs="Times New Roman"/>
                <w:color w:val="auto"/>
                <w:szCs w:val="21"/>
                <w:lang w:val="en-US" w:eastAsia="zh-CN"/>
              </w:rPr>
              <w:t>注塑过程中产生的</w:t>
            </w:r>
            <w:r>
              <w:rPr>
                <w:rFonts w:hint="default" w:ascii="Times New Roman" w:hAnsi="Times New Roman" w:cs="Times New Roman"/>
                <w:color w:val="auto"/>
                <w:szCs w:val="21"/>
                <w:lang w:eastAsia="zh-CN"/>
              </w:rPr>
              <w:t>废气，</w:t>
            </w:r>
            <w:r>
              <w:rPr>
                <w:rFonts w:hint="default" w:ascii="Times New Roman" w:hAnsi="Times New Roman" w:cs="Times New Roman"/>
                <w:color w:val="auto"/>
                <w:szCs w:val="21"/>
                <w:lang w:val="en-US" w:eastAsia="zh-CN"/>
              </w:rPr>
              <w:t>废气收集后经过滤棉+两级活性炭处</w:t>
            </w:r>
            <w:r>
              <w:rPr>
                <w:rFonts w:hint="default" w:ascii="Times New Roman" w:hAnsi="Times New Roman" w:cs="Times New Roman"/>
                <w:color w:val="auto"/>
                <w:sz w:val="21"/>
                <w:szCs w:val="21"/>
                <w:lang w:val="en-US" w:eastAsia="zh-CN"/>
              </w:rPr>
              <w:t>理</w:t>
            </w:r>
            <w:r>
              <w:rPr>
                <w:rFonts w:hint="default" w:ascii="Times New Roman" w:hAnsi="Times New Roman" w:cs="Times New Roman"/>
                <w:color w:val="auto"/>
                <w:sz w:val="21"/>
                <w:szCs w:val="21"/>
                <w:highlight w:val="none"/>
              </w:rPr>
              <w:t>（</w:t>
            </w:r>
            <w:r>
              <w:rPr>
                <w:rFonts w:hint="eastAsia" w:ascii="Times New Roman" w:hAnsi="Times New Roman" w:cs="Times New Roman"/>
                <w:bCs/>
                <w:color w:val="auto"/>
                <w:sz w:val="21"/>
                <w:szCs w:val="21"/>
              </w:rPr>
              <w:t>第一级</w:t>
            </w:r>
            <w:r>
              <w:rPr>
                <w:rFonts w:ascii="Times New Roman" w:hAnsi="Times New Roman" w:cs="Times New Roman"/>
                <w:bCs/>
                <w:color w:val="auto"/>
                <w:sz w:val="21"/>
                <w:szCs w:val="21"/>
              </w:rPr>
              <w:t>活性炭去除效率取</w:t>
            </w:r>
            <w:r>
              <w:rPr>
                <w:rFonts w:hint="eastAsia" w:ascii="Times New Roman" w:hAnsi="Times New Roman" w:cs="Times New Roman"/>
                <w:bCs/>
                <w:color w:val="auto"/>
                <w:sz w:val="21"/>
                <w:szCs w:val="21"/>
              </w:rPr>
              <w:t>60%，</w:t>
            </w:r>
            <w:r>
              <w:rPr>
                <w:rFonts w:ascii="Times New Roman" w:hAnsi="Times New Roman" w:cs="Times New Roman"/>
                <w:bCs/>
                <w:color w:val="auto"/>
                <w:sz w:val="21"/>
                <w:szCs w:val="21"/>
              </w:rPr>
              <w:t>第二</w:t>
            </w:r>
            <w:r>
              <w:rPr>
                <w:rFonts w:hint="eastAsia" w:ascii="Times New Roman" w:hAnsi="Times New Roman" w:cs="Times New Roman"/>
                <w:bCs/>
                <w:color w:val="auto"/>
                <w:sz w:val="21"/>
                <w:szCs w:val="21"/>
              </w:rPr>
              <w:t>级</w:t>
            </w:r>
            <w:r>
              <w:rPr>
                <w:rFonts w:ascii="Times New Roman" w:hAnsi="Times New Roman" w:cs="Times New Roman"/>
                <w:bCs/>
                <w:color w:val="auto"/>
                <w:sz w:val="21"/>
                <w:szCs w:val="21"/>
              </w:rPr>
              <w:t>活性炭去除效率取</w:t>
            </w:r>
            <w:r>
              <w:rPr>
                <w:rFonts w:hint="eastAsia" w:ascii="Times New Roman" w:hAnsi="Times New Roman" w:cs="Times New Roman"/>
                <w:bCs/>
                <w:color w:val="auto"/>
                <w:sz w:val="21"/>
                <w:szCs w:val="21"/>
              </w:rPr>
              <w:t>40%，</w:t>
            </w:r>
            <w:r>
              <w:rPr>
                <w:rFonts w:ascii="Times New Roman" w:hAnsi="Times New Roman" w:cs="Times New Roman"/>
                <w:bCs/>
                <w:color w:val="auto"/>
                <w:sz w:val="21"/>
                <w:szCs w:val="21"/>
              </w:rPr>
              <w:t>二级活性炭</w:t>
            </w:r>
            <w:r>
              <w:rPr>
                <w:rFonts w:hint="eastAsia" w:ascii="Times New Roman" w:hAnsi="Times New Roman" w:cs="Times New Roman"/>
                <w:bCs/>
                <w:color w:val="auto"/>
                <w:sz w:val="21"/>
                <w:szCs w:val="21"/>
              </w:rPr>
              <w:t>综合</w:t>
            </w:r>
            <w:r>
              <w:rPr>
                <w:rFonts w:ascii="Times New Roman" w:hAnsi="Times New Roman" w:cs="Times New Roman"/>
                <w:bCs/>
                <w:color w:val="auto"/>
                <w:sz w:val="21"/>
                <w:szCs w:val="21"/>
              </w:rPr>
              <w:t>处理效率</w:t>
            </w:r>
            <w:r>
              <w:rPr>
                <w:rFonts w:hint="eastAsia" w:ascii="Times New Roman" w:hAnsi="Times New Roman" w:cs="Times New Roman"/>
                <w:bCs/>
                <w:color w:val="auto"/>
                <w:sz w:val="21"/>
                <w:szCs w:val="21"/>
              </w:rPr>
              <w:t>取76%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lang w:val="en-US" w:eastAsia="zh-CN"/>
              </w:rPr>
              <w:t>最后经</w:t>
            </w:r>
            <w:r>
              <w:rPr>
                <w:rFonts w:hint="eastAsia" w:ascii="Times New Roman" w:hAnsi="Times New Roman" w:cs="Times New Roman"/>
                <w:color w:val="auto"/>
                <w:szCs w:val="21"/>
                <w:lang w:val="en-US" w:eastAsia="zh-CN"/>
              </w:rPr>
              <w:t>25m</w:t>
            </w:r>
            <w:r>
              <w:rPr>
                <w:rFonts w:hint="default" w:ascii="Times New Roman" w:hAnsi="Times New Roman" w:cs="Times New Roman"/>
                <w:color w:val="auto"/>
                <w:szCs w:val="21"/>
                <w:lang w:val="en-US" w:eastAsia="zh-CN"/>
              </w:rPr>
              <w:t>高排气筒引至楼顶排放</w:t>
            </w:r>
            <w:r>
              <w:rPr>
                <w:rFonts w:hint="default" w:ascii="Times New Roman" w:hAnsi="Times New Roman" w:cs="Times New Roman"/>
                <w:color w:val="auto"/>
                <w:szCs w:val="21"/>
                <w:highlight w:val="none"/>
              </w:rPr>
              <w:t>。</w:t>
            </w:r>
          </w:p>
          <w:p w14:paraId="64C45165">
            <w:pPr>
              <w:widowControl w:val="0"/>
              <w:spacing w:line="360" w:lineRule="auto"/>
              <w:ind w:firstLine="420" w:firstLineChars="200"/>
              <w:contextualSpacing/>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根据《大气污染控制工程》中集气罩设计原则，</w:t>
            </w:r>
            <w:r>
              <w:rPr>
                <w:rFonts w:hint="default" w:ascii="Times New Roman" w:hAnsi="Times New Roman" w:cs="Times New Roman"/>
                <w:color w:val="auto"/>
                <w:kern w:val="2"/>
                <w:sz w:val="21"/>
                <w:szCs w:val="21"/>
                <w:lang w:val="en-US" w:eastAsia="zh-CN" w:bidi="ar-SA"/>
              </w:rPr>
              <w:t>本项目</w:t>
            </w:r>
            <w:r>
              <w:rPr>
                <w:rFonts w:hint="default" w:ascii="Times New Roman" w:hAnsi="Times New Roman" w:eastAsia="宋体" w:cs="Times New Roman"/>
                <w:color w:val="auto"/>
                <w:kern w:val="2"/>
                <w:sz w:val="21"/>
                <w:szCs w:val="21"/>
                <w:lang w:val="en-US" w:eastAsia="zh-CN" w:bidi="ar-SA"/>
              </w:rPr>
              <w:t>集气罩风量按照下式确定：</w:t>
            </w:r>
          </w:p>
          <w:p w14:paraId="3D462A93">
            <w:pPr>
              <w:widowControl w:val="0"/>
              <w:spacing w:line="360" w:lineRule="auto"/>
              <w:ind w:firstLine="1050" w:firstLineChars="500"/>
              <w:contextualSpacing/>
              <w:jc w:val="both"/>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kern w:val="2"/>
                <w:sz w:val="21"/>
                <w:szCs w:val="21"/>
                <w:lang w:val="en-US" w:eastAsia="zh-CN" w:bidi="ar-SA"/>
              </w:rPr>
              <w:t>L=V</w:t>
            </w:r>
            <w:r>
              <w:rPr>
                <w:rFonts w:hint="default" w:ascii="Times New Roman" w:hAnsi="Times New Roman" w:eastAsia="宋体" w:cs="Times New Roman"/>
                <w:color w:val="auto"/>
                <w:kern w:val="2"/>
                <w:sz w:val="21"/>
                <w:szCs w:val="21"/>
                <w:vertAlign w:val="subscript"/>
                <w:lang w:val="en-US" w:eastAsia="zh-CN" w:bidi="ar-SA"/>
              </w:rPr>
              <w:t>0</w:t>
            </w:r>
            <w:r>
              <w:rPr>
                <w:rFonts w:hint="default" w:ascii="Times New Roman" w:hAnsi="Times New Roman" w:eastAsia="宋体" w:cs="Times New Roman"/>
                <w:color w:val="auto"/>
                <w:kern w:val="2"/>
                <w:sz w:val="21"/>
                <w:szCs w:val="21"/>
                <w:lang w:val="en-US" w:eastAsia="zh-CN" w:bidi="ar-SA"/>
              </w:rPr>
              <w:t>F=</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10x</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+F</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w:t>
            </w:r>
            <w:r>
              <w:rPr>
                <w:rFonts w:hint="default" w:ascii="Times New Roman" w:hAnsi="Times New Roman" w:eastAsia="宋体" w:cs="Times New Roman"/>
                <w:color w:val="auto"/>
                <w:kern w:val="2"/>
                <w:sz w:val="21"/>
                <w:szCs w:val="21"/>
                <w:vertAlign w:val="subscript"/>
                <w:lang w:val="en-US" w:eastAsia="zh-CN" w:bidi="ar-SA"/>
              </w:rPr>
              <w:t xml:space="preserve">x                </w:t>
            </w:r>
          </w:p>
          <w:p w14:paraId="74CDE4CB">
            <w:pPr>
              <w:widowControl w:val="0"/>
              <w:spacing w:line="360" w:lineRule="auto"/>
              <w:ind w:firstLine="1050" w:firstLineChars="500"/>
              <w:contextualSpacing/>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式中：L——集气罩风量，m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w:t>
            </w:r>
          </w:p>
          <w:p w14:paraId="780BF421">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——吸气口的平均风速，m/s；</w:t>
            </w:r>
          </w:p>
          <w:p w14:paraId="4477EA7C">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——控制点的吸入风速，m/s；</w:t>
            </w:r>
          </w:p>
          <w:p w14:paraId="2B3AA836">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F——集气罩面积，m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14:paraId="577ACA59">
            <w:pPr>
              <w:adjustRightInd w:val="0"/>
              <w:snapToGrid w:val="0"/>
              <w:spacing w:line="360" w:lineRule="auto"/>
              <w:ind w:firstLine="420" w:firstLineChars="200"/>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rPr>
              <w:t>本项目考虑</w:t>
            </w:r>
            <w:r>
              <w:rPr>
                <w:rFonts w:hint="default" w:ascii="Times New Roman" w:hAnsi="Times New Roman" w:cs="Times New Roman"/>
                <w:color w:val="auto"/>
                <w:lang w:val="en-US" w:eastAsia="zh-CN"/>
              </w:rPr>
              <w:t>单台注塑机</w:t>
            </w:r>
            <w:r>
              <w:rPr>
                <w:rFonts w:hint="default" w:ascii="Times New Roman" w:hAnsi="Times New Roman" w:cs="Times New Roman"/>
                <w:color w:val="auto"/>
              </w:rPr>
              <w:t>集气罩的罩口面积约</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m×0.</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m=0.</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lang w:val="en-US" w:eastAsia="zh-CN"/>
              </w:rPr>
              <w:t>本项目共设有</w:t>
            </w:r>
            <w:r>
              <w:rPr>
                <w:rFonts w:hint="eastAsia" w:ascii="Times New Roman" w:hAnsi="Times New Roman" w:cs="Times New Roman"/>
                <w:color w:val="auto"/>
                <w:highlight w:val="none"/>
                <w:vertAlign w:val="baseline"/>
                <w:lang w:val="en-US" w:eastAsia="zh-CN"/>
              </w:rPr>
              <w:t>19台注塑机</w:t>
            </w:r>
            <w:r>
              <w:rPr>
                <w:rFonts w:hint="default" w:ascii="Times New Roman" w:hAnsi="Times New Roman" w:cs="Times New Roman"/>
                <w:color w:val="auto"/>
                <w:highlight w:val="none"/>
                <w:vertAlign w:val="baseline"/>
                <w:lang w:val="en-US" w:eastAsia="zh-CN"/>
              </w:rPr>
              <w:t>，集气罩罩口面积合计为</w:t>
            </w:r>
            <w:r>
              <w:rPr>
                <w:rFonts w:hint="eastAsia" w:cs="Times New Roman"/>
                <w:color w:val="auto"/>
                <w:highlight w:val="none"/>
                <w:vertAlign w:val="baseline"/>
                <w:lang w:val="en-US" w:eastAsia="zh-CN"/>
              </w:rPr>
              <w:t>5.7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p>
          <w:p w14:paraId="33EFEA9F">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x——控制点到吸气口的距离，m</w:t>
            </w:r>
          </w:p>
          <w:p w14:paraId="4A7A7A6D">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本项目正常生产时集气罩距无组织废气散发点距离（x）可控制在约0.1m，根据《大气污染控制工程》中对控制点吸入风速的要求，项目污染物放散情况按“以较低的初速度放散到尚属平静的空气中”考虑，最小控制风速为0.5～1.0m/s，项目Vx取</w:t>
            </w:r>
            <w:r>
              <w:rPr>
                <w:rFonts w:hint="eastAsia" w:ascii="Times New Roman" w:hAnsi="Times New Roman" w:cs="Times New Roman"/>
                <w:color w:val="auto"/>
                <w:kern w:val="2"/>
                <w:sz w:val="21"/>
                <w:szCs w:val="21"/>
                <w:lang w:val="en-US" w:eastAsia="zh-CN" w:bidi="ar-SA"/>
              </w:rPr>
              <w:t>中间值0.75</w:t>
            </w:r>
            <w:r>
              <w:rPr>
                <w:rFonts w:hint="default" w:ascii="Times New Roman" w:hAnsi="Times New Roman" w:eastAsia="宋体" w:cs="Times New Roman"/>
                <w:color w:val="auto"/>
                <w:kern w:val="2"/>
                <w:sz w:val="21"/>
                <w:szCs w:val="21"/>
                <w:lang w:val="en-US" w:eastAsia="zh-CN" w:bidi="ar-SA"/>
              </w:rPr>
              <w:t>m/s</w:t>
            </w:r>
            <w:r>
              <w:rPr>
                <w:rFonts w:hint="default" w:ascii="Times New Roman" w:hAnsi="Times New Roman" w:eastAsia="宋体" w:cs="Times New Roman"/>
                <w:color w:val="auto"/>
                <w:sz w:val="21"/>
                <w:szCs w:val="21"/>
                <w:vertAlign w:val="baseline"/>
                <w:lang w:val="en-US" w:eastAsia="zh-CN"/>
              </w:rPr>
              <w:t>。</w:t>
            </w:r>
          </w:p>
          <w:p w14:paraId="46236600">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由此核算出</w:t>
            </w:r>
            <w:r>
              <w:rPr>
                <w:rFonts w:hint="default" w:ascii="Times New Roman" w:hAnsi="Times New Roman" w:cs="Times New Roman"/>
                <w:color w:val="auto"/>
                <w:szCs w:val="21"/>
                <w:lang w:val="en-US" w:eastAsia="zh-CN"/>
              </w:rPr>
              <w:t>，则风机</w:t>
            </w:r>
            <w:r>
              <w:rPr>
                <w:rFonts w:hint="default" w:ascii="Times New Roman" w:hAnsi="Times New Roman" w:cs="Times New Roman"/>
                <w:color w:val="auto"/>
                <w:szCs w:val="21"/>
                <w:lang w:eastAsia="zh-CN"/>
              </w:rPr>
              <w:t>合计风量</w:t>
            </w:r>
            <w:r>
              <w:rPr>
                <w:rFonts w:hint="eastAsia" w:ascii="Times New Roman" w:hAnsi="Times New Roman" w:cs="Times New Roman"/>
                <w:color w:val="auto"/>
                <w:szCs w:val="21"/>
                <w:lang w:val="en-US" w:eastAsia="zh-CN"/>
              </w:rPr>
              <w:t>15660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rPr>
              <w:t>考虑到风管阻力等因素，</w:t>
            </w:r>
            <w:r>
              <w:rPr>
                <w:rFonts w:hint="default" w:ascii="Times New Roman" w:hAnsi="Times New Roman" w:cs="Times New Roman"/>
                <w:color w:val="auto"/>
                <w:kern w:val="0"/>
                <w:szCs w:val="21"/>
                <w:lang w:eastAsia="zh-CN"/>
              </w:rPr>
              <w:t>风量考虑取整</w:t>
            </w:r>
            <w:r>
              <w:rPr>
                <w:rFonts w:hint="default" w:ascii="Times New Roman" w:hAnsi="Times New Roman" w:cs="Times New Roman"/>
                <w:color w:val="auto"/>
                <w:szCs w:val="21"/>
              </w:rPr>
              <w:t>，</w:t>
            </w:r>
            <w:r>
              <w:rPr>
                <w:rFonts w:hint="default" w:ascii="Times New Roman" w:hAnsi="Times New Roman" w:cs="Times New Roman"/>
                <w:color w:val="auto"/>
                <w:kern w:val="0"/>
                <w:szCs w:val="21"/>
              </w:rPr>
              <w:t>则</w:t>
            </w:r>
            <w:r>
              <w:rPr>
                <w:rFonts w:hint="default" w:ascii="Times New Roman" w:hAnsi="Times New Roman" w:cs="Times New Roman"/>
                <w:color w:val="auto"/>
                <w:kern w:val="0"/>
                <w:szCs w:val="21"/>
                <w:lang w:val="en-US" w:eastAsia="zh-CN"/>
              </w:rPr>
              <w:t>风机风量合计为</w:t>
            </w:r>
            <w:r>
              <w:rPr>
                <w:rFonts w:hint="eastAsia" w:ascii="Times New Roman" w:hAnsi="Times New Roman" w:cs="Times New Roman"/>
                <w:color w:val="auto"/>
                <w:kern w:val="0"/>
                <w:szCs w:val="21"/>
                <w:lang w:val="en-US" w:eastAsia="zh-CN"/>
              </w:rPr>
              <w:t>16</w:t>
            </w:r>
            <w:r>
              <w:rPr>
                <w:rFonts w:hint="default" w:ascii="Times New Roman" w:hAnsi="Times New Roman" w:cs="Times New Roman"/>
                <w:color w:val="auto"/>
                <w:kern w:val="0"/>
                <w:szCs w:val="21"/>
                <w:lang w:val="en-US" w:eastAsia="zh-CN"/>
              </w:rPr>
              <w:t>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p w14:paraId="676DF3AC">
            <w:pPr>
              <w:adjustRightInd w:val="0"/>
              <w:snapToGrid w:val="0"/>
              <w:spacing w:line="360" w:lineRule="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zCs w:val="21"/>
                <w:lang w:val="en-US" w:eastAsia="zh-CN"/>
              </w:rPr>
              <w:t>4.2.3.1</w:t>
            </w:r>
            <w:r>
              <w:rPr>
                <w:rFonts w:hint="default" w:ascii="Times New Roman" w:hAnsi="Times New Roman" w:eastAsia="宋体" w:cs="Times New Roman"/>
                <w:b/>
                <w:bCs w:val="0"/>
                <w:color w:val="auto"/>
                <w:spacing w:val="-10"/>
                <w:szCs w:val="21"/>
                <w:lang w:eastAsia="zh-CN"/>
              </w:rPr>
              <w:t>破碎废气</w:t>
            </w:r>
            <w:r>
              <w:rPr>
                <w:rFonts w:hint="default" w:ascii="Times New Roman" w:hAnsi="Times New Roman" w:eastAsia="宋体" w:cs="Times New Roman"/>
                <w:b/>
                <w:bCs w:val="0"/>
                <w:color w:val="auto"/>
                <w:spacing w:val="-10"/>
                <w:szCs w:val="21"/>
                <w:lang w:val="en-US" w:eastAsia="zh-CN"/>
              </w:rPr>
              <w:t>G</w:t>
            </w:r>
            <w:r>
              <w:rPr>
                <w:rFonts w:hint="eastAsia" w:ascii="Times New Roman" w:hAnsi="Times New Roman" w:cs="Times New Roman"/>
                <w:b/>
                <w:bCs w:val="0"/>
                <w:color w:val="auto"/>
                <w:spacing w:val="-10"/>
                <w:szCs w:val="21"/>
                <w:lang w:val="en-US" w:eastAsia="zh-CN"/>
              </w:rPr>
              <w:t>2</w:t>
            </w:r>
          </w:p>
          <w:p w14:paraId="63ACA372">
            <w:pPr>
              <w:spacing w:line="360" w:lineRule="auto"/>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val="0"/>
                <w:color w:val="auto"/>
                <w:spacing w:val="-10"/>
                <w:szCs w:val="21"/>
                <w:lang w:val="en-US" w:eastAsia="zh-CN"/>
              </w:rPr>
              <w:t>项目在破碎</w:t>
            </w:r>
            <w:r>
              <w:rPr>
                <w:rFonts w:hint="default" w:ascii="Times New Roman" w:hAnsi="Times New Roman" w:eastAsia="宋体" w:cs="Times New Roman"/>
                <w:b w:val="0"/>
                <w:bCs w:val="0"/>
                <w:color w:val="auto"/>
                <w:szCs w:val="21"/>
                <w:lang w:val="en-US" w:eastAsia="zh-CN"/>
              </w:rPr>
              <w:t>废料过程中会产生破碎粉尘，根据4.5固体废物环境影响及保护措施可知，本项目需要破碎的塑料边角料及其</w:t>
            </w:r>
            <w:r>
              <w:rPr>
                <w:rFonts w:hint="default" w:ascii="Times New Roman" w:hAnsi="Times New Roman" w:eastAsia="宋体" w:cs="Times New Roman"/>
                <w:b w:val="0"/>
                <w:bCs w:val="0"/>
                <w:color w:val="auto"/>
                <w:szCs w:val="21"/>
              </w:rPr>
              <w:t>不合格产品</w:t>
            </w:r>
            <w:r>
              <w:rPr>
                <w:rFonts w:hint="default" w:ascii="Times New Roman" w:hAnsi="Times New Roman" w:eastAsia="宋体" w:cs="Times New Roman"/>
                <w:b w:val="0"/>
                <w:bCs w:val="0"/>
                <w:color w:val="auto"/>
                <w:szCs w:val="21"/>
                <w:lang w:val="en-US" w:eastAsia="zh-CN"/>
              </w:rPr>
              <w:t>重量合计为</w:t>
            </w:r>
            <w:r>
              <w:rPr>
                <w:rFonts w:hint="eastAsia" w:ascii="Times New Roman" w:hAnsi="Times New Roman" w:cs="Times New Roman"/>
                <w:b w:val="0"/>
                <w:bCs w:val="0"/>
                <w:color w:val="auto"/>
                <w:szCs w:val="21"/>
                <w:lang w:val="en-US" w:eastAsia="zh-CN"/>
              </w:rPr>
              <w:t>50</w:t>
            </w:r>
            <w:r>
              <w:rPr>
                <w:rFonts w:hint="default" w:ascii="Times New Roman" w:hAnsi="Times New Roman" w:eastAsia="宋体" w:cs="Times New Roman"/>
                <w:b w:val="0"/>
                <w:bCs w:val="0"/>
                <w:color w:val="auto"/>
                <w:szCs w:val="21"/>
                <w:lang w:val="en-US" w:eastAsia="zh-CN"/>
              </w:rPr>
              <w:t>t/a，</w:t>
            </w:r>
            <w:r>
              <w:rPr>
                <w:rFonts w:hint="default" w:ascii="Times New Roman" w:hAnsi="Times New Roman" w:eastAsia="宋体" w:cs="Times New Roman"/>
                <w:color w:val="auto"/>
                <w:szCs w:val="21"/>
                <w:lang w:val="en-US" w:eastAsia="zh-CN"/>
              </w:rPr>
              <w:t>根据</w:t>
            </w:r>
            <w:r>
              <w:rPr>
                <w:rFonts w:hint="default" w:ascii="Times New Roman" w:hAnsi="Times New Roman" w:eastAsia="宋体" w:cs="Times New Roman"/>
                <w:bCs/>
                <w:color w:val="auto"/>
                <w:spacing w:val="-10"/>
                <w:szCs w:val="21"/>
              </w:rPr>
              <w:t>《排放源统计调查产排污核算方法和系数手册》中</w:t>
            </w:r>
            <w:r>
              <w:rPr>
                <w:rFonts w:hint="default" w:ascii="Times New Roman" w:hAnsi="Times New Roman" w:eastAsia="宋体" w:cs="Times New Roman"/>
                <w:bCs/>
                <w:color w:val="auto"/>
                <w:spacing w:val="-10"/>
                <w:szCs w:val="21"/>
                <w:lang w:val="en-US" w:eastAsia="zh-CN"/>
              </w:rPr>
              <w:t xml:space="preserve">  </w:t>
            </w:r>
            <w:r>
              <w:rPr>
                <w:rFonts w:hint="default" w:ascii="Times New Roman" w:hAnsi="Times New Roman" w:eastAsia="宋体" w:cs="Times New Roman"/>
                <w:bCs/>
                <w:color w:val="auto"/>
                <w:spacing w:val="-10"/>
                <w:szCs w:val="21"/>
              </w:rPr>
              <w:t>42废弃资源综合利用行业系数手册</w:t>
            </w:r>
            <w:r>
              <w:rPr>
                <w:rFonts w:hint="default" w:ascii="Times New Roman" w:hAnsi="Times New Roman" w:eastAsia="宋体" w:cs="Times New Roman"/>
                <w:bCs/>
                <w:color w:val="auto"/>
                <w:spacing w:val="-10"/>
                <w:szCs w:val="21"/>
                <w:lang w:val="en-US" w:eastAsia="zh-CN"/>
              </w:rPr>
              <w:t xml:space="preserve">  4220非金属废料和碎屑加工处理行业系数表中：废</w:t>
            </w:r>
            <w:r>
              <w:rPr>
                <w:rFonts w:hint="default" w:ascii="Times New Roman" w:hAnsi="Times New Roman" w:cs="Times New Roman"/>
                <w:bCs/>
                <w:color w:val="auto"/>
                <w:spacing w:val="-10"/>
                <w:szCs w:val="21"/>
                <w:lang w:val="en-US" w:eastAsia="zh-CN"/>
              </w:rPr>
              <w:t>PP</w:t>
            </w:r>
            <w:r>
              <w:rPr>
                <w:rFonts w:hint="default" w:ascii="Times New Roman" w:hAnsi="Times New Roman" w:eastAsia="宋体" w:cs="Times New Roman"/>
                <w:bCs/>
                <w:color w:val="auto"/>
                <w:spacing w:val="-10"/>
                <w:szCs w:val="21"/>
                <w:lang w:val="en-US" w:eastAsia="zh-CN"/>
              </w:rPr>
              <w:t>料破碎粉尘的产污系数均为</w:t>
            </w:r>
            <w:r>
              <w:rPr>
                <w:rFonts w:hint="default" w:ascii="Times New Roman" w:hAnsi="Times New Roman" w:cs="Times New Roman"/>
                <w:bCs/>
                <w:color w:val="auto"/>
                <w:spacing w:val="-10"/>
                <w:szCs w:val="21"/>
                <w:lang w:val="en-US" w:eastAsia="zh-CN"/>
              </w:rPr>
              <w:t>375</w:t>
            </w:r>
            <w:r>
              <w:rPr>
                <w:rFonts w:hint="default" w:ascii="Times New Roman" w:hAnsi="Times New Roman" w:eastAsia="宋体" w:cs="Times New Roman"/>
                <w:bCs/>
                <w:color w:val="auto"/>
                <w:spacing w:val="-10"/>
                <w:szCs w:val="21"/>
                <w:lang w:val="en-US" w:eastAsia="zh-CN"/>
              </w:rPr>
              <w:t>g/吨－原料</w:t>
            </w:r>
            <w:r>
              <w:rPr>
                <w:rFonts w:hint="eastAsia" w:ascii="Times New Roman" w:hAnsi="Times New Roman" w:eastAsia="宋体" w:cs="Times New Roman"/>
                <w:bCs/>
                <w:color w:val="auto"/>
                <w:spacing w:val="-10"/>
                <w:szCs w:val="21"/>
                <w:lang w:val="en-US" w:eastAsia="zh-CN"/>
              </w:rPr>
              <w:t>，</w:t>
            </w:r>
            <w:r>
              <w:rPr>
                <w:rFonts w:hint="default" w:ascii="Times New Roman" w:hAnsi="Times New Roman" w:eastAsia="宋体" w:cs="Times New Roman"/>
                <w:bCs/>
                <w:color w:val="auto"/>
                <w:spacing w:val="-10"/>
                <w:szCs w:val="21"/>
                <w:lang w:val="en-US" w:eastAsia="zh-CN"/>
              </w:rPr>
              <w:t>废</w:t>
            </w:r>
            <w:r>
              <w:rPr>
                <w:rFonts w:hint="default" w:ascii="Times New Roman" w:hAnsi="Times New Roman" w:cs="Times New Roman"/>
                <w:bCs/>
                <w:color w:val="auto"/>
                <w:spacing w:val="-10"/>
                <w:szCs w:val="21"/>
                <w:lang w:val="en-US" w:eastAsia="zh-CN"/>
              </w:rPr>
              <w:t>ABS</w:t>
            </w:r>
            <w:r>
              <w:rPr>
                <w:rFonts w:hint="default" w:ascii="Times New Roman" w:hAnsi="Times New Roman" w:eastAsia="宋体" w:cs="Times New Roman"/>
                <w:bCs/>
                <w:color w:val="auto"/>
                <w:spacing w:val="-10"/>
                <w:szCs w:val="21"/>
                <w:lang w:val="en-US" w:eastAsia="zh-CN"/>
              </w:rPr>
              <w:t>料破碎粉尘的产污系数均为</w:t>
            </w:r>
            <w:r>
              <w:rPr>
                <w:rFonts w:hint="default" w:ascii="Times New Roman" w:hAnsi="Times New Roman" w:cs="Times New Roman"/>
                <w:bCs/>
                <w:color w:val="auto"/>
                <w:spacing w:val="-10"/>
                <w:szCs w:val="21"/>
                <w:lang w:val="en-US" w:eastAsia="zh-CN"/>
              </w:rPr>
              <w:t>425</w:t>
            </w:r>
            <w:r>
              <w:rPr>
                <w:rFonts w:hint="default" w:ascii="Times New Roman" w:hAnsi="Times New Roman" w:eastAsia="宋体" w:cs="Times New Roman"/>
                <w:bCs/>
                <w:color w:val="auto"/>
                <w:spacing w:val="-10"/>
                <w:szCs w:val="21"/>
                <w:lang w:val="en-US" w:eastAsia="zh-CN"/>
              </w:rPr>
              <w:t>g/吨－原料，本项目破碎的塑料种类含</w:t>
            </w:r>
            <w:r>
              <w:rPr>
                <w:rFonts w:hint="default" w:ascii="Times New Roman" w:hAnsi="Times New Roman" w:eastAsia="宋体" w:cs="Times New Roman"/>
                <w:bCs/>
                <w:color w:val="auto"/>
                <w:spacing w:val="-10"/>
                <w:sz w:val="21"/>
                <w:szCs w:val="21"/>
                <w:lang w:val="en-US" w:eastAsia="zh-CN"/>
              </w:rPr>
              <w:t>PP、</w:t>
            </w:r>
            <w:r>
              <w:rPr>
                <w:rFonts w:hint="eastAsia" w:ascii="Times New Roman" w:hAnsi="Times New Roman" w:eastAsia="宋体" w:cs="Times New Roman"/>
                <w:bCs/>
                <w:color w:val="auto"/>
                <w:kern w:val="0"/>
                <w:sz w:val="21"/>
                <w:szCs w:val="21"/>
                <w:lang w:val="en-US" w:eastAsia="zh-CN" w:bidi="ar-SA"/>
              </w:rPr>
              <w:t>PA</w:t>
            </w:r>
            <w:r>
              <w:rPr>
                <w:rFonts w:hint="default" w:ascii="Times New Roman" w:hAnsi="Times New Roman" w:eastAsia="宋体" w:cs="Times New Roman"/>
                <w:bCs/>
                <w:color w:val="auto"/>
                <w:spacing w:val="-10"/>
                <w:sz w:val="21"/>
                <w:szCs w:val="21"/>
                <w:lang w:val="en-US" w:eastAsia="zh-CN"/>
              </w:rPr>
              <w:t>、ABS等</w:t>
            </w:r>
            <w:r>
              <w:rPr>
                <w:rFonts w:hint="default" w:ascii="Times New Roman" w:hAnsi="Times New Roman" w:eastAsia="宋体" w:cs="Times New Roman"/>
                <w:bCs/>
                <w:color w:val="auto"/>
                <w:spacing w:val="-10"/>
                <w:szCs w:val="21"/>
                <w:lang w:val="en-US" w:eastAsia="zh-CN"/>
              </w:rPr>
              <w:t>，本次评价破碎粉尘产污系数取中间值</w:t>
            </w:r>
            <w:r>
              <w:rPr>
                <w:rFonts w:hint="default" w:ascii="Times New Roman" w:hAnsi="Times New Roman" w:cs="Times New Roman"/>
                <w:bCs/>
                <w:color w:val="auto"/>
                <w:spacing w:val="-10"/>
                <w:szCs w:val="21"/>
                <w:lang w:val="en-US" w:eastAsia="zh-CN"/>
              </w:rPr>
              <w:t>400</w:t>
            </w:r>
            <w:r>
              <w:rPr>
                <w:rFonts w:hint="default" w:ascii="Times New Roman" w:hAnsi="Times New Roman" w:eastAsia="宋体" w:cs="Times New Roman"/>
                <w:bCs/>
                <w:color w:val="auto"/>
                <w:spacing w:val="-10"/>
                <w:szCs w:val="21"/>
                <w:lang w:val="en-US" w:eastAsia="zh-CN"/>
              </w:rPr>
              <w:t>g/吨－原料，</w:t>
            </w:r>
            <w:r>
              <w:rPr>
                <w:rFonts w:hint="default" w:ascii="Times New Roman" w:hAnsi="Times New Roman" w:eastAsia="宋体" w:cs="Times New Roman"/>
                <w:b w:val="0"/>
                <w:bCs/>
                <w:color w:val="auto"/>
                <w:szCs w:val="21"/>
                <w:lang w:val="en-US" w:eastAsia="zh-CN"/>
              </w:rPr>
              <w:t>则破碎粉尘产生量为</w:t>
            </w:r>
            <w:r>
              <w:rPr>
                <w:rFonts w:hint="eastAsia" w:ascii="Times New Roman" w:hAnsi="Times New Roman" w:cs="Times New Roman"/>
                <w:b w:val="0"/>
                <w:bCs/>
                <w:color w:val="auto"/>
                <w:szCs w:val="21"/>
                <w:lang w:val="en-US" w:eastAsia="zh-CN"/>
              </w:rPr>
              <w:t>20</w:t>
            </w:r>
            <w:r>
              <w:rPr>
                <w:rFonts w:hint="default" w:ascii="Times New Roman" w:hAnsi="Times New Roman" w:eastAsia="宋体" w:cs="Times New Roman"/>
                <w:b w:val="0"/>
                <w:bCs/>
                <w:color w:val="auto"/>
                <w:szCs w:val="21"/>
                <w:lang w:val="en-US" w:eastAsia="zh-CN"/>
              </w:rPr>
              <w:t>kg/a，产生速率为</w:t>
            </w:r>
            <w:r>
              <w:rPr>
                <w:rFonts w:hint="eastAsia" w:ascii="Times New Roman" w:hAnsi="Times New Roman" w:cs="Times New Roman"/>
                <w:b w:val="0"/>
                <w:bCs/>
                <w:color w:val="auto"/>
                <w:szCs w:val="21"/>
                <w:lang w:val="en-US" w:eastAsia="zh-CN"/>
              </w:rPr>
              <w:t>0.067</w:t>
            </w:r>
            <w:r>
              <w:rPr>
                <w:rFonts w:hint="default" w:ascii="Times New Roman" w:hAnsi="Times New Roman" w:eastAsia="宋体" w:cs="Times New Roman"/>
                <w:b w:val="0"/>
                <w:bCs/>
                <w:color w:val="auto"/>
                <w:szCs w:val="21"/>
                <w:lang w:val="en-US" w:eastAsia="zh-CN"/>
              </w:rPr>
              <w:t>kg/h（工作时间按每天破碎</w:t>
            </w:r>
            <w:r>
              <w:rPr>
                <w:rFonts w:hint="eastAsia" w:ascii="Times New Roman" w:hAnsi="Times New Roman" w:cs="Times New Roman"/>
                <w:b w:val="0"/>
                <w:bCs/>
                <w:color w:val="auto"/>
                <w:szCs w:val="21"/>
                <w:lang w:val="en-US" w:eastAsia="zh-CN"/>
              </w:rPr>
              <w:t>1</w:t>
            </w:r>
            <w:r>
              <w:rPr>
                <w:rFonts w:hint="default" w:ascii="Times New Roman" w:hAnsi="Times New Roman" w:eastAsia="宋体" w:cs="Times New Roman"/>
                <w:b w:val="0"/>
                <w:bCs/>
                <w:color w:val="auto"/>
                <w:szCs w:val="21"/>
                <w:lang w:val="en-US" w:eastAsia="zh-CN"/>
              </w:rPr>
              <w:t>h计），破碎后的塑料颗粒粒径约2～5mm，破碎机单独设置在密闭的房间，破碎机进料口采用软帘遮挡，出料口采用收集袋直接收集，破碎粉尘产生量较少，最后通过加强室内通风，在车间内无组织排放。</w:t>
            </w:r>
          </w:p>
          <w:p w14:paraId="2BD31A0A">
            <w:pPr>
              <w:spacing w:line="360" w:lineRule="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val="0"/>
                <w:color w:val="auto"/>
                <w:szCs w:val="21"/>
                <w:lang w:val="en-US" w:eastAsia="zh-CN"/>
              </w:rPr>
              <w:t>4.2.4.1</w:t>
            </w:r>
            <w:r>
              <w:rPr>
                <w:rFonts w:hint="default" w:ascii="Times New Roman" w:hAnsi="Times New Roman" w:eastAsia="宋体" w:cs="Times New Roman"/>
                <w:b/>
                <w:bCs/>
                <w:color w:val="auto"/>
                <w:sz w:val="21"/>
                <w:szCs w:val="21"/>
                <w:vertAlign w:val="baseline"/>
                <w:lang w:val="en-US" w:eastAsia="zh-CN"/>
              </w:rPr>
              <w:t>臭气</w:t>
            </w:r>
          </w:p>
          <w:p w14:paraId="6C6C121A">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此外，</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塑料颗粒在注塑成型时会产生异味气体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产生量小，对外环境的影响可接受。</w:t>
            </w:r>
          </w:p>
          <w:p w14:paraId="7B559B19">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r>
              <w:rPr>
                <w:rFonts w:hint="default" w:ascii="Times New Roman" w:hAnsi="Times New Roman" w:cs="Times New Roman"/>
                <w:bCs/>
                <w:snapToGrid w:val="0"/>
                <w:color w:val="auto"/>
                <w:szCs w:val="21"/>
              </w:rPr>
              <w:t>项目废气污染源源强核算结果及相关参数见下表。</w:t>
            </w:r>
          </w:p>
          <w:p w14:paraId="352E848A">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759034D8">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58DDB5D1">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590F930F">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44A29B40">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372C40C1">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036DB2FF">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679CE71D">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2A48B329">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58718199">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p w14:paraId="05073D3C">
            <w:pPr>
              <w:autoSpaceDE w:val="0"/>
              <w:autoSpaceDN w:val="0"/>
              <w:adjustRightInd w:val="0"/>
              <w:spacing w:line="360" w:lineRule="auto"/>
              <w:ind w:firstLine="420" w:firstLineChars="200"/>
              <w:rPr>
                <w:rFonts w:hint="default" w:ascii="Times New Roman" w:hAnsi="Times New Roman" w:cs="Times New Roman"/>
                <w:bCs/>
                <w:snapToGrid w:val="0"/>
                <w:color w:val="auto"/>
                <w:szCs w:val="21"/>
              </w:rPr>
            </w:pPr>
          </w:p>
        </w:tc>
      </w:tr>
    </w:tbl>
    <w:p w14:paraId="1D28F608">
      <w:pPr>
        <w:pStyle w:val="10"/>
        <w:rPr>
          <w:rFonts w:hint="eastAsia"/>
          <w:color w:val="auto"/>
          <w:lang w:val="en-US" w:eastAsia="zh-CN"/>
        </w:rPr>
      </w:pPr>
    </w:p>
    <w:p w14:paraId="4F4CF1B5">
      <w:pPr>
        <w:adjustRightInd w:val="0"/>
        <w:snapToGrid w:val="0"/>
        <w:spacing w:line="360" w:lineRule="auto"/>
        <w:rPr>
          <w:rFonts w:hint="default" w:ascii="Times New Roman" w:hAnsi="Times New Roman" w:cs="Times New Roman"/>
          <w:b/>
          <w:color w:val="auto"/>
          <w:kern w:val="0"/>
          <w:sz w:val="28"/>
          <w:szCs w:val="28"/>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A6EBD53">
      <w:pPr>
        <w:pStyle w:val="26"/>
        <w:adjustRightInd w:val="0"/>
        <w:snapToGrid w:val="0"/>
        <w:spacing w:before="0" w:beforeAutospacing="0" w:after="0" w:afterAutospacing="0" w:line="360" w:lineRule="auto"/>
        <w:jc w:val="center"/>
        <w:outlineLvl w:val="0"/>
        <w:rPr>
          <w:rFonts w:hint="default" w:ascii="Times New Roman" w:hAnsi="Times New Roman" w:cs="Times New Roman"/>
          <w:b/>
          <w:snapToGrid w:val="0"/>
          <w:color w:val="auto"/>
          <w:sz w:val="21"/>
          <w:szCs w:val="21"/>
        </w:rPr>
      </w:pPr>
      <w:r>
        <w:rPr>
          <w:rFonts w:hint="default" w:ascii="Times New Roman" w:hAnsi="Times New Roman" w:cs="Times New Roman"/>
          <w:b/>
          <w:color w:val="auto"/>
          <w:sz w:val="21"/>
          <w:szCs w:val="21"/>
        </w:rPr>
        <w:t>表4-</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 xml:space="preserve">  </w:t>
      </w:r>
      <w:r>
        <w:rPr>
          <w:rFonts w:hint="default" w:ascii="Times New Roman" w:hAnsi="Times New Roman" w:cs="Times New Roman"/>
          <w:b/>
          <w:snapToGrid w:val="0"/>
          <w:color w:val="auto"/>
          <w:sz w:val="21"/>
          <w:szCs w:val="21"/>
        </w:rPr>
        <w:t>废气污染源源强核算结果及相关参数一览表</w:t>
      </w:r>
    </w:p>
    <w:tbl>
      <w:tblPr>
        <w:tblStyle w:val="31"/>
        <w:tblW w:w="592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145"/>
        <w:gridCol w:w="1126"/>
        <w:gridCol w:w="993"/>
        <w:gridCol w:w="799"/>
        <w:gridCol w:w="802"/>
        <w:gridCol w:w="463"/>
        <w:gridCol w:w="511"/>
        <w:gridCol w:w="579"/>
        <w:gridCol w:w="576"/>
        <w:gridCol w:w="919"/>
        <w:gridCol w:w="799"/>
        <w:gridCol w:w="847"/>
        <w:gridCol w:w="776"/>
        <w:gridCol w:w="802"/>
        <w:gridCol w:w="576"/>
        <w:gridCol w:w="395"/>
        <w:gridCol w:w="530"/>
        <w:gridCol w:w="530"/>
        <w:gridCol w:w="414"/>
        <w:gridCol w:w="1210"/>
      </w:tblGrid>
      <w:tr w14:paraId="4A6DA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tcBorders>
              <w:tl2br w:val="nil"/>
              <w:tr2bl w:val="nil"/>
            </w:tcBorders>
            <w:noWrap w:val="0"/>
            <w:vAlign w:val="center"/>
          </w:tcPr>
          <w:p w14:paraId="66EAD8B8">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lang w:eastAsia="zh-CN"/>
              </w:rPr>
              <w:t>工序</w:t>
            </w:r>
          </w:p>
        </w:tc>
        <w:tc>
          <w:tcPr>
            <w:tcW w:w="354" w:type="pct"/>
            <w:vMerge w:val="restart"/>
            <w:tcBorders>
              <w:tl2br w:val="nil"/>
              <w:tr2bl w:val="nil"/>
            </w:tcBorders>
            <w:noWrap w:val="0"/>
            <w:vAlign w:val="center"/>
          </w:tcPr>
          <w:p w14:paraId="1365E460">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vertAlign w:val="baseline"/>
                <w:lang w:eastAsia="zh-CN"/>
              </w:rPr>
              <w:t>装置</w:t>
            </w:r>
          </w:p>
        </w:tc>
        <w:tc>
          <w:tcPr>
            <w:tcW w:w="348" w:type="pct"/>
            <w:vMerge w:val="restart"/>
            <w:tcBorders>
              <w:tl2br w:val="nil"/>
              <w:tr2bl w:val="nil"/>
            </w:tcBorders>
            <w:noWrap w:val="0"/>
            <w:vAlign w:val="center"/>
          </w:tcPr>
          <w:p w14:paraId="612E369A">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污染源</w:t>
            </w:r>
          </w:p>
        </w:tc>
        <w:tc>
          <w:tcPr>
            <w:tcW w:w="307" w:type="pct"/>
            <w:vMerge w:val="restart"/>
            <w:tcBorders>
              <w:tl2br w:val="nil"/>
              <w:tr2bl w:val="nil"/>
            </w:tcBorders>
            <w:noWrap w:val="0"/>
            <w:vAlign w:val="center"/>
          </w:tcPr>
          <w:p w14:paraId="4312680F">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污染物</w:t>
            </w:r>
          </w:p>
        </w:tc>
        <w:tc>
          <w:tcPr>
            <w:tcW w:w="495" w:type="pct"/>
            <w:gridSpan w:val="2"/>
            <w:vMerge w:val="restart"/>
            <w:tcBorders>
              <w:tl2br w:val="nil"/>
              <w:tr2bl w:val="nil"/>
            </w:tcBorders>
            <w:noWrap w:val="0"/>
            <w:vAlign w:val="center"/>
          </w:tcPr>
          <w:p w14:paraId="04CE1365">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污染物产生</w:t>
            </w:r>
          </w:p>
        </w:tc>
        <w:tc>
          <w:tcPr>
            <w:tcW w:w="480" w:type="pct"/>
            <w:gridSpan w:val="3"/>
            <w:vMerge w:val="restart"/>
            <w:tcBorders>
              <w:tl2br w:val="nil"/>
              <w:tr2bl w:val="nil"/>
            </w:tcBorders>
            <w:noWrap w:val="0"/>
            <w:vAlign w:val="center"/>
          </w:tcPr>
          <w:p w14:paraId="28E0125D">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lang w:eastAsia="zh-CN"/>
              </w:rPr>
              <w:t>治理设施</w:t>
            </w:r>
          </w:p>
        </w:tc>
        <w:tc>
          <w:tcPr>
            <w:tcW w:w="2589" w:type="pct"/>
            <w:gridSpan w:val="12"/>
            <w:tcBorders>
              <w:tl2br w:val="nil"/>
              <w:tr2bl w:val="nil"/>
            </w:tcBorders>
            <w:noWrap w:val="0"/>
            <w:vAlign w:val="center"/>
          </w:tcPr>
          <w:p w14:paraId="235F567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污染物排放</w:t>
            </w:r>
          </w:p>
        </w:tc>
      </w:tr>
      <w:tr w14:paraId="266F3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tcBorders>
              <w:tl2br w:val="nil"/>
              <w:tr2bl w:val="nil"/>
            </w:tcBorders>
            <w:noWrap w:val="0"/>
            <w:vAlign w:val="center"/>
          </w:tcPr>
          <w:p w14:paraId="7768F3C0">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354" w:type="pct"/>
            <w:vMerge w:val="continue"/>
            <w:tcBorders>
              <w:tl2br w:val="nil"/>
              <w:tr2bl w:val="nil"/>
            </w:tcBorders>
            <w:noWrap w:val="0"/>
            <w:vAlign w:val="center"/>
          </w:tcPr>
          <w:p w14:paraId="2EE8FAF6">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348" w:type="pct"/>
            <w:vMerge w:val="continue"/>
            <w:tcBorders>
              <w:tl2br w:val="nil"/>
              <w:tr2bl w:val="nil"/>
            </w:tcBorders>
            <w:noWrap w:val="0"/>
            <w:vAlign w:val="center"/>
          </w:tcPr>
          <w:p w14:paraId="5A878C4C">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307" w:type="pct"/>
            <w:vMerge w:val="continue"/>
            <w:tcBorders>
              <w:tl2br w:val="nil"/>
              <w:tr2bl w:val="nil"/>
            </w:tcBorders>
            <w:noWrap w:val="0"/>
            <w:vAlign w:val="center"/>
          </w:tcPr>
          <w:p w14:paraId="745423B2">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495" w:type="pct"/>
            <w:gridSpan w:val="2"/>
            <w:vMerge w:val="continue"/>
            <w:tcBorders>
              <w:tl2br w:val="nil"/>
              <w:tr2bl w:val="nil"/>
            </w:tcBorders>
            <w:noWrap w:val="0"/>
            <w:vAlign w:val="center"/>
          </w:tcPr>
          <w:p w14:paraId="5E6D6E86">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480" w:type="pct"/>
            <w:gridSpan w:val="3"/>
            <w:vMerge w:val="continue"/>
            <w:tcBorders>
              <w:tl2br w:val="nil"/>
              <w:tr2bl w:val="nil"/>
            </w:tcBorders>
            <w:noWrap w:val="0"/>
            <w:vAlign w:val="center"/>
          </w:tcPr>
          <w:p w14:paraId="7CF95E95">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971" w:type="pct"/>
            <w:gridSpan w:val="4"/>
            <w:tcBorders>
              <w:tl2br w:val="nil"/>
              <w:tr2bl w:val="nil"/>
            </w:tcBorders>
            <w:noWrap w:val="0"/>
            <w:vAlign w:val="center"/>
          </w:tcPr>
          <w:p w14:paraId="154A336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有组织</w:t>
            </w:r>
          </w:p>
        </w:tc>
        <w:tc>
          <w:tcPr>
            <w:tcW w:w="488" w:type="pct"/>
            <w:gridSpan w:val="2"/>
            <w:tcBorders>
              <w:tl2br w:val="nil"/>
              <w:tr2bl w:val="nil"/>
            </w:tcBorders>
            <w:noWrap w:val="0"/>
            <w:vAlign w:val="center"/>
          </w:tcPr>
          <w:p w14:paraId="030DC0F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无组织</w:t>
            </w:r>
          </w:p>
        </w:tc>
        <w:tc>
          <w:tcPr>
            <w:tcW w:w="178" w:type="pct"/>
            <w:vMerge w:val="restart"/>
            <w:tcBorders>
              <w:tl2br w:val="nil"/>
              <w:tr2bl w:val="nil"/>
            </w:tcBorders>
            <w:noWrap w:val="0"/>
            <w:vAlign w:val="center"/>
          </w:tcPr>
          <w:p w14:paraId="60672B26">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排放时间</w:t>
            </w:r>
          </w:p>
        </w:tc>
        <w:tc>
          <w:tcPr>
            <w:tcW w:w="578" w:type="pct"/>
            <w:gridSpan w:val="4"/>
            <w:tcBorders>
              <w:tl2br w:val="nil"/>
              <w:tr2bl w:val="nil"/>
            </w:tcBorders>
            <w:noWrap w:val="0"/>
            <w:vAlign w:val="center"/>
          </w:tcPr>
          <w:p w14:paraId="7C85B37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排气筒</w:t>
            </w:r>
          </w:p>
        </w:tc>
        <w:tc>
          <w:tcPr>
            <w:tcW w:w="374" w:type="pct"/>
            <w:vMerge w:val="restart"/>
            <w:tcBorders>
              <w:tl2br w:val="nil"/>
              <w:tr2bl w:val="nil"/>
            </w:tcBorders>
            <w:noWrap w:val="0"/>
            <w:vAlign w:val="center"/>
          </w:tcPr>
          <w:p w14:paraId="68C3DD62">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排放口类型</w:t>
            </w:r>
          </w:p>
        </w:tc>
      </w:tr>
      <w:tr w14:paraId="6CB0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25" w:type="pct"/>
            <w:vMerge w:val="continue"/>
            <w:tcBorders>
              <w:tl2br w:val="nil"/>
              <w:tr2bl w:val="nil"/>
            </w:tcBorders>
            <w:noWrap w:val="0"/>
            <w:vAlign w:val="center"/>
          </w:tcPr>
          <w:p w14:paraId="2C0771C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354" w:type="pct"/>
            <w:vMerge w:val="continue"/>
            <w:tcBorders>
              <w:tl2br w:val="nil"/>
              <w:tr2bl w:val="nil"/>
            </w:tcBorders>
            <w:noWrap w:val="0"/>
            <w:vAlign w:val="center"/>
          </w:tcPr>
          <w:p w14:paraId="5F3FFC4C">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348" w:type="pct"/>
            <w:vMerge w:val="continue"/>
            <w:tcBorders>
              <w:tl2br w:val="nil"/>
              <w:tr2bl w:val="nil"/>
            </w:tcBorders>
            <w:noWrap w:val="0"/>
            <w:vAlign w:val="center"/>
          </w:tcPr>
          <w:p w14:paraId="7DFBCC4B">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307" w:type="pct"/>
            <w:vMerge w:val="continue"/>
            <w:tcBorders>
              <w:tl2br w:val="nil"/>
              <w:tr2bl w:val="nil"/>
            </w:tcBorders>
            <w:noWrap w:val="0"/>
            <w:vAlign w:val="center"/>
          </w:tcPr>
          <w:p w14:paraId="163A63FC">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495" w:type="pct"/>
            <w:gridSpan w:val="2"/>
            <w:tcBorders>
              <w:tl2br w:val="nil"/>
              <w:tr2bl w:val="nil"/>
            </w:tcBorders>
            <w:noWrap w:val="0"/>
            <w:vAlign w:val="center"/>
          </w:tcPr>
          <w:p w14:paraId="5EFE6A4B">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产生量</w:t>
            </w:r>
          </w:p>
        </w:tc>
        <w:tc>
          <w:tcPr>
            <w:tcW w:w="143" w:type="pct"/>
            <w:vMerge w:val="restart"/>
            <w:tcBorders>
              <w:tl2br w:val="nil"/>
              <w:tr2bl w:val="nil"/>
            </w:tcBorders>
            <w:noWrap w:val="0"/>
            <w:vAlign w:val="center"/>
          </w:tcPr>
          <w:p w14:paraId="29536D9B">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kern w:val="0"/>
                <w:sz w:val="18"/>
                <w:szCs w:val="18"/>
                <w:lang w:val="en-US" w:eastAsia="zh-CN" w:bidi="ar-SA"/>
              </w:rPr>
              <w:t>收集效率</w:t>
            </w:r>
            <w:r>
              <w:rPr>
                <w:rFonts w:hint="default" w:ascii="Times New Roman" w:hAnsi="Times New Roman" w:eastAsia="宋体" w:cs="Times New Roman"/>
                <w:b/>
                <w:bCs/>
                <w:snapToGrid w:val="0"/>
                <w:color w:val="auto"/>
                <w:sz w:val="18"/>
                <w:szCs w:val="18"/>
                <w:lang w:val="en-US" w:eastAsia="zh-CN"/>
              </w:rPr>
              <w:t>%</w:t>
            </w:r>
          </w:p>
        </w:tc>
        <w:tc>
          <w:tcPr>
            <w:tcW w:w="158" w:type="pct"/>
            <w:vMerge w:val="restart"/>
            <w:tcBorders>
              <w:tl2br w:val="nil"/>
              <w:tr2bl w:val="nil"/>
            </w:tcBorders>
            <w:noWrap w:val="0"/>
            <w:vAlign w:val="center"/>
          </w:tcPr>
          <w:p w14:paraId="5A201E62">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治理工艺</w:t>
            </w:r>
          </w:p>
        </w:tc>
        <w:tc>
          <w:tcPr>
            <w:tcW w:w="179" w:type="pct"/>
            <w:vMerge w:val="restart"/>
            <w:tcBorders>
              <w:tl2br w:val="nil"/>
              <w:tr2bl w:val="nil"/>
            </w:tcBorders>
            <w:noWrap w:val="0"/>
            <w:vAlign w:val="center"/>
          </w:tcPr>
          <w:p w14:paraId="16B95EC8">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去除效率%</w:t>
            </w:r>
          </w:p>
        </w:tc>
        <w:tc>
          <w:tcPr>
            <w:tcW w:w="178" w:type="pct"/>
            <w:vMerge w:val="restart"/>
            <w:tcBorders>
              <w:tl2br w:val="nil"/>
              <w:tr2bl w:val="nil"/>
            </w:tcBorders>
            <w:noWrap w:val="0"/>
            <w:vAlign w:val="center"/>
          </w:tcPr>
          <w:p w14:paraId="50C1DE81">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风机风量</w:t>
            </w:r>
            <w:r>
              <w:rPr>
                <w:rFonts w:hint="default" w:ascii="Times New Roman" w:hAnsi="Times New Roman" w:eastAsia="宋体" w:cs="Times New Roman"/>
                <w:b/>
                <w:bCs/>
                <w:snapToGrid w:val="0"/>
                <w:color w:val="auto"/>
                <w:sz w:val="18"/>
                <w:szCs w:val="18"/>
                <w:highlight w:val="none"/>
                <w:lang w:eastAsia="zh-CN"/>
              </w:rPr>
              <w:t>m</w:t>
            </w:r>
            <w:r>
              <w:rPr>
                <w:rFonts w:hint="default" w:ascii="Times New Roman" w:hAnsi="Times New Roman" w:eastAsia="宋体" w:cs="Times New Roman"/>
                <w:b/>
                <w:bCs/>
                <w:snapToGrid w:val="0"/>
                <w:color w:val="auto"/>
                <w:sz w:val="18"/>
                <w:szCs w:val="18"/>
                <w:highlight w:val="none"/>
                <w:vertAlign w:val="superscript"/>
                <w:lang w:eastAsia="zh-CN"/>
              </w:rPr>
              <w:t>3</w:t>
            </w:r>
            <w:r>
              <w:rPr>
                <w:rFonts w:hint="default" w:ascii="Times New Roman" w:hAnsi="Times New Roman" w:eastAsia="宋体" w:cs="Times New Roman"/>
                <w:b/>
                <w:bCs/>
                <w:snapToGrid w:val="0"/>
                <w:color w:val="auto"/>
                <w:sz w:val="18"/>
                <w:szCs w:val="18"/>
                <w:lang w:eastAsia="zh-CN"/>
              </w:rPr>
              <w:t>/h</w:t>
            </w:r>
          </w:p>
        </w:tc>
        <w:tc>
          <w:tcPr>
            <w:tcW w:w="284" w:type="pct"/>
            <w:vMerge w:val="restart"/>
            <w:tcBorders>
              <w:tl2br w:val="nil"/>
              <w:tr2bl w:val="nil"/>
            </w:tcBorders>
            <w:noWrap w:val="0"/>
            <w:vAlign w:val="center"/>
          </w:tcPr>
          <w:p w14:paraId="76645E95">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排放浓度mg/</w:t>
            </w:r>
            <w:r>
              <w:rPr>
                <w:rFonts w:hint="default" w:ascii="Times New Roman" w:hAnsi="Times New Roman" w:eastAsia="宋体" w:cs="Times New Roman"/>
                <w:b/>
                <w:bCs/>
                <w:snapToGrid w:val="0"/>
                <w:color w:val="auto"/>
                <w:sz w:val="18"/>
                <w:szCs w:val="18"/>
                <w:highlight w:val="none"/>
                <w:lang w:eastAsia="zh-CN"/>
              </w:rPr>
              <w:t>m</w:t>
            </w:r>
            <w:r>
              <w:rPr>
                <w:rFonts w:hint="default" w:ascii="Times New Roman" w:hAnsi="Times New Roman" w:eastAsia="宋体" w:cs="Times New Roman"/>
                <w:b/>
                <w:bCs/>
                <w:snapToGrid w:val="0"/>
                <w:color w:val="auto"/>
                <w:sz w:val="18"/>
                <w:szCs w:val="18"/>
                <w:highlight w:val="none"/>
                <w:vertAlign w:val="superscript"/>
                <w:lang w:eastAsia="zh-CN"/>
              </w:rPr>
              <w:t>3</w:t>
            </w:r>
          </w:p>
        </w:tc>
        <w:tc>
          <w:tcPr>
            <w:tcW w:w="509" w:type="pct"/>
            <w:gridSpan w:val="2"/>
            <w:tcBorders>
              <w:tl2br w:val="nil"/>
              <w:tr2bl w:val="nil"/>
            </w:tcBorders>
            <w:noWrap w:val="0"/>
            <w:vAlign w:val="center"/>
          </w:tcPr>
          <w:p w14:paraId="4889A583">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排放量</w:t>
            </w:r>
          </w:p>
        </w:tc>
        <w:tc>
          <w:tcPr>
            <w:tcW w:w="488" w:type="pct"/>
            <w:gridSpan w:val="2"/>
            <w:tcBorders>
              <w:tl2br w:val="nil"/>
              <w:tr2bl w:val="nil"/>
            </w:tcBorders>
            <w:noWrap w:val="0"/>
            <w:vAlign w:val="center"/>
          </w:tcPr>
          <w:p w14:paraId="4507603E">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排放量</w:t>
            </w:r>
          </w:p>
        </w:tc>
        <w:tc>
          <w:tcPr>
            <w:tcW w:w="178" w:type="pct"/>
            <w:vMerge w:val="continue"/>
            <w:tcBorders>
              <w:tl2br w:val="nil"/>
              <w:tr2bl w:val="nil"/>
            </w:tcBorders>
            <w:noWrap w:val="0"/>
            <w:vAlign w:val="center"/>
          </w:tcPr>
          <w:p w14:paraId="1F65339B">
            <w:pPr>
              <w:pStyle w:val="26"/>
              <w:spacing w:line="240" w:lineRule="auto"/>
              <w:jc w:val="center"/>
              <w:outlineLvl w:val="0"/>
              <w:rPr>
                <w:rFonts w:hint="default" w:ascii="Times New Roman" w:hAnsi="Times New Roman" w:eastAsia="宋体" w:cs="Times New Roman"/>
                <w:b/>
                <w:bCs/>
                <w:snapToGrid w:val="0"/>
                <w:color w:val="auto"/>
                <w:sz w:val="18"/>
                <w:szCs w:val="18"/>
                <w:lang w:val="en-US" w:eastAsia="zh-CN"/>
              </w:rPr>
            </w:pPr>
          </w:p>
        </w:tc>
        <w:tc>
          <w:tcPr>
            <w:tcW w:w="122" w:type="pct"/>
            <w:tcBorders>
              <w:tl2br w:val="nil"/>
              <w:tr2bl w:val="nil"/>
            </w:tcBorders>
            <w:noWrap w:val="0"/>
            <w:vAlign w:val="center"/>
          </w:tcPr>
          <w:p w14:paraId="31FA208A">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高度</w:t>
            </w:r>
          </w:p>
        </w:tc>
        <w:tc>
          <w:tcPr>
            <w:tcW w:w="163" w:type="pct"/>
            <w:tcBorders>
              <w:tl2br w:val="nil"/>
              <w:tr2bl w:val="nil"/>
            </w:tcBorders>
            <w:noWrap w:val="0"/>
            <w:vAlign w:val="center"/>
          </w:tcPr>
          <w:p w14:paraId="4844DB79">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直径</w:t>
            </w:r>
          </w:p>
        </w:tc>
        <w:tc>
          <w:tcPr>
            <w:tcW w:w="163" w:type="pct"/>
            <w:tcBorders>
              <w:tl2br w:val="nil"/>
              <w:tr2bl w:val="nil"/>
            </w:tcBorders>
            <w:noWrap w:val="0"/>
            <w:vAlign w:val="center"/>
          </w:tcPr>
          <w:p w14:paraId="6B8FDD07">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cs="Times New Roman"/>
                <w:b/>
                <w:bCs/>
                <w:snapToGrid w:val="0"/>
                <w:color w:val="auto"/>
                <w:sz w:val="18"/>
                <w:szCs w:val="18"/>
                <w:lang w:eastAsia="zh-CN"/>
              </w:rPr>
              <w:t>流速</w:t>
            </w:r>
          </w:p>
        </w:tc>
        <w:tc>
          <w:tcPr>
            <w:tcW w:w="128" w:type="pct"/>
            <w:tcBorders>
              <w:tl2br w:val="nil"/>
              <w:tr2bl w:val="nil"/>
            </w:tcBorders>
            <w:noWrap w:val="0"/>
            <w:vAlign w:val="center"/>
          </w:tcPr>
          <w:p w14:paraId="0727F070">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温度</w:t>
            </w:r>
          </w:p>
        </w:tc>
        <w:tc>
          <w:tcPr>
            <w:tcW w:w="374" w:type="pct"/>
            <w:vMerge w:val="continue"/>
            <w:tcBorders>
              <w:tl2br w:val="nil"/>
              <w:tr2bl w:val="nil"/>
            </w:tcBorders>
            <w:noWrap w:val="0"/>
            <w:vAlign w:val="center"/>
          </w:tcPr>
          <w:p w14:paraId="2A94B77F">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r>
      <w:tr w14:paraId="2CC0A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25" w:type="pct"/>
            <w:vMerge w:val="continue"/>
            <w:tcBorders>
              <w:tl2br w:val="nil"/>
              <w:tr2bl w:val="nil"/>
            </w:tcBorders>
            <w:noWrap w:val="0"/>
            <w:vAlign w:val="center"/>
          </w:tcPr>
          <w:p w14:paraId="5D429715">
            <w:pPr>
              <w:pStyle w:val="26"/>
              <w:spacing w:line="240" w:lineRule="auto"/>
              <w:jc w:val="center"/>
              <w:outlineLvl w:val="0"/>
              <w:rPr>
                <w:rFonts w:hint="default" w:ascii="Times New Roman" w:hAnsi="Times New Roman" w:eastAsia="宋体" w:cs="Times New Roman"/>
                <w:color w:val="auto"/>
                <w:sz w:val="18"/>
                <w:szCs w:val="18"/>
              </w:rPr>
            </w:pPr>
          </w:p>
        </w:tc>
        <w:tc>
          <w:tcPr>
            <w:tcW w:w="354" w:type="pct"/>
            <w:vMerge w:val="continue"/>
            <w:tcBorders>
              <w:tl2br w:val="nil"/>
              <w:tr2bl w:val="nil"/>
            </w:tcBorders>
            <w:noWrap w:val="0"/>
            <w:vAlign w:val="center"/>
          </w:tcPr>
          <w:p w14:paraId="7FE7CA99">
            <w:pPr>
              <w:pStyle w:val="26"/>
              <w:spacing w:line="240" w:lineRule="auto"/>
              <w:jc w:val="center"/>
              <w:outlineLvl w:val="0"/>
              <w:rPr>
                <w:rFonts w:hint="default" w:ascii="Times New Roman" w:hAnsi="Times New Roman" w:eastAsia="宋体" w:cs="Times New Roman"/>
                <w:color w:val="auto"/>
                <w:sz w:val="18"/>
                <w:szCs w:val="18"/>
              </w:rPr>
            </w:pPr>
          </w:p>
        </w:tc>
        <w:tc>
          <w:tcPr>
            <w:tcW w:w="348" w:type="pct"/>
            <w:vMerge w:val="continue"/>
            <w:tcBorders>
              <w:tl2br w:val="nil"/>
              <w:tr2bl w:val="nil"/>
            </w:tcBorders>
            <w:noWrap w:val="0"/>
            <w:vAlign w:val="center"/>
          </w:tcPr>
          <w:p w14:paraId="080B4466">
            <w:pPr>
              <w:pStyle w:val="26"/>
              <w:spacing w:line="240" w:lineRule="auto"/>
              <w:jc w:val="center"/>
              <w:outlineLvl w:val="0"/>
              <w:rPr>
                <w:rFonts w:hint="default" w:ascii="Times New Roman" w:hAnsi="Times New Roman" w:eastAsia="宋体" w:cs="Times New Roman"/>
                <w:color w:val="auto"/>
                <w:sz w:val="18"/>
                <w:szCs w:val="18"/>
              </w:rPr>
            </w:pPr>
          </w:p>
        </w:tc>
        <w:tc>
          <w:tcPr>
            <w:tcW w:w="307" w:type="pct"/>
            <w:vMerge w:val="continue"/>
            <w:tcBorders>
              <w:tl2br w:val="nil"/>
              <w:tr2bl w:val="nil"/>
            </w:tcBorders>
            <w:noWrap w:val="0"/>
            <w:vAlign w:val="center"/>
          </w:tcPr>
          <w:p w14:paraId="6F440280">
            <w:pPr>
              <w:pStyle w:val="26"/>
              <w:spacing w:line="240" w:lineRule="auto"/>
              <w:jc w:val="center"/>
              <w:outlineLvl w:val="0"/>
              <w:rPr>
                <w:rFonts w:hint="default" w:ascii="Times New Roman" w:hAnsi="Times New Roman" w:eastAsia="宋体" w:cs="Times New Roman"/>
                <w:color w:val="auto"/>
                <w:sz w:val="18"/>
                <w:szCs w:val="18"/>
              </w:rPr>
            </w:pPr>
          </w:p>
        </w:tc>
        <w:tc>
          <w:tcPr>
            <w:tcW w:w="247" w:type="pct"/>
            <w:tcBorders>
              <w:tl2br w:val="nil"/>
              <w:tr2bl w:val="nil"/>
            </w:tcBorders>
            <w:noWrap w:val="0"/>
            <w:vAlign w:val="center"/>
          </w:tcPr>
          <w:p w14:paraId="4AD211C3">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kg/h</w:t>
            </w:r>
          </w:p>
        </w:tc>
        <w:tc>
          <w:tcPr>
            <w:tcW w:w="248" w:type="pct"/>
            <w:tcBorders>
              <w:tl2br w:val="nil"/>
              <w:tr2bl w:val="nil"/>
            </w:tcBorders>
            <w:noWrap w:val="0"/>
            <w:vAlign w:val="center"/>
          </w:tcPr>
          <w:p w14:paraId="7073D53A">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val="en-US" w:eastAsia="zh-CN"/>
              </w:rPr>
              <w:t>t/a</w:t>
            </w:r>
          </w:p>
        </w:tc>
        <w:tc>
          <w:tcPr>
            <w:tcW w:w="143" w:type="pct"/>
            <w:vMerge w:val="continue"/>
            <w:tcBorders>
              <w:tl2br w:val="nil"/>
              <w:tr2bl w:val="nil"/>
            </w:tcBorders>
            <w:noWrap w:val="0"/>
            <w:vAlign w:val="center"/>
          </w:tcPr>
          <w:p w14:paraId="5D6447F7">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158" w:type="pct"/>
            <w:vMerge w:val="continue"/>
            <w:tcBorders>
              <w:tl2br w:val="nil"/>
              <w:tr2bl w:val="nil"/>
            </w:tcBorders>
            <w:noWrap w:val="0"/>
            <w:vAlign w:val="center"/>
          </w:tcPr>
          <w:p w14:paraId="2BD1067C">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179" w:type="pct"/>
            <w:vMerge w:val="continue"/>
            <w:tcBorders>
              <w:tl2br w:val="nil"/>
              <w:tr2bl w:val="nil"/>
            </w:tcBorders>
            <w:noWrap w:val="0"/>
            <w:vAlign w:val="center"/>
          </w:tcPr>
          <w:p w14:paraId="3B18F0C8">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178" w:type="pct"/>
            <w:vMerge w:val="continue"/>
            <w:tcBorders>
              <w:tl2br w:val="nil"/>
              <w:tr2bl w:val="nil"/>
            </w:tcBorders>
            <w:noWrap w:val="0"/>
            <w:vAlign w:val="center"/>
          </w:tcPr>
          <w:p w14:paraId="2E4FD6A5">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284" w:type="pct"/>
            <w:vMerge w:val="continue"/>
            <w:tcBorders>
              <w:tl2br w:val="nil"/>
              <w:tr2bl w:val="nil"/>
            </w:tcBorders>
            <w:noWrap w:val="0"/>
            <w:vAlign w:val="center"/>
          </w:tcPr>
          <w:p w14:paraId="54765A05">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247" w:type="pct"/>
            <w:tcBorders>
              <w:tl2br w:val="nil"/>
              <w:tr2bl w:val="nil"/>
            </w:tcBorders>
            <w:noWrap w:val="0"/>
            <w:vAlign w:val="center"/>
          </w:tcPr>
          <w:p w14:paraId="3FB362F4">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kg/h</w:t>
            </w:r>
          </w:p>
        </w:tc>
        <w:tc>
          <w:tcPr>
            <w:tcW w:w="261" w:type="pct"/>
            <w:tcBorders>
              <w:tl2br w:val="nil"/>
              <w:tr2bl w:val="nil"/>
            </w:tcBorders>
            <w:noWrap w:val="0"/>
            <w:vAlign w:val="center"/>
          </w:tcPr>
          <w:p w14:paraId="789A1265">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val="en-US" w:eastAsia="zh-CN"/>
              </w:rPr>
              <w:t>t/a</w:t>
            </w:r>
          </w:p>
        </w:tc>
        <w:tc>
          <w:tcPr>
            <w:tcW w:w="239" w:type="pct"/>
            <w:tcBorders>
              <w:tl2br w:val="nil"/>
              <w:tr2bl w:val="nil"/>
            </w:tcBorders>
            <w:noWrap w:val="0"/>
            <w:vAlign w:val="center"/>
          </w:tcPr>
          <w:p w14:paraId="41AE4721">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kg/h</w:t>
            </w:r>
          </w:p>
        </w:tc>
        <w:tc>
          <w:tcPr>
            <w:tcW w:w="248" w:type="pct"/>
            <w:tcBorders>
              <w:tl2br w:val="nil"/>
              <w:tr2bl w:val="nil"/>
            </w:tcBorders>
            <w:noWrap w:val="0"/>
            <w:vAlign w:val="center"/>
          </w:tcPr>
          <w:p w14:paraId="7EB407A1">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val="en-US" w:eastAsia="zh-CN"/>
              </w:rPr>
              <w:t>t/a</w:t>
            </w:r>
          </w:p>
        </w:tc>
        <w:tc>
          <w:tcPr>
            <w:tcW w:w="178" w:type="pct"/>
            <w:tcBorders>
              <w:tl2br w:val="nil"/>
              <w:tr2bl w:val="nil"/>
            </w:tcBorders>
            <w:noWrap w:val="0"/>
            <w:vAlign w:val="center"/>
          </w:tcPr>
          <w:p w14:paraId="5EF5CC34">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val="en-US" w:eastAsia="zh-CN"/>
              </w:rPr>
              <w:t>h</w:t>
            </w:r>
          </w:p>
        </w:tc>
        <w:tc>
          <w:tcPr>
            <w:tcW w:w="122" w:type="pct"/>
            <w:tcBorders>
              <w:tl2br w:val="nil"/>
              <w:tr2bl w:val="nil"/>
            </w:tcBorders>
            <w:noWrap w:val="0"/>
            <w:vAlign w:val="center"/>
          </w:tcPr>
          <w:p w14:paraId="52D99075">
            <w:pPr>
              <w:pStyle w:val="26"/>
              <w:spacing w:line="240" w:lineRule="auto"/>
              <w:jc w:val="center"/>
              <w:outlineLvl w:val="0"/>
              <w:rPr>
                <w:rFonts w:hint="default" w:ascii="Times New Roman" w:hAnsi="Times New Roman" w:eastAsia="宋体" w:cs="Times New Roman"/>
                <w:b/>
                <w:bCs/>
                <w:snapToGrid w:val="0"/>
                <w:color w:val="auto"/>
                <w:sz w:val="18"/>
                <w:szCs w:val="18"/>
                <w:lang w:val="en-US" w:eastAsia="zh-CN"/>
              </w:rPr>
            </w:pPr>
            <w:r>
              <w:rPr>
                <w:rFonts w:hint="default" w:ascii="Times New Roman" w:hAnsi="Times New Roman" w:eastAsia="宋体" w:cs="Times New Roman"/>
                <w:b/>
                <w:bCs/>
                <w:snapToGrid w:val="0"/>
                <w:color w:val="auto"/>
                <w:sz w:val="18"/>
                <w:szCs w:val="18"/>
                <w:lang w:val="en-US" w:eastAsia="zh-CN"/>
              </w:rPr>
              <w:t>m</w:t>
            </w:r>
          </w:p>
        </w:tc>
        <w:tc>
          <w:tcPr>
            <w:tcW w:w="163" w:type="pct"/>
            <w:tcBorders>
              <w:tl2br w:val="nil"/>
              <w:tr2bl w:val="nil"/>
            </w:tcBorders>
            <w:noWrap w:val="0"/>
            <w:vAlign w:val="center"/>
          </w:tcPr>
          <w:p w14:paraId="1188093B">
            <w:pPr>
              <w:pStyle w:val="26"/>
              <w:spacing w:line="240" w:lineRule="auto"/>
              <w:jc w:val="center"/>
              <w:outlineLvl w:val="0"/>
              <w:rPr>
                <w:rFonts w:hint="default" w:ascii="Times New Roman" w:hAnsi="Times New Roman" w:eastAsia="宋体" w:cs="Times New Roman"/>
                <w:b/>
                <w:bCs/>
                <w:snapToGrid w:val="0"/>
                <w:color w:val="auto"/>
                <w:sz w:val="18"/>
                <w:szCs w:val="18"/>
                <w:lang w:val="en-US" w:eastAsia="zh-CN"/>
              </w:rPr>
            </w:pPr>
            <w:r>
              <w:rPr>
                <w:rFonts w:hint="default" w:ascii="Times New Roman" w:hAnsi="Times New Roman" w:eastAsia="宋体" w:cs="Times New Roman"/>
                <w:b/>
                <w:bCs/>
                <w:snapToGrid w:val="0"/>
                <w:color w:val="auto"/>
                <w:sz w:val="18"/>
                <w:szCs w:val="18"/>
                <w:lang w:val="en-US" w:eastAsia="zh-CN"/>
              </w:rPr>
              <w:t>m</w:t>
            </w:r>
          </w:p>
        </w:tc>
        <w:tc>
          <w:tcPr>
            <w:tcW w:w="163" w:type="pct"/>
            <w:tcBorders>
              <w:tl2br w:val="nil"/>
              <w:tr2bl w:val="nil"/>
            </w:tcBorders>
            <w:noWrap w:val="0"/>
            <w:vAlign w:val="center"/>
          </w:tcPr>
          <w:p w14:paraId="0F3F13B6">
            <w:pPr>
              <w:pStyle w:val="26"/>
              <w:spacing w:line="240" w:lineRule="auto"/>
              <w:jc w:val="center"/>
              <w:outlineLvl w:val="0"/>
              <w:rPr>
                <w:rFonts w:hint="default" w:ascii="Times New Roman" w:hAnsi="Times New Roman" w:eastAsia="宋体" w:cs="Times New Roman"/>
                <w:b/>
                <w:bCs/>
                <w:snapToGrid w:val="0"/>
                <w:color w:val="auto"/>
                <w:sz w:val="18"/>
                <w:szCs w:val="18"/>
                <w:lang w:val="en-US" w:eastAsia="zh-CN"/>
              </w:rPr>
            </w:pPr>
            <w:r>
              <w:rPr>
                <w:rFonts w:hint="default" w:ascii="Times New Roman" w:hAnsi="Times New Roman" w:cs="Times New Roman"/>
                <w:b/>
                <w:bCs/>
                <w:snapToGrid w:val="0"/>
                <w:color w:val="auto"/>
                <w:sz w:val="18"/>
                <w:szCs w:val="18"/>
                <w:lang w:val="en-US" w:eastAsia="zh-CN"/>
              </w:rPr>
              <w:t>m/s</w:t>
            </w:r>
          </w:p>
        </w:tc>
        <w:tc>
          <w:tcPr>
            <w:tcW w:w="128" w:type="pct"/>
            <w:tcBorders>
              <w:tl2br w:val="nil"/>
              <w:tr2bl w:val="nil"/>
            </w:tcBorders>
            <w:noWrap w:val="0"/>
            <w:vAlign w:val="center"/>
          </w:tcPr>
          <w:p w14:paraId="1592866F">
            <w:pPr>
              <w:pStyle w:val="26"/>
              <w:spacing w:line="240" w:lineRule="auto"/>
              <w:jc w:val="center"/>
              <w:outlineLvl w:val="0"/>
              <w:rPr>
                <w:rFonts w:hint="default" w:ascii="Times New Roman" w:hAnsi="Times New Roman" w:eastAsia="宋体" w:cs="Times New Roman"/>
                <w:b/>
                <w:bCs/>
                <w:snapToGrid w:val="0"/>
                <w:color w:val="auto"/>
                <w:sz w:val="18"/>
                <w:szCs w:val="18"/>
                <w:lang w:val="en-US" w:eastAsia="zh-CN"/>
              </w:rPr>
            </w:pPr>
            <w:r>
              <w:rPr>
                <w:rFonts w:hint="default" w:ascii="Times New Roman" w:hAnsi="Times New Roman" w:eastAsia="宋体" w:cs="Times New Roman"/>
                <w:b/>
                <w:bCs/>
                <w:snapToGrid w:val="0"/>
                <w:color w:val="auto"/>
                <w:sz w:val="18"/>
                <w:szCs w:val="18"/>
                <w:lang w:val="en-US" w:eastAsia="zh-CN"/>
              </w:rPr>
              <w:t>℃</w:t>
            </w:r>
          </w:p>
        </w:tc>
        <w:tc>
          <w:tcPr>
            <w:tcW w:w="374" w:type="pct"/>
            <w:vMerge w:val="continue"/>
            <w:tcBorders>
              <w:tl2br w:val="nil"/>
              <w:tr2bl w:val="nil"/>
            </w:tcBorders>
            <w:noWrap w:val="0"/>
            <w:vAlign w:val="center"/>
          </w:tcPr>
          <w:p w14:paraId="230DCF7D">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p>
        </w:tc>
      </w:tr>
      <w:tr w14:paraId="2B27C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5" w:type="pct"/>
            <w:tcBorders>
              <w:tl2br w:val="nil"/>
              <w:tr2bl w:val="nil"/>
            </w:tcBorders>
            <w:noWrap w:val="0"/>
            <w:vAlign w:val="center"/>
          </w:tcPr>
          <w:p w14:paraId="17F2C3E0">
            <w:pPr>
              <w:pStyle w:val="26"/>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注塑</w:t>
            </w:r>
          </w:p>
        </w:tc>
        <w:tc>
          <w:tcPr>
            <w:tcW w:w="354" w:type="pct"/>
            <w:tcBorders>
              <w:tl2br w:val="nil"/>
              <w:tr2bl w:val="nil"/>
            </w:tcBorders>
            <w:noWrap w:val="0"/>
            <w:vAlign w:val="center"/>
          </w:tcPr>
          <w:p w14:paraId="23879926">
            <w:pPr>
              <w:pStyle w:val="26"/>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注塑机</w:t>
            </w:r>
          </w:p>
        </w:tc>
        <w:tc>
          <w:tcPr>
            <w:tcW w:w="348" w:type="pct"/>
            <w:tcBorders>
              <w:tl2br w:val="nil"/>
              <w:tr2bl w:val="nil"/>
            </w:tcBorders>
            <w:noWrap w:val="0"/>
            <w:vAlign w:val="center"/>
          </w:tcPr>
          <w:p w14:paraId="4DFF2C9A">
            <w:pPr>
              <w:pStyle w:val="26"/>
              <w:adjustRightInd w:val="0"/>
              <w:snapToGrid w:val="0"/>
              <w:spacing w:before="0" w:beforeAutospacing="0" w:after="0" w:afterAutospacing="0" w:line="240" w:lineRule="auto"/>
              <w:jc w:val="center"/>
              <w:outlineLvl w:val="0"/>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ABS、</w:t>
            </w:r>
            <w:r>
              <w:rPr>
                <w:rFonts w:hint="eastAsia" w:ascii="Times New Roman" w:hAnsi="Times New Roman" w:cs="Times New Roman"/>
                <w:snapToGrid w:val="0"/>
                <w:color w:val="auto"/>
                <w:sz w:val="18"/>
                <w:szCs w:val="18"/>
                <w:lang w:val="en-US" w:eastAsia="zh-CN"/>
              </w:rPr>
              <w:t>PP、PA</w:t>
            </w:r>
            <w:r>
              <w:rPr>
                <w:rFonts w:hint="default" w:ascii="Times New Roman" w:hAnsi="Times New Roman" w:cs="Times New Roman"/>
                <w:snapToGrid w:val="0"/>
                <w:color w:val="auto"/>
                <w:sz w:val="18"/>
                <w:szCs w:val="18"/>
                <w:lang w:val="en-US" w:eastAsia="zh-CN"/>
              </w:rPr>
              <w:t>塑料颗粒</w:t>
            </w:r>
          </w:p>
        </w:tc>
        <w:tc>
          <w:tcPr>
            <w:tcW w:w="307" w:type="pct"/>
            <w:tcBorders>
              <w:tl2br w:val="nil"/>
              <w:tr2bl w:val="nil"/>
            </w:tcBorders>
            <w:noWrap w:val="0"/>
            <w:vAlign w:val="center"/>
          </w:tcPr>
          <w:p w14:paraId="11ADAA6C">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非甲烷</w:t>
            </w:r>
            <w:r>
              <w:rPr>
                <w:rFonts w:ascii="Times New Roman" w:hAnsi="Times New Roman" w:eastAsia="宋体" w:cs="Times New Roman"/>
                <w:bCs/>
                <w:color w:val="auto"/>
                <w:kern w:val="0"/>
                <w:sz w:val="18"/>
                <w:szCs w:val="18"/>
                <w:lang w:val="en-US" w:eastAsia="zh-CN" w:bidi="ar-SA"/>
              </w:rPr>
              <w:t>总烃</w:t>
            </w:r>
          </w:p>
        </w:tc>
        <w:tc>
          <w:tcPr>
            <w:tcW w:w="247" w:type="pct"/>
            <w:tcBorders>
              <w:tl2br w:val="nil"/>
              <w:tr2bl w:val="nil"/>
            </w:tcBorders>
            <w:noWrap w:val="0"/>
            <w:vAlign w:val="center"/>
          </w:tcPr>
          <w:p w14:paraId="0197FF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0.375</w:t>
            </w:r>
          </w:p>
        </w:tc>
        <w:tc>
          <w:tcPr>
            <w:tcW w:w="248" w:type="pct"/>
            <w:tcBorders>
              <w:tl2br w:val="nil"/>
              <w:tr2bl w:val="nil"/>
            </w:tcBorders>
            <w:noWrap w:val="0"/>
            <w:vAlign w:val="center"/>
          </w:tcPr>
          <w:p w14:paraId="5976E64B">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2.7</w:t>
            </w:r>
          </w:p>
        </w:tc>
        <w:tc>
          <w:tcPr>
            <w:tcW w:w="143" w:type="pct"/>
            <w:tcBorders>
              <w:tl2br w:val="nil"/>
              <w:tr2bl w:val="nil"/>
            </w:tcBorders>
            <w:noWrap w:val="0"/>
            <w:vAlign w:val="center"/>
          </w:tcPr>
          <w:p w14:paraId="0A819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58" w:type="pct"/>
            <w:tcBorders>
              <w:tl2br w:val="nil"/>
              <w:tr2bl w:val="nil"/>
            </w:tcBorders>
            <w:noWrap w:val="0"/>
            <w:vAlign w:val="center"/>
          </w:tcPr>
          <w:p w14:paraId="7DA6D3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过滤棉</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两级活性炭</w:t>
            </w:r>
          </w:p>
        </w:tc>
        <w:tc>
          <w:tcPr>
            <w:tcW w:w="179" w:type="pct"/>
            <w:tcBorders>
              <w:tl2br w:val="nil"/>
              <w:tr2bl w:val="nil"/>
            </w:tcBorders>
            <w:noWrap w:val="0"/>
            <w:vAlign w:val="center"/>
          </w:tcPr>
          <w:p w14:paraId="7D51E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76</w:t>
            </w:r>
          </w:p>
        </w:tc>
        <w:tc>
          <w:tcPr>
            <w:tcW w:w="178" w:type="pct"/>
            <w:tcBorders>
              <w:tl2br w:val="nil"/>
              <w:tr2bl w:val="nil"/>
            </w:tcBorders>
            <w:noWrap w:val="0"/>
            <w:vAlign w:val="center"/>
          </w:tcPr>
          <w:p w14:paraId="60200A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16000</w:t>
            </w:r>
          </w:p>
        </w:tc>
        <w:tc>
          <w:tcPr>
            <w:tcW w:w="284" w:type="pct"/>
            <w:tcBorders>
              <w:tl2br w:val="nil"/>
              <w:tr2bl w:val="nil"/>
            </w:tcBorders>
            <w:noWrap w:val="0"/>
            <w:vAlign w:val="center"/>
          </w:tcPr>
          <w:p w14:paraId="3D196D73">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eastAsia="宋体" w:cs="Times New Roman"/>
                <w:b w:val="0"/>
                <w:bCs/>
                <w:snapToGrid w:val="0"/>
                <w:color w:val="auto"/>
                <w:sz w:val="18"/>
                <w:szCs w:val="18"/>
                <w:vertAlign w:val="baseline"/>
                <w:lang w:val="en-US" w:eastAsia="zh-CN"/>
              </w:rPr>
              <w:t>4.5</w:t>
            </w:r>
          </w:p>
        </w:tc>
        <w:tc>
          <w:tcPr>
            <w:tcW w:w="247" w:type="pct"/>
            <w:tcBorders>
              <w:tl2br w:val="nil"/>
              <w:tr2bl w:val="nil"/>
            </w:tcBorders>
            <w:noWrap w:val="0"/>
            <w:vAlign w:val="center"/>
          </w:tcPr>
          <w:p w14:paraId="7479AE8A">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eastAsia="宋体" w:cs="Times New Roman"/>
                <w:b w:val="0"/>
                <w:bCs/>
                <w:snapToGrid w:val="0"/>
                <w:color w:val="auto"/>
                <w:sz w:val="18"/>
                <w:szCs w:val="18"/>
                <w:vertAlign w:val="baseline"/>
                <w:lang w:val="en-US" w:eastAsia="zh-CN"/>
              </w:rPr>
              <w:t>0.072</w:t>
            </w:r>
          </w:p>
        </w:tc>
        <w:tc>
          <w:tcPr>
            <w:tcW w:w="261" w:type="pct"/>
            <w:tcBorders>
              <w:tl2br w:val="nil"/>
              <w:tr2bl w:val="nil"/>
            </w:tcBorders>
            <w:noWrap w:val="0"/>
            <w:vAlign w:val="center"/>
          </w:tcPr>
          <w:p w14:paraId="327A8321">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eastAsia="宋体" w:cs="Times New Roman"/>
                <w:b w:val="0"/>
                <w:bCs/>
                <w:snapToGrid w:val="0"/>
                <w:color w:val="auto"/>
                <w:sz w:val="18"/>
                <w:szCs w:val="18"/>
                <w:vertAlign w:val="baseline"/>
                <w:lang w:val="en-US" w:eastAsia="zh-CN"/>
              </w:rPr>
              <w:t xml:space="preserve">0.518 </w:t>
            </w:r>
          </w:p>
        </w:tc>
        <w:tc>
          <w:tcPr>
            <w:tcW w:w="239" w:type="pct"/>
            <w:tcBorders>
              <w:tl2br w:val="nil"/>
              <w:tr2bl w:val="nil"/>
            </w:tcBorders>
            <w:noWrap w:val="0"/>
            <w:vAlign w:val="center"/>
          </w:tcPr>
          <w:p w14:paraId="4CBED56E">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eastAsia="宋体" w:cs="Times New Roman"/>
                <w:b w:val="0"/>
                <w:bCs/>
                <w:snapToGrid w:val="0"/>
                <w:color w:val="auto"/>
                <w:sz w:val="18"/>
                <w:szCs w:val="18"/>
                <w:vertAlign w:val="baseline"/>
                <w:lang w:val="en-US" w:eastAsia="zh-CN"/>
              </w:rPr>
              <w:t>0.075</w:t>
            </w:r>
          </w:p>
        </w:tc>
        <w:tc>
          <w:tcPr>
            <w:tcW w:w="248" w:type="pct"/>
            <w:tcBorders>
              <w:tl2br w:val="nil"/>
              <w:tr2bl w:val="nil"/>
            </w:tcBorders>
            <w:noWrap w:val="0"/>
            <w:vAlign w:val="center"/>
          </w:tcPr>
          <w:p w14:paraId="3D76147B">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eastAsia="宋体" w:cs="Times New Roman"/>
                <w:b w:val="0"/>
                <w:bCs/>
                <w:snapToGrid w:val="0"/>
                <w:color w:val="auto"/>
                <w:sz w:val="18"/>
                <w:szCs w:val="18"/>
                <w:vertAlign w:val="baseline"/>
                <w:lang w:val="en-US" w:eastAsia="zh-CN"/>
              </w:rPr>
              <w:t>0.54</w:t>
            </w:r>
          </w:p>
        </w:tc>
        <w:tc>
          <w:tcPr>
            <w:tcW w:w="178" w:type="pct"/>
            <w:tcBorders>
              <w:tl2br w:val="nil"/>
              <w:tr2bl w:val="nil"/>
            </w:tcBorders>
            <w:noWrap w:val="0"/>
            <w:vAlign w:val="center"/>
          </w:tcPr>
          <w:p w14:paraId="5F0A72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7200</w:t>
            </w:r>
          </w:p>
        </w:tc>
        <w:tc>
          <w:tcPr>
            <w:tcW w:w="122" w:type="pct"/>
            <w:tcBorders>
              <w:tl2br w:val="nil"/>
              <w:tr2bl w:val="nil"/>
            </w:tcBorders>
            <w:noWrap w:val="0"/>
            <w:vAlign w:val="center"/>
          </w:tcPr>
          <w:p w14:paraId="52ACC8F3">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25</w:t>
            </w:r>
          </w:p>
        </w:tc>
        <w:tc>
          <w:tcPr>
            <w:tcW w:w="163" w:type="pct"/>
            <w:tcBorders>
              <w:tl2br w:val="nil"/>
              <w:tr2bl w:val="nil"/>
            </w:tcBorders>
            <w:noWrap w:val="0"/>
            <w:vAlign w:val="center"/>
          </w:tcPr>
          <w:p w14:paraId="7FC6C8C9">
            <w:pPr>
              <w:pStyle w:val="26"/>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0.7</w:t>
            </w:r>
          </w:p>
        </w:tc>
        <w:tc>
          <w:tcPr>
            <w:tcW w:w="163" w:type="pct"/>
            <w:tcBorders>
              <w:tl2br w:val="nil"/>
              <w:tr2bl w:val="nil"/>
            </w:tcBorders>
            <w:noWrap w:val="0"/>
            <w:vAlign w:val="center"/>
          </w:tcPr>
          <w:p w14:paraId="4B6EBD7B">
            <w:pPr>
              <w:pStyle w:val="26"/>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11.5</w:t>
            </w:r>
          </w:p>
        </w:tc>
        <w:tc>
          <w:tcPr>
            <w:tcW w:w="128" w:type="pct"/>
            <w:tcBorders>
              <w:tl2br w:val="nil"/>
              <w:tr2bl w:val="nil"/>
            </w:tcBorders>
            <w:noWrap w:val="0"/>
            <w:vAlign w:val="center"/>
          </w:tcPr>
          <w:p w14:paraId="32018448">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25</w:t>
            </w:r>
          </w:p>
        </w:tc>
        <w:tc>
          <w:tcPr>
            <w:tcW w:w="374" w:type="pct"/>
            <w:tcBorders>
              <w:tl2br w:val="nil"/>
              <w:tr2bl w:val="nil"/>
            </w:tcBorders>
            <w:noWrap w:val="0"/>
            <w:vAlign w:val="center"/>
          </w:tcPr>
          <w:p w14:paraId="286294D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eastAsia="宋体" w:cs="Times New Roman"/>
                <w:b w:val="0"/>
                <w:bCs/>
                <w:snapToGrid w:val="0"/>
                <w:color w:val="auto"/>
                <w:sz w:val="18"/>
                <w:szCs w:val="18"/>
                <w:vertAlign w:val="baseline"/>
                <w:lang w:val="en-US" w:eastAsia="zh-CN"/>
              </w:rPr>
              <w:t>一般排放口</w:t>
            </w:r>
          </w:p>
        </w:tc>
      </w:tr>
      <w:tr w14:paraId="3CAAE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tcBorders>
              <w:tl2br w:val="nil"/>
              <w:tr2bl w:val="nil"/>
            </w:tcBorders>
            <w:noWrap w:val="0"/>
            <w:vAlign w:val="center"/>
          </w:tcPr>
          <w:p w14:paraId="53153C5D">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kern w:val="0"/>
                <w:sz w:val="18"/>
                <w:szCs w:val="18"/>
                <w:vertAlign w:val="baseline"/>
                <w:lang w:val="en-US" w:eastAsia="zh-CN" w:bidi="ar-SA"/>
              </w:rPr>
            </w:pPr>
            <w:r>
              <w:rPr>
                <w:rFonts w:hint="default" w:ascii="Times New Roman" w:hAnsi="Times New Roman" w:eastAsia="宋体" w:cs="Times New Roman"/>
                <w:b w:val="0"/>
                <w:bCs/>
                <w:snapToGrid w:val="0"/>
                <w:color w:val="auto"/>
                <w:sz w:val="18"/>
                <w:szCs w:val="18"/>
                <w:vertAlign w:val="baseline"/>
                <w:lang w:eastAsia="zh-CN"/>
              </w:rPr>
              <w:t>破碎</w:t>
            </w:r>
          </w:p>
        </w:tc>
        <w:tc>
          <w:tcPr>
            <w:tcW w:w="354" w:type="pct"/>
            <w:tcBorders>
              <w:tl2br w:val="nil"/>
              <w:tr2bl w:val="nil"/>
            </w:tcBorders>
            <w:noWrap w:val="0"/>
            <w:vAlign w:val="center"/>
          </w:tcPr>
          <w:p w14:paraId="101E89BB">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kern w:val="0"/>
                <w:sz w:val="18"/>
                <w:szCs w:val="18"/>
                <w:vertAlign w:val="baseline"/>
                <w:lang w:val="en-US" w:eastAsia="zh-CN" w:bidi="ar-SA"/>
              </w:rPr>
            </w:pPr>
            <w:r>
              <w:rPr>
                <w:rFonts w:hint="default" w:ascii="Times New Roman" w:hAnsi="Times New Roman" w:eastAsia="宋体" w:cs="Times New Roman"/>
                <w:b w:val="0"/>
                <w:bCs/>
                <w:color w:val="auto"/>
                <w:sz w:val="18"/>
                <w:szCs w:val="18"/>
                <w:lang w:val="en-US" w:eastAsia="zh-CN" w:bidi="ar-SA"/>
              </w:rPr>
              <w:t>破碎机</w:t>
            </w:r>
          </w:p>
        </w:tc>
        <w:tc>
          <w:tcPr>
            <w:tcW w:w="348" w:type="pct"/>
            <w:tcBorders>
              <w:tl2br w:val="nil"/>
              <w:tr2bl w:val="nil"/>
            </w:tcBorders>
            <w:noWrap w:val="0"/>
            <w:vAlign w:val="center"/>
          </w:tcPr>
          <w:p w14:paraId="5BA16F1D">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kern w:val="0"/>
                <w:sz w:val="18"/>
                <w:szCs w:val="18"/>
                <w:vertAlign w:val="baseline"/>
                <w:lang w:val="en-US" w:eastAsia="zh-CN" w:bidi="ar-SA"/>
              </w:rPr>
            </w:pPr>
            <w:r>
              <w:rPr>
                <w:rFonts w:hint="default" w:ascii="Times New Roman" w:hAnsi="Times New Roman" w:eastAsia="宋体" w:cs="Times New Roman"/>
                <w:b w:val="0"/>
                <w:bCs/>
                <w:snapToGrid w:val="0"/>
                <w:color w:val="auto"/>
                <w:sz w:val="18"/>
                <w:szCs w:val="18"/>
                <w:vertAlign w:val="baseline"/>
                <w:lang w:eastAsia="zh-CN"/>
              </w:rPr>
              <w:t>无组织</w:t>
            </w:r>
          </w:p>
        </w:tc>
        <w:tc>
          <w:tcPr>
            <w:tcW w:w="307" w:type="pct"/>
            <w:tcBorders>
              <w:tl2br w:val="nil"/>
              <w:tr2bl w:val="nil"/>
            </w:tcBorders>
            <w:noWrap w:val="0"/>
            <w:vAlign w:val="center"/>
          </w:tcPr>
          <w:p w14:paraId="4814A895">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kern w:val="0"/>
                <w:sz w:val="18"/>
                <w:szCs w:val="18"/>
                <w:vertAlign w:val="baseline"/>
                <w:lang w:val="en-US" w:eastAsia="zh-CN" w:bidi="ar-SA"/>
              </w:rPr>
            </w:pPr>
            <w:r>
              <w:rPr>
                <w:rFonts w:hint="default" w:ascii="Times New Roman" w:hAnsi="Times New Roman" w:eastAsia="宋体" w:cs="Times New Roman"/>
                <w:b w:val="0"/>
                <w:bCs/>
                <w:snapToGrid w:val="0"/>
                <w:color w:val="auto"/>
                <w:sz w:val="18"/>
                <w:szCs w:val="18"/>
                <w:vertAlign w:val="baseline"/>
                <w:lang w:eastAsia="zh-CN"/>
              </w:rPr>
              <w:t>颗粒物</w:t>
            </w:r>
          </w:p>
        </w:tc>
        <w:tc>
          <w:tcPr>
            <w:tcW w:w="247" w:type="pct"/>
            <w:tcBorders>
              <w:tl2br w:val="nil"/>
              <w:tr2bl w:val="nil"/>
            </w:tcBorders>
            <w:noWrap w:val="0"/>
            <w:vAlign w:val="center"/>
          </w:tcPr>
          <w:p w14:paraId="393AF5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2"/>
                <w:sz w:val="18"/>
                <w:szCs w:val="18"/>
                <w:u w:val="none"/>
                <w:lang w:val="en-US" w:eastAsia="zh-CN" w:bidi="ar-SA"/>
              </w:rPr>
              <w:t>0.067</w:t>
            </w:r>
          </w:p>
        </w:tc>
        <w:tc>
          <w:tcPr>
            <w:tcW w:w="248" w:type="pct"/>
            <w:tcBorders>
              <w:tl2br w:val="nil"/>
              <w:tr2bl w:val="nil"/>
            </w:tcBorders>
            <w:noWrap w:val="0"/>
            <w:vAlign w:val="center"/>
          </w:tcPr>
          <w:p w14:paraId="4A285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0.02</w:t>
            </w:r>
          </w:p>
        </w:tc>
        <w:tc>
          <w:tcPr>
            <w:tcW w:w="143" w:type="pct"/>
            <w:tcBorders>
              <w:tl2br w:val="nil"/>
              <w:tr2bl w:val="nil"/>
            </w:tcBorders>
            <w:noWrap w:val="0"/>
            <w:vAlign w:val="center"/>
          </w:tcPr>
          <w:p w14:paraId="46EF6911">
            <w:pPr>
              <w:keepNext w:val="0"/>
              <w:keepLines w:val="0"/>
              <w:widowControl/>
              <w:suppressLineNumbers w:val="0"/>
              <w:spacing w:line="240" w:lineRule="auto"/>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158" w:type="pct"/>
            <w:tcBorders>
              <w:tl2br w:val="nil"/>
              <w:tr2bl w:val="nil"/>
            </w:tcBorders>
            <w:noWrap w:val="0"/>
            <w:vAlign w:val="center"/>
          </w:tcPr>
          <w:p w14:paraId="6DF8F5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snapToGrid w:val="0"/>
                <w:color w:val="auto"/>
                <w:sz w:val="18"/>
                <w:szCs w:val="18"/>
                <w:vertAlign w:val="baseline"/>
                <w:lang w:val="en-US" w:eastAsia="zh-CN"/>
              </w:rPr>
              <w:t>/</w:t>
            </w:r>
          </w:p>
        </w:tc>
        <w:tc>
          <w:tcPr>
            <w:tcW w:w="179" w:type="pct"/>
            <w:tcBorders>
              <w:tl2br w:val="nil"/>
              <w:tr2bl w:val="nil"/>
            </w:tcBorders>
            <w:noWrap w:val="0"/>
            <w:vAlign w:val="center"/>
          </w:tcPr>
          <w:p w14:paraId="4C49339C">
            <w:pPr>
              <w:keepNext w:val="0"/>
              <w:keepLines w:val="0"/>
              <w:widowControl/>
              <w:suppressLineNumbers w:val="0"/>
              <w:spacing w:line="240" w:lineRule="auto"/>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178" w:type="pct"/>
            <w:tcBorders>
              <w:tl2br w:val="nil"/>
              <w:tr2bl w:val="nil"/>
            </w:tcBorders>
            <w:noWrap w:val="0"/>
            <w:vAlign w:val="center"/>
          </w:tcPr>
          <w:p w14:paraId="0005B1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snapToGrid w:val="0"/>
                <w:color w:val="auto"/>
                <w:sz w:val="18"/>
                <w:szCs w:val="18"/>
                <w:vertAlign w:val="baseline"/>
                <w:lang w:val="en-US" w:eastAsia="zh-CN"/>
              </w:rPr>
              <w:t>/</w:t>
            </w:r>
          </w:p>
        </w:tc>
        <w:tc>
          <w:tcPr>
            <w:tcW w:w="284" w:type="pct"/>
            <w:tcBorders>
              <w:tl2br w:val="nil"/>
              <w:tr2bl w:val="nil"/>
            </w:tcBorders>
            <w:noWrap w:val="0"/>
            <w:vAlign w:val="center"/>
          </w:tcPr>
          <w:p w14:paraId="09818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snapToGrid w:val="0"/>
                <w:color w:val="auto"/>
                <w:sz w:val="18"/>
                <w:szCs w:val="18"/>
                <w:vertAlign w:val="baseline"/>
                <w:lang w:val="en-US" w:eastAsia="zh-CN"/>
              </w:rPr>
              <w:t>/</w:t>
            </w:r>
          </w:p>
        </w:tc>
        <w:tc>
          <w:tcPr>
            <w:tcW w:w="247" w:type="pct"/>
            <w:tcBorders>
              <w:tl2br w:val="nil"/>
              <w:tr2bl w:val="nil"/>
            </w:tcBorders>
            <w:noWrap w:val="0"/>
            <w:vAlign w:val="center"/>
          </w:tcPr>
          <w:p w14:paraId="32887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snapToGrid w:val="0"/>
                <w:color w:val="auto"/>
                <w:sz w:val="18"/>
                <w:szCs w:val="18"/>
                <w:vertAlign w:val="baseline"/>
                <w:lang w:val="en-US" w:eastAsia="zh-CN"/>
              </w:rPr>
              <w:t>/</w:t>
            </w:r>
          </w:p>
        </w:tc>
        <w:tc>
          <w:tcPr>
            <w:tcW w:w="261" w:type="pct"/>
            <w:tcBorders>
              <w:tl2br w:val="nil"/>
              <w:tr2bl w:val="nil"/>
            </w:tcBorders>
            <w:noWrap w:val="0"/>
            <w:vAlign w:val="center"/>
          </w:tcPr>
          <w:p w14:paraId="6352D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val="0"/>
                <w:bCs/>
                <w:snapToGrid w:val="0"/>
                <w:color w:val="auto"/>
                <w:sz w:val="18"/>
                <w:szCs w:val="18"/>
                <w:vertAlign w:val="baseline"/>
                <w:lang w:val="en-US" w:eastAsia="zh-CN"/>
              </w:rPr>
              <w:t>/</w:t>
            </w:r>
          </w:p>
        </w:tc>
        <w:tc>
          <w:tcPr>
            <w:tcW w:w="239" w:type="pct"/>
            <w:tcBorders>
              <w:tl2br w:val="nil"/>
              <w:tr2bl w:val="nil"/>
            </w:tcBorders>
            <w:noWrap w:val="0"/>
            <w:vAlign w:val="center"/>
          </w:tcPr>
          <w:p w14:paraId="01DA800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2"/>
                <w:sz w:val="18"/>
                <w:szCs w:val="18"/>
                <w:u w:val="none"/>
                <w:lang w:val="en-US" w:eastAsia="zh-CN" w:bidi="ar-SA"/>
              </w:rPr>
              <w:t>0.067</w:t>
            </w:r>
          </w:p>
        </w:tc>
        <w:tc>
          <w:tcPr>
            <w:tcW w:w="248" w:type="pct"/>
            <w:tcBorders>
              <w:tl2br w:val="nil"/>
              <w:tr2bl w:val="nil"/>
            </w:tcBorders>
            <w:noWrap w:val="0"/>
            <w:vAlign w:val="center"/>
          </w:tcPr>
          <w:p w14:paraId="0F9328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0.02</w:t>
            </w:r>
          </w:p>
        </w:tc>
        <w:tc>
          <w:tcPr>
            <w:tcW w:w="178" w:type="pct"/>
            <w:tcBorders>
              <w:tl2br w:val="nil"/>
              <w:tr2bl w:val="nil"/>
            </w:tcBorders>
            <w:noWrap w:val="0"/>
            <w:vAlign w:val="center"/>
          </w:tcPr>
          <w:p w14:paraId="46D40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b w:val="0"/>
                <w:bCs/>
                <w:snapToGrid w:val="0"/>
                <w:color w:val="auto"/>
                <w:sz w:val="18"/>
                <w:szCs w:val="18"/>
                <w:vertAlign w:val="baseline"/>
                <w:lang w:val="en-US" w:eastAsia="zh-CN"/>
              </w:rPr>
              <w:t>300</w:t>
            </w:r>
          </w:p>
        </w:tc>
        <w:tc>
          <w:tcPr>
            <w:tcW w:w="122" w:type="pct"/>
            <w:tcBorders>
              <w:tl2br w:val="nil"/>
              <w:tr2bl w:val="nil"/>
            </w:tcBorders>
            <w:noWrap w:val="0"/>
            <w:vAlign w:val="center"/>
          </w:tcPr>
          <w:p w14:paraId="1A2E6C82">
            <w:pPr>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163" w:type="pct"/>
            <w:tcBorders>
              <w:tl2br w:val="nil"/>
              <w:tr2bl w:val="nil"/>
            </w:tcBorders>
            <w:noWrap w:val="0"/>
            <w:vAlign w:val="center"/>
          </w:tcPr>
          <w:p w14:paraId="1277C0E7">
            <w:pPr>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163" w:type="pct"/>
            <w:tcBorders>
              <w:tl2br w:val="nil"/>
              <w:tr2bl w:val="nil"/>
            </w:tcBorders>
            <w:noWrap w:val="0"/>
            <w:vAlign w:val="center"/>
          </w:tcPr>
          <w:p w14:paraId="3C595F76">
            <w:pPr>
              <w:adjustRightInd w:val="0"/>
              <w:snapToGrid w:val="0"/>
              <w:spacing w:before="0" w:beforeAutospacing="0" w:after="0" w:afterAutospacing="0" w:line="240" w:lineRule="auto"/>
              <w:jc w:val="center"/>
              <w:outlineLvl w:val="0"/>
              <w:rPr>
                <w:rFonts w:hint="default" w:ascii="Times New Roman" w:hAnsi="Times New Roman"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128" w:type="pct"/>
            <w:tcBorders>
              <w:tl2br w:val="nil"/>
              <w:tr2bl w:val="nil"/>
            </w:tcBorders>
            <w:noWrap w:val="0"/>
            <w:vAlign w:val="center"/>
          </w:tcPr>
          <w:p w14:paraId="62F86324">
            <w:pPr>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default" w:ascii="Times New Roman" w:hAnsi="Times New Roman" w:cs="Times New Roman"/>
                <w:b w:val="0"/>
                <w:bCs/>
                <w:snapToGrid w:val="0"/>
                <w:color w:val="auto"/>
                <w:sz w:val="18"/>
                <w:szCs w:val="18"/>
                <w:vertAlign w:val="baseline"/>
                <w:lang w:val="en-US" w:eastAsia="zh-CN"/>
              </w:rPr>
              <w:t>/</w:t>
            </w:r>
          </w:p>
        </w:tc>
        <w:tc>
          <w:tcPr>
            <w:tcW w:w="374" w:type="pct"/>
            <w:tcBorders>
              <w:tl2br w:val="nil"/>
              <w:tr2bl w:val="nil"/>
            </w:tcBorders>
            <w:noWrap w:val="0"/>
            <w:vAlign w:val="center"/>
          </w:tcPr>
          <w:p w14:paraId="3395C7B3">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w:t>
            </w:r>
          </w:p>
        </w:tc>
      </w:tr>
      <w:tr w14:paraId="7B8C0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000" w:type="pct"/>
            <w:gridSpan w:val="21"/>
            <w:tcBorders>
              <w:tl2br w:val="nil"/>
              <w:tr2bl w:val="nil"/>
            </w:tcBorders>
            <w:noWrap w:val="0"/>
            <w:vAlign w:val="center"/>
          </w:tcPr>
          <w:p w14:paraId="55168B57">
            <w:pPr>
              <w:pStyle w:val="26"/>
              <w:adjustRightInd w:val="0"/>
              <w:snapToGrid w:val="0"/>
              <w:spacing w:before="0" w:beforeAutospacing="0" w:after="0" w:afterAutospacing="0" w:line="240" w:lineRule="auto"/>
              <w:jc w:val="both"/>
              <w:outlineLvl w:val="0"/>
              <w:rPr>
                <w:rFonts w:hint="eastAsia" w:ascii="Times New Roman" w:hAnsi="Times New Roman"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注：除非甲烷总烃外，其余污染物的产生量较少，通过有机废气处理设施处理后的排放量极少，本次评价不对其进行排放量统计，但纳入达标排放管理和监控。</w:t>
            </w:r>
          </w:p>
        </w:tc>
      </w:tr>
    </w:tbl>
    <w:p w14:paraId="1046467D">
      <w:pPr>
        <w:widowControl/>
        <w:adjustRightInd w:val="0"/>
        <w:snapToGrid w:val="0"/>
        <w:jc w:val="center"/>
        <w:outlineLvl w:val="0"/>
        <w:rPr>
          <w:rFonts w:hint="default" w:ascii="Times New Roman" w:hAnsi="Times New Roman" w:cs="Times New Roman"/>
          <w:b/>
          <w:snapToGrid w:val="0"/>
          <w:color w:val="auto"/>
          <w:kern w:val="0"/>
          <w:szCs w:val="21"/>
        </w:rPr>
      </w:pPr>
    </w:p>
    <w:p w14:paraId="530338CA">
      <w:pPr>
        <w:widowControl/>
        <w:adjustRightInd w:val="0"/>
        <w:snapToGrid w:val="0"/>
        <w:jc w:val="center"/>
        <w:outlineLvl w:val="0"/>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表4-</w:t>
      </w:r>
      <w:r>
        <w:rPr>
          <w:rFonts w:hint="eastAsia" w:ascii="Times New Roman" w:hAnsi="Times New Roman" w:cs="Times New Roman"/>
          <w:b/>
          <w:snapToGrid w:val="0"/>
          <w:color w:val="auto"/>
          <w:kern w:val="0"/>
          <w:szCs w:val="21"/>
          <w:lang w:val="en-US" w:eastAsia="zh-CN"/>
        </w:rPr>
        <w:t>3</w:t>
      </w:r>
      <w:r>
        <w:rPr>
          <w:rFonts w:hint="default" w:ascii="Times New Roman" w:hAnsi="Times New Roman" w:cs="Times New Roman"/>
          <w:b/>
          <w:snapToGrid w:val="0"/>
          <w:color w:val="auto"/>
          <w:kern w:val="0"/>
          <w:szCs w:val="21"/>
        </w:rPr>
        <w:t xml:space="preserve">  废气排放口基本情况一览表</w:t>
      </w:r>
    </w:p>
    <w:tbl>
      <w:tblPr>
        <w:tblStyle w:val="30"/>
        <w:tblW w:w="1563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34"/>
        <w:gridCol w:w="1182"/>
        <w:gridCol w:w="1646"/>
        <w:gridCol w:w="1485"/>
        <w:gridCol w:w="1310"/>
        <w:gridCol w:w="1158"/>
        <w:gridCol w:w="1318"/>
        <w:gridCol w:w="1222"/>
        <w:gridCol w:w="1497"/>
        <w:gridCol w:w="953"/>
        <w:gridCol w:w="3333"/>
      </w:tblGrid>
      <w:tr w14:paraId="07775E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7" w:hRule="atLeast"/>
          <w:jc w:val="center"/>
        </w:trPr>
        <w:tc>
          <w:tcPr>
            <w:tcW w:w="534" w:type="dxa"/>
            <w:vMerge w:val="restart"/>
            <w:noWrap w:val="0"/>
            <w:vAlign w:val="center"/>
          </w:tcPr>
          <w:p w14:paraId="27BBF5EC">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1182" w:type="dxa"/>
            <w:vMerge w:val="restart"/>
            <w:noWrap w:val="0"/>
            <w:vAlign w:val="center"/>
          </w:tcPr>
          <w:p w14:paraId="0884782F">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排放口编号</w:t>
            </w:r>
          </w:p>
        </w:tc>
        <w:tc>
          <w:tcPr>
            <w:tcW w:w="1646" w:type="dxa"/>
            <w:vMerge w:val="restart"/>
            <w:noWrap w:val="0"/>
            <w:vAlign w:val="center"/>
          </w:tcPr>
          <w:p w14:paraId="3F951079">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排放口名称</w:t>
            </w:r>
          </w:p>
        </w:tc>
        <w:tc>
          <w:tcPr>
            <w:tcW w:w="2795" w:type="dxa"/>
            <w:gridSpan w:val="2"/>
            <w:noWrap w:val="0"/>
            <w:vAlign w:val="center"/>
          </w:tcPr>
          <w:p w14:paraId="7BFFA298">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排放口地理坐标</w:t>
            </w:r>
          </w:p>
        </w:tc>
        <w:tc>
          <w:tcPr>
            <w:tcW w:w="1158" w:type="dxa"/>
            <w:vMerge w:val="restart"/>
            <w:noWrap w:val="0"/>
            <w:vAlign w:val="center"/>
          </w:tcPr>
          <w:p w14:paraId="221D4362">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污染物名称</w:t>
            </w:r>
          </w:p>
        </w:tc>
        <w:tc>
          <w:tcPr>
            <w:tcW w:w="2540" w:type="dxa"/>
            <w:gridSpan w:val="2"/>
            <w:noWrap w:val="0"/>
            <w:vAlign w:val="center"/>
          </w:tcPr>
          <w:p w14:paraId="793C4632">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排放情况</w:t>
            </w:r>
          </w:p>
        </w:tc>
        <w:tc>
          <w:tcPr>
            <w:tcW w:w="2450" w:type="dxa"/>
            <w:gridSpan w:val="2"/>
            <w:noWrap w:val="0"/>
            <w:vAlign w:val="center"/>
          </w:tcPr>
          <w:p w14:paraId="71DAE09D">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排放限值</w:t>
            </w:r>
          </w:p>
        </w:tc>
        <w:tc>
          <w:tcPr>
            <w:tcW w:w="3333" w:type="dxa"/>
            <w:vMerge w:val="restart"/>
            <w:noWrap w:val="0"/>
            <w:vAlign w:val="center"/>
          </w:tcPr>
          <w:p w14:paraId="3950020A">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排放标准</w:t>
            </w:r>
          </w:p>
        </w:tc>
      </w:tr>
      <w:tr w14:paraId="275537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8" w:hRule="atLeast"/>
          <w:jc w:val="center"/>
        </w:trPr>
        <w:tc>
          <w:tcPr>
            <w:tcW w:w="534" w:type="dxa"/>
            <w:vMerge w:val="continue"/>
            <w:noWrap w:val="0"/>
            <w:vAlign w:val="center"/>
          </w:tcPr>
          <w:p w14:paraId="52BE1D34">
            <w:pPr>
              <w:adjustRightInd w:val="0"/>
              <w:snapToGrid w:val="0"/>
              <w:ind w:left="460" w:hanging="460"/>
              <w:jc w:val="center"/>
              <w:rPr>
                <w:rFonts w:hint="default" w:ascii="Times New Roman" w:hAnsi="Times New Roman" w:cs="Times New Roman"/>
                <w:color w:val="auto"/>
                <w:kern w:val="0"/>
                <w:sz w:val="18"/>
                <w:szCs w:val="18"/>
              </w:rPr>
            </w:pPr>
          </w:p>
        </w:tc>
        <w:tc>
          <w:tcPr>
            <w:tcW w:w="1182" w:type="dxa"/>
            <w:vMerge w:val="continue"/>
            <w:noWrap w:val="0"/>
            <w:vAlign w:val="center"/>
          </w:tcPr>
          <w:p w14:paraId="430641A6">
            <w:pPr>
              <w:adjustRightInd w:val="0"/>
              <w:snapToGrid w:val="0"/>
              <w:ind w:left="460" w:hanging="460"/>
              <w:jc w:val="center"/>
              <w:rPr>
                <w:rFonts w:hint="default" w:ascii="Times New Roman" w:hAnsi="Times New Roman" w:cs="Times New Roman"/>
                <w:color w:val="auto"/>
                <w:kern w:val="0"/>
                <w:sz w:val="18"/>
                <w:szCs w:val="18"/>
              </w:rPr>
            </w:pPr>
          </w:p>
        </w:tc>
        <w:tc>
          <w:tcPr>
            <w:tcW w:w="1646" w:type="dxa"/>
            <w:vMerge w:val="continue"/>
            <w:noWrap w:val="0"/>
            <w:vAlign w:val="center"/>
          </w:tcPr>
          <w:p w14:paraId="29F81AB4">
            <w:pPr>
              <w:adjustRightInd w:val="0"/>
              <w:snapToGrid w:val="0"/>
              <w:jc w:val="center"/>
              <w:rPr>
                <w:rFonts w:hint="default" w:ascii="Times New Roman" w:hAnsi="Times New Roman" w:cs="Times New Roman"/>
                <w:color w:val="auto"/>
                <w:kern w:val="0"/>
                <w:sz w:val="18"/>
                <w:szCs w:val="18"/>
              </w:rPr>
            </w:pPr>
          </w:p>
        </w:tc>
        <w:tc>
          <w:tcPr>
            <w:tcW w:w="1485" w:type="dxa"/>
            <w:noWrap w:val="0"/>
            <w:vAlign w:val="center"/>
          </w:tcPr>
          <w:p w14:paraId="00A7A56D">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经度</w:t>
            </w:r>
          </w:p>
        </w:tc>
        <w:tc>
          <w:tcPr>
            <w:tcW w:w="1310" w:type="dxa"/>
            <w:noWrap w:val="0"/>
            <w:vAlign w:val="center"/>
          </w:tcPr>
          <w:p w14:paraId="7F77DD48">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纬度</w:t>
            </w:r>
          </w:p>
        </w:tc>
        <w:tc>
          <w:tcPr>
            <w:tcW w:w="1158" w:type="dxa"/>
            <w:vMerge w:val="continue"/>
            <w:noWrap w:val="0"/>
            <w:vAlign w:val="center"/>
          </w:tcPr>
          <w:p w14:paraId="705F1406">
            <w:pPr>
              <w:adjustRightInd w:val="0"/>
              <w:snapToGrid w:val="0"/>
              <w:jc w:val="center"/>
              <w:rPr>
                <w:rFonts w:hint="default" w:ascii="Times New Roman" w:hAnsi="Times New Roman" w:cs="Times New Roman"/>
                <w:color w:val="auto"/>
                <w:kern w:val="0"/>
                <w:sz w:val="18"/>
                <w:szCs w:val="18"/>
              </w:rPr>
            </w:pPr>
          </w:p>
        </w:tc>
        <w:tc>
          <w:tcPr>
            <w:tcW w:w="1318" w:type="dxa"/>
            <w:noWrap w:val="0"/>
            <w:vAlign w:val="center"/>
          </w:tcPr>
          <w:p w14:paraId="0CBA27C0">
            <w:pPr>
              <w:widowControl/>
              <w:jc w:val="center"/>
              <w:outlineLvl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排放浓度</w:t>
            </w:r>
          </w:p>
          <w:p w14:paraId="2CD32BBF">
            <w:pPr>
              <w:widowControl/>
              <w:jc w:val="center"/>
              <w:outlineLvl w:val="0"/>
              <w:rPr>
                <w:rFonts w:hint="default" w:ascii="Times New Roman" w:hAnsi="Times New Roman" w:cs="Times New Roman"/>
                <w:color w:val="auto"/>
                <w:kern w:val="0"/>
                <w:sz w:val="18"/>
                <w:szCs w:val="18"/>
              </w:rPr>
            </w:pPr>
            <w:r>
              <w:rPr>
                <w:rFonts w:hint="eastAsia" w:cs="Times New Roman"/>
                <w:color w:val="auto"/>
                <w:kern w:val="0"/>
                <w:sz w:val="18"/>
                <w:szCs w:val="18"/>
                <w:lang w:eastAsia="zh-CN"/>
              </w:rPr>
              <w:t>(</w:t>
            </w:r>
            <w:r>
              <w:rPr>
                <w:rFonts w:hint="default" w:ascii="Times New Roman" w:hAnsi="Times New Roman" w:cs="Times New Roman"/>
                <w:color w:val="auto"/>
                <w:kern w:val="0"/>
                <w:sz w:val="18"/>
                <w:szCs w:val="18"/>
              </w:rPr>
              <w:t>mg/m</w:t>
            </w:r>
            <w:r>
              <w:rPr>
                <w:rFonts w:hint="default" w:ascii="Times New Roman" w:hAnsi="Times New Roman" w:cs="Times New Roman"/>
                <w:color w:val="auto"/>
                <w:kern w:val="0"/>
                <w:sz w:val="18"/>
                <w:szCs w:val="18"/>
                <w:vertAlign w:val="superscript"/>
              </w:rPr>
              <w:t>3</w:t>
            </w:r>
            <w:r>
              <w:rPr>
                <w:rFonts w:hint="eastAsia" w:cs="Times New Roman"/>
                <w:color w:val="auto"/>
                <w:kern w:val="0"/>
                <w:sz w:val="18"/>
                <w:szCs w:val="18"/>
                <w:vertAlign w:val="superscript"/>
                <w:lang w:eastAsia="zh-CN"/>
              </w:rPr>
              <w:t>)</w:t>
            </w:r>
          </w:p>
        </w:tc>
        <w:tc>
          <w:tcPr>
            <w:tcW w:w="1222" w:type="dxa"/>
            <w:noWrap w:val="0"/>
            <w:vAlign w:val="center"/>
          </w:tcPr>
          <w:p w14:paraId="3310C2F2">
            <w:pPr>
              <w:widowControl/>
              <w:jc w:val="center"/>
              <w:outlineLvl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排放速率（kg/h）</w:t>
            </w:r>
          </w:p>
        </w:tc>
        <w:tc>
          <w:tcPr>
            <w:tcW w:w="1497" w:type="dxa"/>
            <w:noWrap w:val="0"/>
            <w:vAlign w:val="center"/>
          </w:tcPr>
          <w:p w14:paraId="5371AA8B">
            <w:pPr>
              <w:widowControl/>
              <w:jc w:val="center"/>
              <w:outlineLvl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浓度限值（mg/m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w:t>
            </w:r>
          </w:p>
        </w:tc>
        <w:tc>
          <w:tcPr>
            <w:tcW w:w="953" w:type="dxa"/>
            <w:noWrap w:val="0"/>
            <w:vAlign w:val="center"/>
          </w:tcPr>
          <w:p w14:paraId="36BA9FDA">
            <w:pPr>
              <w:widowControl/>
              <w:jc w:val="center"/>
              <w:outlineLvl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速率（kg/h）</w:t>
            </w:r>
          </w:p>
        </w:tc>
        <w:tc>
          <w:tcPr>
            <w:tcW w:w="3333" w:type="dxa"/>
            <w:vMerge w:val="continue"/>
            <w:noWrap w:val="0"/>
            <w:vAlign w:val="center"/>
          </w:tcPr>
          <w:p w14:paraId="60C4CDD2">
            <w:pPr>
              <w:adjustRightInd w:val="0"/>
              <w:snapToGrid w:val="0"/>
              <w:jc w:val="center"/>
              <w:rPr>
                <w:rFonts w:hint="default" w:ascii="Times New Roman" w:hAnsi="Times New Roman" w:cs="Times New Roman"/>
                <w:color w:val="auto"/>
                <w:kern w:val="0"/>
                <w:sz w:val="18"/>
                <w:szCs w:val="18"/>
              </w:rPr>
            </w:pPr>
          </w:p>
        </w:tc>
      </w:tr>
      <w:tr w14:paraId="2A0A52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534" w:type="dxa"/>
            <w:vMerge w:val="restart"/>
            <w:noWrap w:val="0"/>
            <w:vAlign w:val="center"/>
          </w:tcPr>
          <w:p w14:paraId="7F91A614">
            <w:pPr>
              <w:adjustRightInd w:val="0"/>
              <w:snapToGrid w:val="0"/>
              <w:spacing w:beforeLines="10" w:afterLines="10" w:line="259"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182" w:type="dxa"/>
            <w:vMerge w:val="restart"/>
            <w:noWrap w:val="0"/>
            <w:vAlign w:val="center"/>
          </w:tcPr>
          <w:p w14:paraId="4361B56C">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vertAlign w:val="superscript"/>
              </w:rPr>
            </w:pPr>
            <w:r>
              <w:rPr>
                <w:rFonts w:hint="default" w:ascii="Times New Roman" w:hAnsi="Times New Roman" w:cs="Times New Roman"/>
                <w:color w:val="auto"/>
                <w:kern w:val="0"/>
                <w:sz w:val="18"/>
                <w:szCs w:val="18"/>
              </w:rPr>
              <w:t>DA001</w:t>
            </w:r>
          </w:p>
        </w:tc>
        <w:tc>
          <w:tcPr>
            <w:tcW w:w="1646" w:type="dxa"/>
            <w:vMerge w:val="restart"/>
            <w:noWrap w:val="0"/>
            <w:vAlign w:val="center"/>
          </w:tcPr>
          <w:p w14:paraId="5045F687">
            <w:pPr>
              <w:adjustRightInd w:val="0"/>
              <w:snapToGrid w:val="0"/>
              <w:spacing w:beforeLines="10" w:afterLines="10" w:line="259" w:lineRule="auto"/>
              <w:jc w:val="center"/>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eastAsia="zh-CN"/>
              </w:rPr>
              <w:t>注塑废气排放口</w:t>
            </w:r>
          </w:p>
        </w:tc>
        <w:tc>
          <w:tcPr>
            <w:tcW w:w="1485" w:type="dxa"/>
            <w:vMerge w:val="restart"/>
            <w:noWrap w:val="0"/>
            <w:vAlign w:val="center"/>
          </w:tcPr>
          <w:p w14:paraId="42F3B90B">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106.295413610</w:t>
            </w:r>
          </w:p>
        </w:tc>
        <w:tc>
          <w:tcPr>
            <w:tcW w:w="1310" w:type="dxa"/>
            <w:vMerge w:val="restart"/>
            <w:noWrap w:val="0"/>
            <w:vAlign w:val="center"/>
          </w:tcPr>
          <w:p w14:paraId="188FA4FD">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29.936689902</w:t>
            </w:r>
          </w:p>
        </w:tc>
        <w:tc>
          <w:tcPr>
            <w:tcW w:w="1158" w:type="dxa"/>
            <w:noWrap w:val="0"/>
            <w:vAlign w:val="center"/>
          </w:tcPr>
          <w:p w14:paraId="4D923E21">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非甲烷</w:t>
            </w:r>
            <w:r>
              <w:rPr>
                <w:rFonts w:ascii="Times New Roman" w:hAnsi="Times New Roman" w:eastAsia="宋体" w:cs="Times New Roman"/>
                <w:bCs/>
                <w:color w:val="auto"/>
                <w:kern w:val="0"/>
                <w:sz w:val="18"/>
                <w:szCs w:val="18"/>
                <w:lang w:val="en-US" w:eastAsia="zh-CN" w:bidi="ar-SA"/>
              </w:rPr>
              <w:t>总烃</w:t>
            </w:r>
          </w:p>
        </w:tc>
        <w:tc>
          <w:tcPr>
            <w:tcW w:w="1318" w:type="dxa"/>
            <w:noWrap w:val="0"/>
            <w:vAlign w:val="center"/>
          </w:tcPr>
          <w:p w14:paraId="5E7371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b w:val="0"/>
                <w:bCs/>
                <w:snapToGrid w:val="0"/>
                <w:color w:val="auto"/>
                <w:sz w:val="18"/>
                <w:szCs w:val="18"/>
                <w:vertAlign w:val="baseline"/>
                <w:lang w:val="en-US" w:eastAsia="zh-CN"/>
              </w:rPr>
              <w:t>4.5</w:t>
            </w:r>
          </w:p>
        </w:tc>
        <w:tc>
          <w:tcPr>
            <w:tcW w:w="1222" w:type="dxa"/>
            <w:noWrap w:val="0"/>
            <w:vAlign w:val="center"/>
          </w:tcPr>
          <w:p w14:paraId="2CD1C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b w:val="0"/>
                <w:bCs/>
                <w:snapToGrid w:val="0"/>
                <w:color w:val="auto"/>
                <w:sz w:val="18"/>
                <w:szCs w:val="18"/>
                <w:vertAlign w:val="baseline"/>
                <w:lang w:val="en-US" w:eastAsia="zh-CN"/>
              </w:rPr>
              <w:t>0.072</w:t>
            </w:r>
          </w:p>
        </w:tc>
        <w:tc>
          <w:tcPr>
            <w:tcW w:w="1497" w:type="dxa"/>
            <w:noWrap w:val="0"/>
            <w:vAlign w:val="center"/>
          </w:tcPr>
          <w:p w14:paraId="016853F1">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60</w:t>
            </w:r>
          </w:p>
        </w:tc>
        <w:tc>
          <w:tcPr>
            <w:tcW w:w="953" w:type="dxa"/>
            <w:noWrap w:val="0"/>
            <w:vAlign w:val="center"/>
          </w:tcPr>
          <w:p w14:paraId="78A784AE">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restart"/>
            <w:noWrap w:val="0"/>
            <w:vAlign w:val="center"/>
          </w:tcPr>
          <w:p w14:paraId="70EF7D13">
            <w:pPr>
              <w:adjustRightInd w:val="0"/>
              <w:snapToGrid w:val="0"/>
              <w:jc w:val="center"/>
              <w:rPr>
                <w:rFonts w:hint="default" w:ascii="Times New Roman" w:hAnsi="Times New Roman" w:cs="Times New Roman"/>
                <w:color w:val="auto"/>
                <w:kern w:val="0"/>
                <w:sz w:val="18"/>
                <w:szCs w:val="18"/>
              </w:rPr>
            </w:pPr>
            <w:r>
              <w:rPr>
                <w:rFonts w:hint="eastAsia" w:cs="Times New Roman"/>
                <w:color w:val="auto"/>
                <w:kern w:val="2"/>
                <w:sz w:val="18"/>
                <w:szCs w:val="18"/>
                <w:highlight w:val="none"/>
                <w:lang w:val="en-US" w:eastAsia="zh-CN" w:bidi="ar-SA"/>
              </w:rPr>
              <w:t>《合成树脂工业污染物排放标准》（GB 31572-2015，含2024年修改单</w:t>
            </w:r>
            <w:r>
              <w:rPr>
                <w:rFonts w:hint="default" w:ascii="Times New Roman" w:hAnsi="Times New Roman" w:cs="Times New Roman"/>
                <w:color w:val="auto"/>
                <w:sz w:val="18"/>
                <w:szCs w:val="18"/>
                <w:highlight w:val="none"/>
                <w:lang w:val="en-US" w:eastAsia="zh-CN"/>
              </w:rPr>
              <w:t>））</w:t>
            </w:r>
          </w:p>
        </w:tc>
      </w:tr>
      <w:tr w14:paraId="472354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534" w:type="dxa"/>
            <w:vMerge w:val="continue"/>
            <w:noWrap w:val="0"/>
            <w:vAlign w:val="center"/>
          </w:tcPr>
          <w:p w14:paraId="2B491DF2">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182" w:type="dxa"/>
            <w:vMerge w:val="continue"/>
            <w:noWrap w:val="0"/>
            <w:vAlign w:val="center"/>
          </w:tcPr>
          <w:p w14:paraId="758101DB">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51E654F6">
            <w:pPr>
              <w:adjustRightInd w:val="0"/>
              <w:snapToGrid w:val="0"/>
              <w:spacing w:beforeLines="10" w:afterLines="10" w:line="259" w:lineRule="auto"/>
              <w:jc w:val="center"/>
              <w:rPr>
                <w:rFonts w:hint="default" w:ascii="Times New Roman" w:hAnsi="Times New Roman" w:cs="Times New Roman"/>
                <w:color w:val="auto"/>
                <w:kern w:val="0"/>
                <w:sz w:val="18"/>
                <w:szCs w:val="18"/>
                <w:lang w:val="en-US" w:eastAsia="zh-CN"/>
              </w:rPr>
            </w:pPr>
          </w:p>
        </w:tc>
        <w:tc>
          <w:tcPr>
            <w:tcW w:w="1485" w:type="dxa"/>
            <w:vMerge w:val="continue"/>
            <w:noWrap w:val="0"/>
            <w:vAlign w:val="center"/>
          </w:tcPr>
          <w:p w14:paraId="63E28B33">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789B96AD">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38FD3017">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cs="Times New Roman"/>
                <w:bCs/>
                <w:color w:val="auto"/>
                <w:kern w:val="0"/>
                <w:sz w:val="18"/>
                <w:szCs w:val="18"/>
                <w:lang w:val="en-US" w:eastAsia="zh-CN" w:bidi="ar-SA"/>
              </w:rPr>
              <w:t>颗粒物</w:t>
            </w:r>
          </w:p>
        </w:tc>
        <w:tc>
          <w:tcPr>
            <w:tcW w:w="1318" w:type="dxa"/>
            <w:shd w:val="clear" w:color="auto" w:fill="auto"/>
            <w:noWrap w:val="0"/>
            <w:vAlign w:val="center"/>
          </w:tcPr>
          <w:p w14:paraId="1CC79474">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shd w:val="clear" w:color="auto" w:fill="auto"/>
            <w:noWrap w:val="0"/>
            <w:vAlign w:val="center"/>
          </w:tcPr>
          <w:p w14:paraId="5137B82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48E942A3">
            <w:pPr>
              <w:pStyle w:val="59"/>
              <w:spacing w:beforeLines="0" w:afterLines="0" w:line="240" w:lineRule="auto"/>
              <w:ind w:left="0" w:leftChars="0" w:firstLine="0" w:firstLineChars="0"/>
              <w:jc w:val="center"/>
              <w:rPr>
                <w:rFonts w:hint="default" w:ascii="Times New Roman" w:hAnsi="Times New Roman" w:cs="Times New Roman"/>
                <w:color w:val="auto"/>
                <w:kern w:val="0"/>
                <w:sz w:val="18"/>
                <w:szCs w:val="18"/>
                <w:highlight w:val="none"/>
                <w:lang w:val="en-US" w:eastAsia="zh-CN" w:bidi="ar-SA"/>
              </w:rPr>
            </w:pPr>
            <w:r>
              <w:rPr>
                <w:rFonts w:hint="eastAsia" w:ascii="Times New Roman" w:cs="Times New Roman"/>
                <w:color w:val="auto"/>
                <w:kern w:val="0"/>
                <w:sz w:val="18"/>
                <w:szCs w:val="18"/>
                <w:highlight w:val="none"/>
                <w:lang w:val="en-US" w:eastAsia="zh-CN" w:bidi="ar-SA"/>
              </w:rPr>
              <w:t>20</w:t>
            </w:r>
          </w:p>
        </w:tc>
        <w:tc>
          <w:tcPr>
            <w:tcW w:w="953" w:type="dxa"/>
            <w:noWrap w:val="0"/>
            <w:vAlign w:val="center"/>
          </w:tcPr>
          <w:p w14:paraId="59DD6B6C">
            <w:pPr>
              <w:pStyle w:val="59"/>
              <w:spacing w:beforeLines="0" w:afterLines="0" w:line="240" w:lineRule="auto"/>
              <w:ind w:left="0" w:leftChars="0" w:firstLine="0" w:firstLineChars="0"/>
              <w:jc w:val="center"/>
              <w:rPr>
                <w:rFonts w:hint="default" w:ascii="Times New Roman" w:hAnsi="Times New Roman" w:cs="Times New Roman"/>
                <w:color w:val="auto"/>
                <w:kern w:val="0"/>
                <w:sz w:val="18"/>
                <w:szCs w:val="18"/>
                <w:highlight w:val="none"/>
                <w:lang w:val="en-US" w:eastAsia="zh-CN" w:bidi="ar-SA"/>
              </w:rPr>
            </w:pPr>
            <w:r>
              <w:rPr>
                <w:rFonts w:hint="eastAsia" w:ascii="Times New Roman" w:cs="Times New Roman"/>
                <w:color w:val="auto"/>
                <w:kern w:val="0"/>
                <w:sz w:val="18"/>
                <w:szCs w:val="18"/>
                <w:highlight w:val="none"/>
                <w:lang w:val="en-US" w:eastAsia="zh-CN" w:bidi="ar-SA"/>
              </w:rPr>
              <w:t>/</w:t>
            </w:r>
          </w:p>
        </w:tc>
        <w:tc>
          <w:tcPr>
            <w:tcW w:w="3333" w:type="dxa"/>
            <w:vMerge w:val="continue"/>
            <w:noWrap w:val="0"/>
            <w:vAlign w:val="center"/>
          </w:tcPr>
          <w:p w14:paraId="62B5099E">
            <w:pPr>
              <w:adjustRightInd w:val="0"/>
              <w:snapToGrid w:val="0"/>
              <w:jc w:val="center"/>
              <w:rPr>
                <w:rFonts w:hint="eastAsia" w:cs="Times New Roman"/>
                <w:color w:val="auto"/>
                <w:kern w:val="2"/>
                <w:sz w:val="18"/>
                <w:szCs w:val="18"/>
                <w:highlight w:val="none"/>
                <w:lang w:val="en-US" w:eastAsia="zh-CN" w:bidi="ar-SA"/>
              </w:rPr>
            </w:pPr>
          </w:p>
        </w:tc>
      </w:tr>
      <w:tr w14:paraId="21EFF1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7" w:hRule="atLeast"/>
          <w:jc w:val="center"/>
        </w:trPr>
        <w:tc>
          <w:tcPr>
            <w:tcW w:w="534" w:type="dxa"/>
            <w:vMerge w:val="continue"/>
            <w:noWrap w:val="0"/>
            <w:vAlign w:val="center"/>
          </w:tcPr>
          <w:p w14:paraId="3C67D532">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182" w:type="dxa"/>
            <w:vMerge w:val="continue"/>
            <w:noWrap w:val="0"/>
            <w:vAlign w:val="center"/>
          </w:tcPr>
          <w:p w14:paraId="6875EA3B">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75FC0BD3">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485" w:type="dxa"/>
            <w:vMerge w:val="continue"/>
            <w:noWrap w:val="0"/>
            <w:vAlign w:val="center"/>
          </w:tcPr>
          <w:p w14:paraId="66BBBAEC">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7A1BA2C0">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186A9680">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甲苯</w:t>
            </w:r>
          </w:p>
        </w:tc>
        <w:tc>
          <w:tcPr>
            <w:tcW w:w="1318" w:type="dxa"/>
            <w:noWrap w:val="0"/>
            <w:vAlign w:val="center"/>
          </w:tcPr>
          <w:p w14:paraId="225E1BD3">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51A431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3B8D87AF">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8</w:t>
            </w:r>
          </w:p>
        </w:tc>
        <w:tc>
          <w:tcPr>
            <w:tcW w:w="953" w:type="dxa"/>
            <w:noWrap w:val="0"/>
            <w:vAlign w:val="center"/>
          </w:tcPr>
          <w:p w14:paraId="0D11039E">
            <w:pPr>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544DC990">
            <w:pPr>
              <w:adjustRightInd w:val="0"/>
              <w:snapToGrid w:val="0"/>
              <w:jc w:val="center"/>
              <w:rPr>
                <w:rFonts w:hint="default" w:ascii="Times New Roman" w:hAnsi="Times New Roman" w:cs="Times New Roman"/>
                <w:color w:val="auto"/>
                <w:kern w:val="0"/>
                <w:sz w:val="18"/>
                <w:szCs w:val="18"/>
              </w:rPr>
            </w:pPr>
          </w:p>
        </w:tc>
      </w:tr>
      <w:tr w14:paraId="0A2951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34" w:type="dxa"/>
            <w:vMerge w:val="continue"/>
            <w:noWrap w:val="0"/>
            <w:vAlign w:val="center"/>
          </w:tcPr>
          <w:p w14:paraId="3899B4D7">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182" w:type="dxa"/>
            <w:vMerge w:val="continue"/>
            <w:noWrap w:val="0"/>
            <w:vAlign w:val="center"/>
          </w:tcPr>
          <w:p w14:paraId="1593E9BF">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3D2B6EAB">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485" w:type="dxa"/>
            <w:vMerge w:val="continue"/>
            <w:noWrap w:val="0"/>
            <w:vAlign w:val="center"/>
          </w:tcPr>
          <w:p w14:paraId="505F810E">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0354E4C8">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66C8B78B">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乙苯</w:t>
            </w:r>
          </w:p>
        </w:tc>
        <w:tc>
          <w:tcPr>
            <w:tcW w:w="1318" w:type="dxa"/>
            <w:noWrap w:val="0"/>
            <w:vAlign w:val="center"/>
          </w:tcPr>
          <w:p w14:paraId="37BAB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51EAC4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15F1554D">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50</w:t>
            </w:r>
          </w:p>
        </w:tc>
        <w:tc>
          <w:tcPr>
            <w:tcW w:w="953" w:type="dxa"/>
            <w:noWrap w:val="0"/>
            <w:vAlign w:val="center"/>
          </w:tcPr>
          <w:p w14:paraId="1819FF7E">
            <w:pPr>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511FE593">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p>
        </w:tc>
      </w:tr>
      <w:tr w14:paraId="23CF78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34" w:type="dxa"/>
            <w:vMerge w:val="continue"/>
            <w:noWrap w:val="0"/>
            <w:vAlign w:val="center"/>
          </w:tcPr>
          <w:p w14:paraId="49E5215A">
            <w:pPr>
              <w:adjustRightInd w:val="0"/>
              <w:snapToGrid w:val="0"/>
              <w:spacing w:beforeLines="10" w:afterLines="10" w:line="259" w:lineRule="auto"/>
              <w:jc w:val="center"/>
              <w:rPr>
                <w:rFonts w:hint="default" w:ascii="Times New Roman" w:hAnsi="Times New Roman" w:eastAsia="宋体" w:cs="Times New Roman"/>
                <w:color w:val="auto"/>
                <w:kern w:val="0"/>
                <w:sz w:val="18"/>
                <w:szCs w:val="18"/>
                <w:lang w:val="en-US" w:eastAsia="zh-CN"/>
              </w:rPr>
            </w:pPr>
          </w:p>
        </w:tc>
        <w:tc>
          <w:tcPr>
            <w:tcW w:w="1182" w:type="dxa"/>
            <w:vMerge w:val="continue"/>
            <w:noWrap w:val="0"/>
            <w:vAlign w:val="center"/>
          </w:tcPr>
          <w:p w14:paraId="3D972D4F">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2AC3B8B6">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485" w:type="dxa"/>
            <w:vMerge w:val="continue"/>
            <w:noWrap w:val="0"/>
            <w:vAlign w:val="center"/>
          </w:tcPr>
          <w:p w14:paraId="21526179">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12C65836">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7EA7AEF8">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苯乙烯</w:t>
            </w:r>
          </w:p>
        </w:tc>
        <w:tc>
          <w:tcPr>
            <w:tcW w:w="1318" w:type="dxa"/>
            <w:noWrap w:val="0"/>
            <w:vAlign w:val="center"/>
          </w:tcPr>
          <w:p w14:paraId="7638B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4486C3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294F3484">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20</w:t>
            </w:r>
          </w:p>
        </w:tc>
        <w:tc>
          <w:tcPr>
            <w:tcW w:w="953" w:type="dxa"/>
            <w:noWrap w:val="0"/>
            <w:vAlign w:val="center"/>
          </w:tcPr>
          <w:p w14:paraId="78257F5C">
            <w:pPr>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1389267B">
            <w:pPr>
              <w:pStyle w:val="59"/>
              <w:spacing w:beforeLines="0" w:afterLines="0" w:line="240" w:lineRule="auto"/>
              <w:ind w:left="0" w:leftChars="0" w:firstLine="0" w:firstLineChars="0"/>
              <w:jc w:val="center"/>
              <w:rPr>
                <w:rFonts w:hint="default" w:ascii="Times New Roman" w:hAnsi="Times New Roman" w:cs="Times New Roman"/>
                <w:color w:val="auto"/>
                <w:sz w:val="18"/>
                <w:szCs w:val="18"/>
                <w:highlight w:val="none"/>
                <w:lang w:val="en-US" w:eastAsia="zh-CN"/>
              </w:rPr>
            </w:pPr>
          </w:p>
        </w:tc>
      </w:tr>
      <w:tr w14:paraId="34322B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34" w:type="dxa"/>
            <w:vMerge w:val="continue"/>
            <w:noWrap w:val="0"/>
            <w:vAlign w:val="center"/>
          </w:tcPr>
          <w:p w14:paraId="131584F5">
            <w:pPr>
              <w:adjustRightInd w:val="0"/>
              <w:snapToGrid w:val="0"/>
              <w:spacing w:beforeLines="10" w:afterLines="10" w:line="259" w:lineRule="auto"/>
              <w:jc w:val="center"/>
              <w:rPr>
                <w:rFonts w:hint="default" w:ascii="Times New Roman" w:hAnsi="Times New Roman" w:eastAsia="宋体" w:cs="Times New Roman"/>
                <w:color w:val="auto"/>
                <w:kern w:val="0"/>
                <w:sz w:val="18"/>
                <w:szCs w:val="18"/>
                <w:lang w:val="en-US" w:eastAsia="zh-CN"/>
              </w:rPr>
            </w:pPr>
          </w:p>
        </w:tc>
        <w:tc>
          <w:tcPr>
            <w:tcW w:w="1182" w:type="dxa"/>
            <w:vMerge w:val="continue"/>
            <w:noWrap w:val="0"/>
            <w:vAlign w:val="center"/>
          </w:tcPr>
          <w:p w14:paraId="5877DD06">
            <w:pPr>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rPr>
            </w:pPr>
          </w:p>
        </w:tc>
        <w:tc>
          <w:tcPr>
            <w:tcW w:w="1646" w:type="dxa"/>
            <w:vMerge w:val="continue"/>
            <w:noWrap w:val="0"/>
            <w:vAlign w:val="center"/>
          </w:tcPr>
          <w:p w14:paraId="2CAE4D90">
            <w:pPr>
              <w:adjustRightInd w:val="0"/>
              <w:snapToGrid w:val="0"/>
              <w:spacing w:beforeLines="10" w:afterLines="10" w:line="259" w:lineRule="auto"/>
              <w:jc w:val="center"/>
              <w:rPr>
                <w:rFonts w:hint="default" w:ascii="Times New Roman" w:hAnsi="Times New Roman" w:eastAsia="宋体" w:cs="Times New Roman"/>
                <w:color w:val="auto"/>
                <w:kern w:val="0"/>
                <w:sz w:val="18"/>
                <w:szCs w:val="18"/>
                <w:lang w:val="en-US" w:eastAsia="zh-CN"/>
              </w:rPr>
            </w:pPr>
          </w:p>
        </w:tc>
        <w:tc>
          <w:tcPr>
            <w:tcW w:w="1485" w:type="dxa"/>
            <w:vMerge w:val="continue"/>
            <w:noWrap w:val="0"/>
            <w:vAlign w:val="center"/>
          </w:tcPr>
          <w:p w14:paraId="57DCDEE9">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0EAA6065">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76D14BBA">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丙烯腈</w:t>
            </w:r>
          </w:p>
        </w:tc>
        <w:tc>
          <w:tcPr>
            <w:tcW w:w="1318" w:type="dxa"/>
            <w:noWrap w:val="0"/>
            <w:vAlign w:val="center"/>
          </w:tcPr>
          <w:p w14:paraId="30F01C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53C94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23B38B2E">
            <w:pPr>
              <w:pStyle w:val="59"/>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0.5</w:t>
            </w:r>
          </w:p>
        </w:tc>
        <w:tc>
          <w:tcPr>
            <w:tcW w:w="953" w:type="dxa"/>
            <w:noWrap w:val="0"/>
            <w:vAlign w:val="center"/>
          </w:tcPr>
          <w:p w14:paraId="6E0162D9">
            <w:pPr>
              <w:spacing w:beforeLines="0" w:afterLines="0" w:line="240" w:lineRule="auto"/>
              <w:ind w:left="0" w:lef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06CF4A49">
            <w:pPr>
              <w:adjustRightInd w:val="0"/>
              <w:snapToGrid w:val="0"/>
              <w:jc w:val="center"/>
              <w:rPr>
                <w:rFonts w:hint="default" w:ascii="Times New Roman" w:hAnsi="Times New Roman" w:cs="Times New Roman"/>
                <w:color w:val="auto"/>
                <w:kern w:val="0"/>
                <w:sz w:val="18"/>
                <w:szCs w:val="18"/>
              </w:rPr>
            </w:pPr>
          </w:p>
        </w:tc>
      </w:tr>
      <w:tr w14:paraId="52B048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34" w:type="dxa"/>
            <w:vMerge w:val="continue"/>
            <w:noWrap w:val="0"/>
            <w:vAlign w:val="center"/>
          </w:tcPr>
          <w:p w14:paraId="10C22AAA">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182" w:type="dxa"/>
            <w:vMerge w:val="continue"/>
            <w:noWrap w:val="0"/>
            <w:vAlign w:val="center"/>
          </w:tcPr>
          <w:p w14:paraId="127458D0">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250D6C27">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485" w:type="dxa"/>
            <w:vMerge w:val="continue"/>
            <w:noWrap w:val="0"/>
            <w:vAlign w:val="center"/>
          </w:tcPr>
          <w:p w14:paraId="55448061">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2BCEB148">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0E2AA52C">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ascii="Times New Roman" w:hAnsi="Times New Roman" w:eastAsia="宋体" w:cs="Times New Roman"/>
                <w:bCs/>
                <w:color w:val="auto"/>
                <w:kern w:val="0"/>
                <w:sz w:val="18"/>
                <w:szCs w:val="18"/>
                <w:lang w:val="en-US" w:eastAsia="zh-CN" w:bidi="ar-SA"/>
              </w:rPr>
              <w:t>1,3-丁二烯</w:t>
            </w:r>
          </w:p>
        </w:tc>
        <w:tc>
          <w:tcPr>
            <w:tcW w:w="1318" w:type="dxa"/>
            <w:noWrap w:val="0"/>
            <w:vAlign w:val="center"/>
          </w:tcPr>
          <w:p w14:paraId="183A8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7A6D28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6BF22F46">
            <w:pPr>
              <w:pStyle w:val="26"/>
              <w:jc w:val="center"/>
              <w:outlineLvl w:val="0"/>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1</w:t>
            </w:r>
          </w:p>
        </w:tc>
        <w:tc>
          <w:tcPr>
            <w:tcW w:w="953" w:type="dxa"/>
            <w:noWrap w:val="0"/>
            <w:vAlign w:val="center"/>
          </w:tcPr>
          <w:p w14:paraId="2EACA98C">
            <w:pPr>
              <w:jc w:val="center"/>
              <w:outlineLvl w:val="0"/>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2059DCA2">
            <w:pPr>
              <w:adjustRightInd w:val="0"/>
              <w:snapToGrid w:val="0"/>
              <w:jc w:val="center"/>
              <w:rPr>
                <w:rFonts w:hint="default" w:ascii="Times New Roman" w:hAnsi="Times New Roman" w:cs="Times New Roman"/>
                <w:color w:val="auto"/>
                <w:kern w:val="0"/>
                <w:sz w:val="18"/>
                <w:szCs w:val="18"/>
              </w:rPr>
            </w:pPr>
          </w:p>
        </w:tc>
      </w:tr>
      <w:tr w14:paraId="01EAEE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2" w:hRule="atLeast"/>
          <w:jc w:val="center"/>
        </w:trPr>
        <w:tc>
          <w:tcPr>
            <w:tcW w:w="534" w:type="dxa"/>
            <w:vMerge w:val="continue"/>
            <w:noWrap w:val="0"/>
            <w:vAlign w:val="center"/>
          </w:tcPr>
          <w:p w14:paraId="748A52AA">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182" w:type="dxa"/>
            <w:vMerge w:val="continue"/>
            <w:noWrap w:val="0"/>
            <w:vAlign w:val="center"/>
          </w:tcPr>
          <w:p w14:paraId="0C89747C">
            <w:pPr>
              <w:adjustRightInd w:val="0"/>
              <w:snapToGrid w:val="0"/>
              <w:spacing w:beforeLines="10" w:afterLines="10" w:line="259" w:lineRule="auto"/>
              <w:jc w:val="center"/>
              <w:textAlignment w:val="baseline"/>
              <w:rPr>
                <w:rFonts w:hint="default" w:ascii="Times New Roman" w:hAnsi="Times New Roman" w:cs="Times New Roman"/>
                <w:color w:val="auto"/>
                <w:kern w:val="0"/>
                <w:sz w:val="18"/>
                <w:szCs w:val="18"/>
              </w:rPr>
            </w:pPr>
          </w:p>
        </w:tc>
        <w:tc>
          <w:tcPr>
            <w:tcW w:w="1646" w:type="dxa"/>
            <w:vMerge w:val="continue"/>
            <w:noWrap w:val="0"/>
            <w:vAlign w:val="center"/>
          </w:tcPr>
          <w:p w14:paraId="151B9F3D">
            <w:pPr>
              <w:adjustRightInd w:val="0"/>
              <w:snapToGrid w:val="0"/>
              <w:spacing w:beforeLines="10" w:afterLines="10" w:line="259" w:lineRule="auto"/>
              <w:jc w:val="center"/>
              <w:rPr>
                <w:rFonts w:hint="default" w:ascii="Times New Roman" w:hAnsi="Times New Roman" w:cs="Times New Roman"/>
                <w:color w:val="auto"/>
                <w:kern w:val="0"/>
                <w:sz w:val="18"/>
                <w:szCs w:val="18"/>
              </w:rPr>
            </w:pPr>
          </w:p>
        </w:tc>
        <w:tc>
          <w:tcPr>
            <w:tcW w:w="1485" w:type="dxa"/>
            <w:vMerge w:val="continue"/>
            <w:noWrap w:val="0"/>
            <w:vAlign w:val="center"/>
          </w:tcPr>
          <w:p w14:paraId="1325B612">
            <w:pPr>
              <w:adjustRightInd w:val="0"/>
              <w:snapToGrid w:val="0"/>
              <w:jc w:val="center"/>
              <w:rPr>
                <w:rFonts w:hint="default" w:ascii="Times New Roman" w:hAnsi="Times New Roman" w:cs="Times New Roman"/>
                <w:color w:val="auto"/>
                <w:kern w:val="0"/>
                <w:sz w:val="18"/>
                <w:szCs w:val="18"/>
              </w:rPr>
            </w:pPr>
          </w:p>
        </w:tc>
        <w:tc>
          <w:tcPr>
            <w:tcW w:w="1310" w:type="dxa"/>
            <w:vMerge w:val="continue"/>
            <w:noWrap w:val="0"/>
            <w:vAlign w:val="center"/>
          </w:tcPr>
          <w:p w14:paraId="66C38345">
            <w:pPr>
              <w:adjustRightInd w:val="0"/>
              <w:snapToGrid w:val="0"/>
              <w:jc w:val="center"/>
              <w:rPr>
                <w:rFonts w:hint="default" w:ascii="Times New Roman" w:hAnsi="Times New Roman" w:cs="Times New Roman"/>
                <w:color w:val="auto"/>
                <w:kern w:val="0"/>
                <w:sz w:val="18"/>
                <w:szCs w:val="18"/>
              </w:rPr>
            </w:pPr>
          </w:p>
        </w:tc>
        <w:tc>
          <w:tcPr>
            <w:tcW w:w="1158" w:type="dxa"/>
            <w:noWrap w:val="0"/>
            <w:vAlign w:val="center"/>
          </w:tcPr>
          <w:p w14:paraId="1E77F146">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氨</w:t>
            </w:r>
          </w:p>
        </w:tc>
        <w:tc>
          <w:tcPr>
            <w:tcW w:w="1318" w:type="dxa"/>
            <w:noWrap w:val="0"/>
            <w:vAlign w:val="center"/>
          </w:tcPr>
          <w:p w14:paraId="595781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222" w:type="dxa"/>
            <w:noWrap w:val="0"/>
            <w:vAlign w:val="center"/>
          </w:tcPr>
          <w:p w14:paraId="123B6F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97" w:type="dxa"/>
            <w:noWrap w:val="0"/>
            <w:vAlign w:val="center"/>
          </w:tcPr>
          <w:p w14:paraId="3ECCFE7B">
            <w:pPr>
              <w:pStyle w:val="26"/>
              <w:jc w:val="center"/>
              <w:outlineLvl w:val="0"/>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20</w:t>
            </w:r>
          </w:p>
        </w:tc>
        <w:tc>
          <w:tcPr>
            <w:tcW w:w="953" w:type="dxa"/>
            <w:noWrap w:val="0"/>
            <w:vAlign w:val="center"/>
          </w:tcPr>
          <w:p w14:paraId="6F538B38">
            <w:pPr>
              <w:jc w:val="center"/>
              <w:outlineLvl w:val="0"/>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bidi="ar-SA"/>
              </w:rPr>
              <w:t>/</w:t>
            </w:r>
          </w:p>
        </w:tc>
        <w:tc>
          <w:tcPr>
            <w:tcW w:w="3333" w:type="dxa"/>
            <w:vMerge w:val="continue"/>
            <w:noWrap w:val="0"/>
            <w:vAlign w:val="center"/>
          </w:tcPr>
          <w:p w14:paraId="7E24F308">
            <w:pPr>
              <w:adjustRightInd w:val="0"/>
              <w:snapToGrid w:val="0"/>
              <w:jc w:val="center"/>
              <w:rPr>
                <w:rFonts w:hint="default" w:ascii="Times New Roman" w:hAnsi="Times New Roman" w:cs="Times New Roman"/>
                <w:color w:val="auto"/>
                <w:kern w:val="0"/>
                <w:sz w:val="18"/>
                <w:szCs w:val="18"/>
              </w:rPr>
            </w:pPr>
          </w:p>
        </w:tc>
      </w:tr>
    </w:tbl>
    <w:p w14:paraId="4384E69D">
      <w:pPr>
        <w:pStyle w:val="26"/>
        <w:outlineLvl w:val="0"/>
        <w:rPr>
          <w:rFonts w:hint="default" w:ascii="Times New Roman" w:hAnsi="Times New Roman" w:cs="Times New Roman"/>
          <w:snapToGrid w:val="0"/>
          <w:color w:val="auto"/>
          <w:sz w:val="30"/>
          <w:szCs w:val="30"/>
        </w:rPr>
      </w:pPr>
    </w:p>
    <w:p w14:paraId="4EC8D9E5">
      <w:pPr>
        <w:pStyle w:val="26"/>
        <w:outlineLvl w:val="0"/>
        <w:rPr>
          <w:rFonts w:hint="default" w:ascii="Times New Roman" w:hAnsi="Times New Roman"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1D803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8" w:hRule="atLeast"/>
          <w:jc w:val="center"/>
        </w:trPr>
        <w:tc>
          <w:tcPr>
            <w:tcW w:w="746" w:type="dxa"/>
            <w:noWrap w:val="0"/>
            <w:tcMar>
              <w:left w:w="28" w:type="dxa"/>
              <w:right w:w="28" w:type="dxa"/>
            </w:tcMar>
            <w:vAlign w:val="center"/>
          </w:tcPr>
          <w:p w14:paraId="1F52001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63F8614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B77D5A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1ED7ED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121E2A9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55D689D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noWrap w:val="0"/>
            <w:vAlign w:val="center"/>
          </w:tcPr>
          <w:p w14:paraId="749332A1">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w:t>
            </w:r>
            <w:r>
              <w:rPr>
                <w:rFonts w:hint="default" w:ascii="Times New Roman" w:hAnsi="Times New Roman" w:cs="Times New Roman"/>
                <w:b/>
                <w:bCs/>
                <w:color w:val="auto"/>
                <w:spacing w:val="-10"/>
                <w:szCs w:val="21"/>
                <w:lang w:val="en-US" w:eastAsia="zh-CN"/>
              </w:rPr>
              <w:t>二</w:t>
            </w:r>
            <w:r>
              <w:rPr>
                <w:rFonts w:hint="default" w:ascii="Times New Roman" w:hAnsi="Times New Roman" w:cs="Times New Roman"/>
                <w:b/>
                <w:bCs/>
                <w:color w:val="auto"/>
                <w:spacing w:val="-10"/>
                <w:szCs w:val="21"/>
              </w:rPr>
              <w:t>）</w:t>
            </w:r>
            <w:r>
              <w:rPr>
                <w:rFonts w:hint="default" w:ascii="Times New Roman" w:hAnsi="Times New Roman" w:cs="Times New Roman"/>
                <w:b/>
                <w:color w:val="auto"/>
              </w:rPr>
              <w:t>废气污染治理设施及</w:t>
            </w:r>
            <w:r>
              <w:rPr>
                <w:rFonts w:hint="default" w:ascii="Times New Roman" w:hAnsi="Times New Roman" w:cs="Times New Roman"/>
                <w:b/>
                <w:bCs/>
                <w:color w:val="auto"/>
                <w:spacing w:val="-10"/>
                <w:szCs w:val="21"/>
              </w:rPr>
              <w:t>达标排放可行性分析</w:t>
            </w:r>
          </w:p>
          <w:p w14:paraId="56AE6DF6">
            <w:pPr>
              <w:adjustRightInd w:val="0"/>
              <w:snapToGrid w:val="0"/>
              <w:spacing w:line="360" w:lineRule="auto"/>
              <w:ind w:firstLine="382" w:firstLineChars="200"/>
              <w:rPr>
                <w:rFonts w:hint="default" w:ascii="Times New Roman" w:hAnsi="Times New Roman" w:eastAsia="宋体" w:cs="Times New Roman"/>
                <w:b/>
                <w:bCs/>
                <w:color w:val="auto"/>
                <w:spacing w:val="-10"/>
                <w:szCs w:val="21"/>
                <w:lang w:eastAsia="zh-CN"/>
              </w:rPr>
            </w:pPr>
            <w:r>
              <w:rPr>
                <w:rFonts w:hint="default" w:ascii="Times New Roman" w:hAnsi="Times New Roman" w:cs="Times New Roman"/>
                <w:b/>
                <w:bCs/>
                <w:color w:val="auto"/>
                <w:spacing w:val="-10"/>
                <w:szCs w:val="21"/>
                <w:lang w:eastAsia="zh-CN"/>
              </w:rPr>
              <w:t>（</w:t>
            </w:r>
            <w:r>
              <w:rPr>
                <w:rFonts w:hint="default" w:ascii="Times New Roman" w:hAnsi="Times New Roman" w:cs="Times New Roman"/>
                <w:b/>
                <w:bCs/>
                <w:color w:val="auto"/>
                <w:spacing w:val="-10"/>
                <w:szCs w:val="21"/>
                <w:lang w:val="en-US" w:eastAsia="zh-CN"/>
              </w:rPr>
              <w:t>1</w:t>
            </w:r>
            <w:r>
              <w:rPr>
                <w:rFonts w:hint="default" w:ascii="Times New Roman" w:hAnsi="Times New Roman" w:cs="Times New Roman"/>
                <w:b/>
                <w:bCs/>
                <w:color w:val="auto"/>
                <w:spacing w:val="-10"/>
                <w:szCs w:val="21"/>
                <w:lang w:eastAsia="zh-CN"/>
              </w:rPr>
              <w:t>）</w:t>
            </w:r>
            <w:r>
              <w:rPr>
                <w:rFonts w:hint="default" w:ascii="Times New Roman" w:hAnsi="Times New Roman" w:cs="Times New Roman"/>
                <w:b/>
                <w:bCs/>
                <w:color w:val="auto"/>
                <w:spacing w:val="-10"/>
                <w:szCs w:val="21"/>
              </w:rPr>
              <w:t>正常工况下</w:t>
            </w:r>
            <w:r>
              <w:rPr>
                <w:rFonts w:hint="default" w:ascii="Times New Roman" w:hAnsi="Times New Roman" w:cs="Times New Roman"/>
                <w:b/>
                <w:bCs/>
                <w:color w:val="auto"/>
                <w:spacing w:val="-10"/>
                <w:szCs w:val="21"/>
                <w:lang w:eastAsia="zh-CN"/>
              </w:rPr>
              <w:t>：</w:t>
            </w:r>
          </w:p>
          <w:p w14:paraId="2BB4F841">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本项目拟在</w:t>
            </w:r>
            <w:r>
              <w:rPr>
                <w:rFonts w:hint="default" w:ascii="Times New Roman" w:hAnsi="Times New Roman" w:cs="Times New Roman"/>
                <w:color w:val="auto"/>
                <w:szCs w:val="21"/>
                <w:lang w:val="en-US" w:eastAsia="zh-CN"/>
              </w:rPr>
              <w:t>注塑机</w:t>
            </w:r>
            <w:r>
              <w:rPr>
                <w:rFonts w:hint="default" w:ascii="Times New Roman" w:hAnsi="Times New Roman" w:cs="Times New Roman"/>
                <w:color w:val="auto"/>
                <w:szCs w:val="21"/>
              </w:rPr>
              <w:t>上方设置集气罩收集</w:t>
            </w:r>
            <w:r>
              <w:rPr>
                <w:rFonts w:hint="default" w:ascii="Times New Roman" w:hAnsi="Times New Roman" w:cs="Times New Roman"/>
                <w:color w:val="auto"/>
                <w:szCs w:val="21"/>
                <w:lang w:val="en-US" w:eastAsia="zh-CN"/>
              </w:rPr>
              <w:t>注塑过程中产生的</w:t>
            </w:r>
            <w:r>
              <w:rPr>
                <w:rFonts w:hint="default" w:ascii="Times New Roman" w:hAnsi="Times New Roman" w:cs="Times New Roman"/>
                <w:color w:val="auto"/>
                <w:szCs w:val="21"/>
                <w:lang w:eastAsia="zh-CN"/>
              </w:rPr>
              <w:t>废气，</w:t>
            </w:r>
            <w:r>
              <w:rPr>
                <w:rFonts w:hint="default" w:ascii="Times New Roman" w:hAnsi="Times New Roman" w:cs="Times New Roman"/>
                <w:color w:val="auto"/>
                <w:szCs w:val="21"/>
                <w:lang w:val="en-US" w:eastAsia="zh-CN"/>
              </w:rPr>
              <w:t>废气收集后经过滤棉+两级活性炭处理最后经</w:t>
            </w:r>
            <w:r>
              <w:rPr>
                <w:rFonts w:hint="eastAsia" w:ascii="Times New Roman" w:hAnsi="Times New Roman" w:cs="Times New Roman"/>
                <w:color w:val="auto"/>
                <w:szCs w:val="21"/>
                <w:lang w:val="en-US" w:eastAsia="zh-CN"/>
              </w:rPr>
              <w:t>25m</w:t>
            </w:r>
            <w:r>
              <w:rPr>
                <w:rFonts w:hint="default" w:ascii="Times New Roman" w:hAnsi="Times New Roman" w:cs="Times New Roman"/>
                <w:color w:val="auto"/>
                <w:szCs w:val="21"/>
                <w:lang w:val="en-US" w:eastAsia="zh-CN"/>
              </w:rPr>
              <w:t>高排气筒引至楼顶排放</w:t>
            </w:r>
            <w:r>
              <w:rPr>
                <w:rFonts w:hint="default" w:ascii="Times New Roman" w:hAnsi="Times New Roman" w:cs="Times New Roman"/>
                <w:color w:val="auto"/>
                <w:szCs w:val="21"/>
                <w:lang w:eastAsia="zh-CN"/>
              </w:rPr>
              <w:t>，污染物主要为</w:t>
            </w:r>
            <w:r>
              <w:rPr>
                <w:rFonts w:hint="default" w:ascii="Times New Roman" w:hAnsi="Times New Roman" w:eastAsia="宋体" w:cs="Times New Roman"/>
                <w:color w:val="auto"/>
                <w:szCs w:val="21"/>
                <w:lang w:eastAsia="zh-CN"/>
              </w:rPr>
              <w:t>非甲烷总烃</w:t>
            </w:r>
            <w:r>
              <w:rPr>
                <w:rFonts w:hint="default" w:ascii="Times New Roman" w:hAnsi="Times New Roman" w:cs="Times New Roman"/>
                <w:color w:val="auto"/>
                <w:szCs w:val="21"/>
                <w:lang w:eastAsia="zh-CN"/>
              </w:rPr>
              <w:t>、</w:t>
            </w:r>
            <w:r>
              <w:rPr>
                <w:rFonts w:hint="eastAsia" w:cs="Times New Roman"/>
                <w:color w:val="auto"/>
                <w:szCs w:val="21"/>
                <w:lang w:val="en-US" w:eastAsia="zh-CN"/>
              </w:rPr>
              <w:t>颗粒物、</w:t>
            </w:r>
            <w:r>
              <w:rPr>
                <w:rFonts w:hint="default" w:ascii="Times New Roman" w:hAnsi="Times New Roman" w:cs="Times New Roman"/>
                <w:color w:val="auto"/>
                <w:szCs w:val="21"/>
                <w:lang w:eastAsia="zh-CN"/>
              </w:rPr>
              <w:t>苯乙烯、丙烯</w:t>
            </w:r>
            <w:r>
              <w:rPr>
                <w:rFonts w:hint="default" w:ascii="Times New Roman" w:hAnsi="Times New Roman" w:eastAsia="宋体" w:cs="Times New Roman"/>
                <w:color w:val="auto"/>
                <w:szCs w:val="21"/>
                <w:lang w:val="en-US" w:eastAsia="zh-CN"/>
              </w:rPr>
              <w:t>腈、1,3-丁二烯、甲苯、乙苯，</w:t>
            </w:r>
            <w:r>
              <w:rPr>
                <w:rFonts w:hint="default" w:ascii="Times New Roman" w:hAnsi="Times New Roman" w:cs="Times New Roman"/>
                <w:color w:val="auto"/>
                <w:szCs w:val="21"/>
              </w:rPr>
              <w:t>采取的措施为</w:t>
            </w:r>
            <w:r>
              <w:rPr>
                <w:rFonts w:hint="default" w:ascii="Times New Roman" w:hAnsi="Times New Roman" w:cs="Times New Roman"/>
                <w:color w:val="auto"/>
              </w:rPr>
              <w:t>《排污许可证申请与核发技术规范 橡胶和塑料制品工业》（HJ1122-2020）附录A表A.1中的可行技术。根据表4-</w:t>
            </w:r>
            <w:r>
              <w:rPr>
                <w:rFonts w:hint="default" w:ascii="Times New Roman" w:hAnsi="Times New Roman" w:cs="Times New Roman"/>
                <w:color w:val="auto"/>
                <w:lang w:val="en-US" w:eastAsia="zh-CN"/>
              </w:rPr>
              <w:t>7</w:t>
            </w:r>
            <w:r>
              <w:rPr>
                <w:rFonts w:hint="default" w:ascii="Times New Roman" w:hAnsi="Times New Roman" w:cs="Times New Roman"/>
                <w:color w:val="auto"/>
              </w:rPr>
              <w:t>可知，</w:t>
            </w:r>
            <w:r>
              <w:rPr>
                <w:rFonts w:hint="default" w:ascii="Times New Roman" w:hAnsi="Times New Roman" w:cs="Times New Roman"/>
                <w:color w:val="auto"/>
                <w:lang w:eastAsia="zh-CN"/>
              </w:rPr>
              <w:t>注塑</w:t>
            </w:r>
            <w:r>
              <w:rPr>
                <w:rFonts w:hint="default" w:ascii="Times New Roman" w:hAnsi="Times New Roman" w:cs="Times New Roman"/>
                <w:color w:val="auto"/>
              </w:rPr>
              <w:t>废气经处理后，</w:t>
            </w:r>
            <w:r>
              <w:rPr>
                <w:rFonts w:hint="default" w:ascii="Times New Roman" w:hAnsi="Times New Roman" w:eastAsia="宋体" w:cs="Times New Roman"/>
                <w:color w:val="auto"/>
                <w:szCs w:val="21"/>
                <w:lang w:eastAsia="zh-CN"/>
              </w:rPr>
              <w:t>各污染物</w:t>
            </w:r>
            <w:r>
              <w:rPr>
                <w:rFonts w:hint="default" w:ascii="Times New Roman" w:hAnsi="Times New Roman" w:cs="Times New Roman"/>
                <w:color w:val="auto"/>
                <w:szCs w:val="21"/>
              </w:rPr>
              <w:t>排放浓度、排放速</w:t>
            </w:r>
            <w:r>
              <w:rPr>
                <w:rFonts w:hint="default" w:ascii="Times New Roman" w:hAnsi="Times New Roman" w:eastAsia="宋体" w:cs="Times New Roman"/>
                <w:color w:val="auto"/>
                <w:szCs w:val="21"/>
              </w:rPr>
              <w:t>率均能满足</w:t>
            </w:r>
            <w:r>
              <w:rPr>
                <w:rFonts w:hint="eastAsia" w:cs="Times New Roman"/>
                <w:color w:val="auto"/>
                <w:szCs w:val="21"/>
                <w:lang w:val="en-US" w:eastAsia="zh-CN"/>
              </w:rPr>
              <w:t>《合成树脂工业污染物排放标准》（GB 31572-2015，含2024年修改单</w:t>
            </w:r>
            <w:r>
              <w:rPr>
                <w:rFonts w:hint="default" w:ascii="Times New Roman" w:hAnsi="Times New Roman" w:cs="Times New Roman"/>
                <w:color w:val="auto"/>
                <w:szCs w:val="21"/>
                <w:lang w:val="en-US" w:eastAsia="zh-CN"/>
              </w:rPr>
              <w:t>））</w:t>
            </w:r>
            <w:r>
              <w:rPr>
                <w:rFonts w:hint="default" w:ascii="Times New Roman" w:hAnsi="Times New Roman" w:eastAsia="宋体" w:cs="Times New Roman"/>
                <w:color w:val="auto"/>
                <w:szCs w:val="21"/>
              </w:rPr>
              <w:t>，即能够达标排放。</w:t>
            </w:r>
          </w:p>
          <w:p w14:paraId="30D0CB28">
            <w:pPr>
              <w:adjustRightInd w:val="0"/>
              <w:snapToGrid w:val="0"/>
              <w:spacing w:line="360" w:lineRule="auto"/>
              <w:ind w:firstLine="382" w:firstLineChars="200"/>
              <w:rPr>
                <w:rFonts w:hint="default" w:ascii="Times New Roman" w:hAnsi="Times New Roman" w:cs="Times New Roman"/>
                <w:b/>
                <w:color w:val="auto"/>
                <w:szCs w:val="21"/>
              </w:rPr>
            </w:pPr>
            <w:r>
              <w:rPr>
                <w:rFonts w:hint="default" w:ascii="Times New Roman" w:hAnsi="Times New Roman" w:eastAsia="宋体" w:cs="Times New Roman"/>
                <w:b/>
                <w:bCs w:val="0"/>
                <w:color w:val="auto"/>
                <w:spacing w:val="-10"/>
                <w:sz w:val="21"/>
                <w:szCs w:val="21"/>
                <w:lang w:val="en-US" w:eastAsia="zh-CN"/>
              </w:rPr>
              <w:t>活性炭要求：</w:t>
            </w:r>
            <w:r>
              <w:rPr>
                <w:rFonts w:hint="default" w:ascii="Times New Roman" w:hAnsi="Times New Roman" w:eastAsia="宋体" w:cs="Times New Roman"/>
                <w:bCs/>
                <w:color w:val="auto"/>
                <w:spacing w:val="-10"/>
                <w:sz w:val="21"/>
                <w:szCs w:val="21"/>
                <w:lang w:val="en-US" w:eastAsia="zh-CN"/>
              </w:rPr>
              <w:t>根据《2024年重庆市夏秋季“治气”攻坚工作方案》要求，</w:t>
            </w:r>
            <w:r>
              <w:rPr>
                <w:rFonts w:hint="default" w:ascii="Times New Roman" w:hAnsi="Times New Roman" w:cs="Times New Roman"/>
                <w:b w:val="0"/>
                <w:bCs/>
                <w:color w:val="auto"/>
                <w:szCs w:val="21"/>
              </w:rPr>
              <w:t>设置有效收集废气的集气罩，距集气罩开口面最远处的VOCs无组织排放位置，控制风速不低于0.3m/s。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w:t>
            </w:r>
            <w:r>
              <w:rPr>
                <w:rFonts w:hint="default"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采用蜂窝活性炭作为吸附剂时，其碘值不宜低于650mg/g。采用颗粒活性炭时，气体流速宜低于0.60m/s</w:t>
            </w:r>
            <w:r>
              <w:rPr>
                <w:rFonts w:hint="default" w:ascii="Times New Roman" w:hAnsi="Times New Roman" w:cs="Times New Roman"/>
                <w:b w:val="0"/>
                <w:bCs/>
                <w:color w:val="auto"/>
                <w:szCs w:val="21"/>
                <w:lang w:eastAsia="zh-CN"/>
              </w:rPr>
              <w:t>；</w:t>
            </w:r>
            <w:r>
              <w:rPr>
                <w:rFonts w:hint="default" w:ascii="Times New Roman" w:hAnsi="Times New Roman" w:cs="Times New Roman"/>
                <w:b w:val="0"/>
                <w:bCs/>
                <w:color w:val="auto"/>
                <w:szCs w:val="21"/>
              </w:rPr>
              <w:t>采用蜂窝活性炭时，气体流速宜低于1.20m/s。</w:t>
            </w:r>
          </w:p>
          <w:p w14:paraId="595EE395">
            <w:pPr>
              <w:adjustRightInd w:val="0"/>
              <w:snapToGrid w:val="0"/>
              <w:spacing w:line="360" w:lineRule="auto"/>
              <w:ind w:firstLine="420" w:firstLineChars="200"/>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t>本项目注塑废气过程中产生的有机废气经集气罩收集，</w:t>
            </w:r>
            <w:r>
              <w:rPr>
                <w:rFonts w:hint="default" w:ascii="Times New Roman" w:hAnsi="Times New Roman" w:cs="Times New Roman"/>
                <w:b w:val="0"/>
                <w:bCs/>
                <w:color w:val="auto"/>
                <w:szCs w:val="21"/>
              </w:rPr>
              <w:t>控制风速</w:t>
            </w:r>
            <w:r>
              <w:rPr>
                <w:rFonts w:hint="default" w:ascii="Times New Roman" w:hAnsi="Times New Roman" w:cs="Times New Roman"/>
                <w:b w:val="0"/>
                <w:bCs/>
                <w:color w:val="auto"/>
                <w:szCs w:val="21"/>
                <w:lang w:val="en-US" w:eastAsia="zh-CN"/>
              </w:rPr>
              <w:t>为</w:t>
            </w:r>
            <w:r>
              <w:rPr>
                <w:rFonts w:hint="default" w:ascii="Times New Roman" w:hAnsi="Times New Roman" w:cs="Times New Roman"/>
                <w:b w:val="0"/>
                <w:bCs/>
                <w:color w:val="auto"/>
                <w:szCs w:val="21"/>
              </w:rPr>
              <w:t>0.</w:t>
            </w:r>
            <w:r>
              <w:rPr>
                <w:rFonts w:hint="eastAsia" w:ascii="Times New Roman" w:hAnsi="Times New Roman" w:cs="Times New Roman"/>
                <w:b w:val="0"/>
                <w:bCs/>
                <w:color w:val="auto"/>
                <w:szCs w:val="21"/>
                <w:lang w:val="en-US" w:eastAsia="zh-CN"/>
              </w:rPr>
              <w:t>75</w:t>
            </w:r>
            <w:r>
              <w:rPr>
                <w:rFonts w:hint="default" w:ascii="Times New Roman" w:hAnsi="Times New Roman" w:cs="Times New Roman"/>
                <w:b w:val="0"/>
                <w:bCs/>
                <w:color w:val="auto"/>
                <w:szCs w:val="21"/>
              </w:rPr>
              <w:t>m/s</w:t>
            </w:r>
            <w:r>
              <w:rPr>
                <w:rFonts w:hint="default" w:ascii="Times New Roman" w:hAnsi="Times New Roman" w:cs="Times New Roman"/>
                <w:b w:val="0"/>
                <w:bCs/>
                <w:color w:val="auto"/>
                <w:szCs w:val="21"/>
                <w:lang w:eastAsia="zh-CN"/>
              </w:rPr>
              <w:t>，</w:t>
            </w:r>
            <w:r>
              <w:rPr>
                <w:rFonts w:hint="default" w:ascii="Times New Roman" w:hAnsi="Times New Roman" w:cs="Times New Roman"/>
                <w:b w:val="0"/>
                <w:bCs/>
                <w:color w:val="auto"/>
                <w:szCs w:val="21"/>
                <w:lang w:val="en-US" w:eastAsia="zh-CN"/>
              </w:rPr>
              <w:t>高于0.3</w:t>
            </w:r>
            <w:r>
              <w:rPr>
                <w:rFonts w:hint="default" w:ascii="Times New Roman" w:hAnsi="Times New Roman" w:cs="Times New Roman"/>
                <w:b w:val="0"/>
                <w:bCs/>
                <w:color w:val="auto"/>
                <w:szCs w:val="21"/>
              </w:rPr>
              <w:t>m/s</w:t>
            </w:r>
            <w:r>
              <w:rPr>
                <w:rFonts w:hint="default" w:ascii="Times New Roman" w:hAnsi="Times New Roman" w:cs="Times New Roman"/>
                <w:b w:val="0"/>
                <w:bCs/>
                <w:color w:val="auto"/>
                <w:szCs w:val="21"/>
                <w:lang w:eastAsia="zh-CN"/>
              </w:rPr>
              <w:t>，</w:t>
            </w:r>
            <w:r>
              <w:rPr>
                <w:rFonts w:hint="default" w:ascii="Times New Roman" w:hAnsi="Times New Roman" w:cs="Times New Roman"/>
                <w:b w:val="0"/>
                <w:bCs/>
                <w:color w:val="auto"/>
                <w:szCs w:val="21"/>
                <w:lang w:val="en-US" w:eastAsia="zh-CN"/>
              </w:rPr>
              <w:t>本项目活性炭装置内部吸附材料使用碘值不低于650毫克/克的蜂窝状活性炭，废气经过活性炭箱的流速均低于1.2m/s，本评价要求企业需对该废气治理装置做好环保管理，装置内的活性炭需要每季度定期更换保证处理效率并做好记录。</w:t>
            </w:r>
          </w:p>
          <w:p w14:paraId="19073651">
            <w:pPr>
              <w:adjustRightInd w:val="0"/>
              <w:snapToGrid w:val="0"/>
              <w:spacing w:line="360" w:lineRule="auto"/>
              <w:ind w:firstLine="422" w:firstLineChars="200"/>
              <w:rPr>
                <w:rFonts w:hint="default" w:ascii="Times New Roman" w:hAnsi="Times New Roman" w:cs="Times New Roman"/>
                <w:b w:val="0"/>
                <w:bCs/>
                <w:color w:val="auto"/>
                <w:szCs w:val="21"/>
                <w:lang w:val="en-US" w:eastAsia="zh-CN"/>
              </w:rPr>
            </w:pPr>
            <w:r>
              <w:rPr>
                <w:rFonts w:hint="default" w:ascii="Times New Roman" w:hAnsi="Times New Roman" w:cs="Times New Roman"/>
                <w:b/>
                <w:bCs w:val="0"/>
                <w:color w:val="auto"/>
                <w:szCs w:val="21"/>
                <w:lang w:eastAsia="zh-CN"/>
              </w:rPr>
              <w:t>破碎粉尘</w:t>
            </w:r>
            <w:r>
              <w:rPr>
                <w:rFonts w:hint="eastAsia" w:ascii="Times New Roman" w:hAnsi="Times New Roman" w:cs="Times New Roman"/>
                <w:b/>
                <w:bCs w:val="0"/>
                <w:color w:val="auto"/>
                <w:szCs w:val="21"/>
                <w:lang w:eastAsia="zh-CN"/>
              </w:rPr>
              <w:t>：</w:t>
            </w:r>
            <w:r>
              <w:rPr>
                <w:rFonts w:hint="default" w:ascii="Times New Roman" w:hAnsi="Times New Roman" w:eastAsia="宋体" w:cs="Times New Roman"/>
                <w:color w:val="auto"/>
                <w:kern w:val="2"/>
                <w:sz w:val="21"/>
                <w:szCs w:val="21"/>
                <w:lang w:val="en-US" w:eastAsia="zh-CN" w:bidi="ar-SA"/>
              </w:rPr>
              <w:t>本项目</w:t>
            </w:r>
            <w:r>
              <w:rPr>
                <w:rFonts w:hint="default" w:ascii="Times New Roman" w:hAnsi="Times New Roman" w:cs="Times New Roman"/>
                <w:b w:val="0"/>
                <w:bCs/>
                <w:color w:val="auto"/>
                <w:szCs w:val="21"/>
                <w:lang w:val="en-US" w:eastAsia="zh-CN"/>
              </w:rPr>
              <w:t>破碎后的塑料颗粒粒径约2～5mm，拟在破碎机进料口采用软帘遮挡，出料口采用收集袋直接收集，破碎粉尘产生量较少，最后通过加强室内通风，在车间内无组织排放，对环境影响较小。</w:t>
            </w:r>
          </w:p>
          <w:p w14:paraId="2AC1DE82">
            <w:pPr>
              <w:adjustRightInd w:val="0"/>
              <w:snapToGrid w:val="0"/>
              <w:spacing w:line="360" w:lineRule="auto"/>
              <w:ind w:firstLine="422" w:firstLineChars="200"/>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rPr>
              <w:t>非正常工况下</w:t>
            </w:r>
            <w:r>
              <w:rPr>
                <w:rFonts w:hint="default" w:ascii="Times New Roman" w:hAnsi="Times New Roman" w:cs="Times New Roman"/>
                <w:b/>
                <w:color w:val="auto"/>
                <w:sz w:val="21"/>
                <w:szCs w:val="21"/>
                <w:lang w:eastAsia="zh-CN"/>
              </w:rPr>
              <w:t>：</w:t>
            </w:r>
          </w:p>
          <w:p w14:paraId="0B66C76C">
            <w:pPr>
              <w:adjustRightInd w:val="0"/>
              <w:snapToGrid w:val="0"/>
              <w:spacing w:line="360" w:lineRule="auto"/>
              <w:ind w:firstLine="420" w:firstLineChars="200"/>
              <w:rPr>
                <w:rFonts w:hint="default" w:ascii="Times New Roman" w:hAnsi="Times New Roman" w:cs="Times New Roman"/>
                <w:b/>
                <w:snapToGrid w:val="0"/>
                <w:color w:val="auto"/>
                <w:sz w:val="21"/>
                <w:szCs w:val="21"/>
              </w:rPr>
            </w:pPr>
            <w:r>
              <w:rPr>
                <w:rFonts w:hint="default" w:ascii="Times New Roman" w:hAnsi="Times New Roman" w:cs="Times New Roman"/>
                <w:color w:val="auto"/>
                <w:sz w:val="21"/>
                <w:szCs w:val="21"/>
              </w:rPr>
              <w:t>根据本项目污染特点及本项目工程分析，本项目非正常工况分析污染源主要为“</w:t>
            </w:r>
            <w:r>
              <w:rPr>
                <w:rFonts w:hint="default" w:ascii="Times New Roman" w:hAnsi="Times New Roman" w:cs="Times New Roman"/>
                <w:color w:val="auto"/>
                <w:sz w:val="21"/>
                <w:szCs w:val="21"/>
                <w:lang w:eastAsia="zh-CN"/>
              </w:rPr>
              <w:t>过滤棉+两级活性炭</w:t>
            </w:r>
            <w:r>
              <w:rPr>
                <w:rFonts w:hint="default" w:ascii="Times New Roman" w:hAnsi="Times New Roman" w:cs="Times New Roman"/>
                <w:color w:val="auto"/>
                <w:sz w:val="21"/>
                <w:szCs w:val="21"/>
              </w:rPr>
              <w:t>吸附”措施发生故障，处理效率降为</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的情况。本项目非正常工况分析污染源主要为：</w:t>
            </w:r>
          </w:p>
          <w:p w14:paraId="34DEF864">
            <w:pPr>
              <w:pStyle w:val="26"/>
              <w:adjustRightInd w:val="0"/>
              <w:snapToGrid w:val="0"/>
              <w:spacing w:before="0" w:beforeAutospacing="0" w:after="0" w:afterAutospacing="0" w:line="400" w:lineRule="exact"/>
              <w:jc w:val="center"/>
              <w:outlineLvl w:val="0"/>
              <w:rPr>
                <w:rFonts w:hint="default" w:ascii="Times New Roman" w:hAnsi="Times New Roman" w:cs="Times New Roman"/>
                <w:b/>
                <w:snapToGrid w:val="0"/>
                <w:color w:val="auto"/>
                <w:sz w:val="21"/>
                <w:szCs w:val="21"/>
              </w:rPr>
            </w:pPr>
            <w:r>
              <w:rPr>
                <w:rFonts w:hint="default" w:ascii="Times New Roman" w:hAnsi="Times New Roman" w:cs="Times New Roman"/>
                <w:b/>
                <w:snapToGrid w:val="0"/>
                <w:color w:val="auto"/>
                <w:sz w:val="21"/>
                <w:szCs w:val="21"/>
              </w:rPr>
              <w:t>表4-</w:t>
            </w:r>
            <w:r>
              <w:rPr>
                <w:rFonts w:hint="eastAsia" w:ascii="Times New Roman" w:hAnsi="Times New Roman" w:cs="Times New Roman"/>
                <w:b/>
                <w:snapToGrid w:val="0"/>
                <w:color w:val="auto"/>
                <w:sz w:val="21"/>
                <w:szCs w:val="21"/>
                <w:lang w:val="en-US" w:eastAsia="zh-CN"/>
              </w:rPr>
              <w:t>4</w:t>
            </w:r>
            <w:r>
              <w:rPr>
                <w:rFonts w:hint="default" w:ascii="Times New Roman" w:hAnsi="Times New Roman" w:cs="Times New Roman"/>
                <w:b/>
                <w:snapToGrid w:val="0"/>
                <w:color w:val="auto"/>
                <w:sz w:val="21"/>
                <w:szCs w:val="21"/>
              </w:rPr>
              <w:t xml:space="preserve">  项目营运期非正常工况污染物排放情况一览表</w:t>
            </w:r>
          </w:p>
          <w:tbl>
            <w:tblPr>
              <w:tblStyle w:val="30"/>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968"/>
              <w:gridCol w:w="859"/>
              <w:gridCol w:w="777"/>
              <w:gridCol w:w="1096"/>
              <w:gridCol w:w="812"/>
              <w:gridCol w:w="778"/>
              <w:gridCol w:w="1451"/>
            </w:tblGrid>
            <w:tr w14:paraId="52298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tcBorders>
                    <w:tl2br w:val="nil"/>
                    <w:tr2bl w:val="nil"/>
                  </w:tcBorders>
                  <w:noWrap w:val="0"/>
                  <w:vAlign w:val="center"/>
                </w:tcPr>
                <w:p w14:paraId="6182CBB4">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污染源</w:t>
                  </w:r>
                </w:p>
              </w:tc>
              <w:tc>
                <w:tcPr>
                  <w:tcW w:w="612" w:type="pct"/>
                  <w:vMerge w:val="restart"/>
                  <w:tcBorders>
                    <w:tl2br w:val="nil"/>
                    <w:tr2bl w:val="nil"/>
                  </w:tcBorders>
                  <w:noWrap w:val="0"/>
                  <w:vAlign w:val="center"/>
                </w:tcPr>
                <w:p w14:paraId="05369CCE">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非正常排放原因</w:t>
                  </w:r>
                </w:p>
              </w:tc>
              <w:tc>
                <w:tcPr>
                  <w:tcW w:w="543" w:type="pct"/>
                  <w:vMerge w:val="restart"/>
                  <w:tcBorders>
                    <w:tl2br w:val="nil"/>
                    <w:tr2bl w:val="nil"/>
                  </w:tcBorders>
                  <w:noWrap w:val="0"/>
                  <w:vAlign w:val="center"/>
                </w:tcPr>
                <w:p w14:paraId="2DADB336">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污染物</w:t>
                  </w:r>
                </w:p>
              </w:tc>
              <w:tc>
                <w:tcPr>
                  <w:tcW w:w="1184" w:type="pct"/>
                  <w:gridSpan w:val="2"/>
                  <w:tcBorders>
                    <w:tl2br w:val="nil"/>
                    <w:tr2bl w:val="nil"/>
                  </w:tcBorders>
                  <w:noWrap w:val="0"/>
                  <w:vAlign w:val="center"/>
                </w:tcPr>
                <w:p w14:paraId="0D6A1E98">
                  <w:pPr>
                    <w:pStyle w:val="26"/>
                    <w:adjustRightInd w:val="0"/>
                    <w:snapToGrid w:val="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非正常排放</w:t>
                  </w:r>
                </w:p>
              </w:tc>
              <w:tc>
                <w:tcPr>
                  <w:tcW w:w="513" w:type="pct"/>
                  <w:vMerge w:val="restart"/>
                  <w:tcBorders>
                    <w:tl2br w:val="nil"/>
                    <w:tr2bl w:val="nil"/>
                  </w:tcBorders>
                  <w:noWrap w:val="0"/>
                  <w:vAlign w:val="center"/>
                </w:tcPr>
                <w:p w14:paraId="2DD16CEC">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单次持续时间h</w:t>
                  </w:r>
                </w:p>
              </w:tc>
              <w:tc>
                <w:tcPr>
                  <w:tcW w:w="492" w:type="pct"/>
                  <w:vMerge w:val="restart"/>
                  <w:tcBorders>
                    <w:tl2br w:val="nil"/>
                    <w:tr2bl w:val="nil"/>
                  </w:tcBorders>
                  <w:noWrap w:val="0"/>
                  <w:vAlign w:val="center"/>
                </w:tcPr>
                <w:p w14:paraId="0321BAA0">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发生频次（次）</w:t>
                  </w:r>
                </w:p>
              </w:tc>
              <w:tc>
                <w:tcPr>
                  <w:tcW w:w="917" w:type="pct"/>
                  <w:vMerge w:val="restart"/>
                  <w:tcBorders>
                    <w:tl2br w:val="nil"/>
                    <w:tr2bl w:val="nil"/>
                  </w:tcBorders>
                  <w:noWrap w:val="0"/>
                  <w:vAlign w:val="center"/>
                </w:tcPr>
                <w:p w14:paraId="37212B9D">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应对措施</w:t>
                  </w:r>
                </w:p>
              </w:tc>
            </w:tr>
            <w:tr w14:paraId="59796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tcBorders>
                    <w:tl2br w:val="nil"/>
                    <w:tr2bl w:val="nil"/>
                  </w:tcBorders>
                  <w:noWrap w:val="0"/>
                  <w:vAlign w:val="center"/>
                </w:tcPr>
                <w:p w14:paraId="6A73A88F">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612" w:type="pct"/>
                  <w:vMerge w:val="continue"/>
                  <w:tcBorders>
                    <w:tl2br w:val="nil"/>
                    <w:tr2bl w:val="nil"/>
                  </w:tcBorders>
                  <w:noWrap w:val="0"/>
                  <w:vAlign w:val="center"/>
                </w:tcPr>
                <w:p w14:paraId="788846E4">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543" w:type="pct"/>
                  <w:vMerge w:val="continue"/>
                  <w:tcBorders>
                    <w:tl2br w:val="nil"/>
                    <w:tr2bl w:val="nil"/>
                  </w:tcBorders>
                  <w:noWrap w:val="0"/>
                  <w:vAlign w:val="center"/>
                </w:tcPr>
                <w:p w14:paraId="6AA5EDD4">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1" w:type="pct"/>
                  <w:tcBorders>
                    <w:tl2br w:val="nil"/>
                    <w:tr2bl w:val="nil"/>
                  </w:tcBorders>
                  <w:noWrap w:val="0"/>
                  <w:vAlign w:val="center"/>
                </w:tcPr>
                <w:p w14:paraId="32979BD4">
                  <w:pPr>
                    <w:pStyle w:val="26"/>
                    <w:adjustRightInd w:val="0"/>
                    <w:snapToGrid w:val="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浓度mg/m</w:t>
                  </w:r>
                  <w:r>
                    <w:rPr>
                      <w:rFonts w:hint="default" w:ascii="Times New Roman" w:hAnsi="Times New Roman" w:eastAsia="宋体" w:cs="Times New Roman"/>
                      <w:bCs/>
                      <w:snapToGrid w:val="0"/>
                      <w:color w:val="auto"/>
                      <w:sz w:val="18"/>
                      <w:szCs w:val="18"/>
                      <w:vertAlign w:val="superscript"/>
                    </w:rPr>
                    <w:t>3</w:t>
                  </w:r>
                </w:p>
              </w:tc>
              <w:tc>
                <w:tcPr>
                  <w:tcW w:w="693" w:type="pct"/>
                  <w:tcBorders>
                    <w:tl2br w:val="nil"/>
                    <w:tr2bl w:val="nil"/>
                  </w:tcBorders>
                  <w:noWrap w:val="0"/>
                  <w:vAlign w:val="center"/>
                </w:tcPr>
                <w:p w14:paraId="07061A03">
                  <w:pPr>
                    <w:pStyle w:val="26"/>
                    <w:adjustRightInd w:val="0"/>
                    <w:snapToGrid w:val="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速率kg/h</w:t>
                  </w:r>
                </w:p>
              </w:tc>
              <w:tc>
                <w:tcPr>
                  <w:tcW w:w="513" w:type="pct"/>
                  <w:vMerge w:val="continue"/>
                  <w:tcBorders>
                    <w:tl2br w:val="nil"/>
                    <w:tr2bl w:val="nil"/>
                  </w:tcBorders>
                  <w:noWrap w:val="0"/>
                  <w:vAlign w:val="center"/>
                </w:tcPr>
                <w:p w14:paraId="240343AD">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1FE1CE7E">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632FB908">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7F42F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restart"/>
                  <w:tcBorders>
                    <w:tl2br w:val="nil"/>
                    <w:tr2bl w:val="nil"/>
                  </w:tcBorders>
                  <w:noWrap w:val="0"/>
                  <w:vAlign w:val="center"/>
                </w:tcPr>
                <w:p w14:paraId="6AECBD24">
                  <w:pPr>
                    <w:adjustRightInd w:val="0"/>
                    <w:snapToGrid w:val="0"/>
                    <w:spacing w:beforeLines="10" w:afterLines="10" w:line="259" w:lineRule="auto"/>
                    <w:jc w:val="center"/>
                    <w:rPr>
                      <w:rFonts w:hint="default" w:ascii="Times New Roman" w:hAnsi="Times New Roman" w:eastAsia="宋体" w:cs="Times New Roman"/>
                      <w:bCs/>
                      <w:snapToGrid w:val="0"/>
                      <w:color w:val="auto"/>
                      <w:sz w:val="18"/>
                      <w:szCs w:val="18"/>
                    </w:rPr>
                  </w:pPr>
                  <w:r>
                    <w:rPr>
                      <w:rFonts w:hint="default" w:ascii="Times New Roman" w:hAnsi="Times New Roman" w:cs="Times New Roman"/>
                      <w:color w:val="auto"/>
                      <w:kern w:val="0"/>
                      <w:sz w:val="18"/>
                      <w:szCs w:val="18"/>
                      <w:lang w:val="en-US" w:eastAsia="zh-CN"/>
                    </w:rPr>
                    <w:t>注塑废气排放口</w:t>
                  </w:r>
                </w:p>
              </w:tc>
              <w:tc>
                <w:tcPr>
                  <w:tcW w:w="612" w:type="pct"/>
                  <w:vMerge w:val="restart"/>
                  <w:tcBorders>
                    <w:tl2br w:val="nil"/>
                    <w:tr2bl w:val="nil"/>
                  </w:tcBorders>
                  <w:noWrap w:val="0"/>
                  <w:vAlign w:val="center"/>
                </w:tcPr>
                <w:p w14:paraId="338D95FB">
                  <w:pPr>
                    <w:pStyle w:val="26"/>
                    <w:adjustRightInd w:val="0"/>
                    <w:snapToGrid w:val="0"/>
                    <w:spacing w:before="0" w:beforeAutospacing="0" w:after="0" w:afterAutospacing="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过滤棉+两级活性炭</w:t>
                  </w:r>
                  <w:r>
                    <w:rPr>
                      <w:rFonts w:hint="default" w:ascii="Times New Roman" w:hAnsi="Times New Roman" w:eastAsia="宋体" w:cs="Times New Roman"/>
                      <w:color w:val="auto"/>
                      <w:sz w:val="18"/>
                      <w:szCs w:val="18"/>
                    </w:rPr>
                    <w:t>吸附装置故障</w:t>
                  </w:r>
                </w:p>
                <w:p w14:paraId="3E14703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两级活性炭</w:t>
                  </w:r>
                  <w:r>
                    <w:rPr>
                      <w:rFonts w:hint="default" w:ascii="Times New Roman" w:hAnsi="Times New Roman" w:eastAsia="宋体" w:cs="Times New Roman"/>
                      <w:color w:val="auto"/>
                      <w:sz w:val="18"/>
                      <w:szCs w:val="18"/>
                    </w:rPr>
                    <w:t>故障</w:t>
                  </w:r>
                </w:p>
              </w:tc>
              <w:tc>
                <w:tcPr>
                  <w:tcW w:w="543" w:type="pct"/>
                  <w:tcBorders>
                    <w:tl2br w:val="nil"/>
                    <w:tr2bl w:val="nil"/>
                  </w:tcBorders>
                  <w:noWrap w:val="0"/>
                  <w:vAlign w:val="center"/>
                </w:tcPr>
                <w:p w14:paraId="2B1324C0">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非甲烷</w:t>
                  </w:r>
                  <w:r>
                    <w:rPr>
                      <w:rFonts w:ascii="Times New Roman" w:hAnsi="Times New Roman" w:eastAsia="宋体" w:cs="Times New Roman"/>
                      <w:bCs/>
                      <w:color w:val="auto"/>
                      <w:kern w:val="0"/>
                      <w:sz w:val="18"/>
                      <w:szCs w:val="18"/>
                      <w:lang w:val="en-US" w:eastAsia="zh-CN" w:bidi="ar-SA"/>
                    </w:rPr>
                    <w:t>总烃</w:t>
                  </w:r>
                </w:p>
              </w:tc>
              <w:tc>
                <w:tcPr>
                  <w:tcW w:w="777" w:type="dxa"/>
                  <w:tcBorders>
                    <w:tl2br w:val="nil"/>
                    <w:tr2bl w:val="nil"/>
                  </w:tcBorders>
                  <w:noWrap w:val="0"/>
                  <w:vAlign w:val="center"/>
                </w:tcPr>
                <w:p w14:paraId="5960AF4D">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lang w:val="en-US"/>
                    </w:rPr>
                  </w:pPr>
                  <w:r>
                    <w:rPr>
                      <w:rFonts w:hint="eastAsia" w:ascii="Times New Roman" w:hAnsi="Times New Roman" w:eastAsia="宋体" w:cs="Times New Roman"/>
                      <w:bCs/>
                      <w:snapToGrid w:val="0"/>
                      <w:color w:val="auto"/>
                      <w:sz w:val="18"/>
                      <w:szCs w:val="18"/>
                      <w:lang w:val="en-US" w:eastAsia="zh-CN"/>
                    </w:rPr>
                    <w:t xml:space="preserve">16.9 </w:t>
                  </w:r>
                </w:p>
              </w:tc>
              <w:tc>
                <w:tcPr>
                  <w:tcW w:w="1096" w:type="dxa"/>
                  <w:tcBorders>
                    <w:tl2br w:val="nil"/>
                    <w:tr2bl w:val="nil"/>
                  </w:tcBorders>
                  <w:noWrap w:val="0"/>
                  <w:vAlign w:val="center"/>
                </w:tcPr>
                <w:p w14:paraId="3652B330">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lang w:val="en-US"/>
                    </w:rPr>
                  </w:pPr>
                  <w:r>
                    <w:rPr>
                      <w:rFonts w:hint="eastAsia" w:ascii="Times New Roman" w:hAnsi="Times New Roman" w:eastAsia="宋体" w:cs="Times New Roman"/>
                      <w:bCs/>
                      <w:snapToGrid w:val="0"/>
                      <w:color w:val="auto"/>
                      <w:sz w:val="18"/>
                      <w:szCs w:val="18"/>
                      <w:lang w:val="en-US" w:eastAsia="zh-CN"/>
                    </w:rPr>
                    <w:t>0.27</w:t>
                  </w:r>
                </w:p>
              </w:tc>
              <w:tc>
                <w:tcPr>
                  <w:tcW w:w="513" w:type="pct"/>
                  <w:vMerge w:val="restart"/>
                  <w:tcBorders>
                    <w:tl2br w:val="nil"/>
                    <w:tr2bl w:val="nil"/>
                  </w:tcBorders>
                  <w:noWrap w:val="0"/>
                  <w:vAlign w:val="center"/>
                </w:tcPr>
                <w:p w14:paraId="27830D4A">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1</w:t>
                  </w:r>
                </w:p>
              </w:tc>
              <w:tc>
                <w:tcPr>
                  <w:tcW w:w="492" w:type="pct"/>
                  <w:vMerge w:val="restart"/>
                  <w:tcBorders>
                    <w:tl2br w:val="nil"/>
                    <w:tr2bl w:val="nil"/>
                  </w:tcBorders>
                  <w:noWrap w:val="0"/>
                  <w:vAlign w:val="center"/>
                </w:tcPr>
                <w:p w14:paraId="3A5E9532">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1</w:t>
                  </w:r>
                </w:p>
              </w:tc>
              <w:tc>
                <w:tcPr>
                  <w:tcW w:w="917" w:type="pct"/>
                  <w:vMerge w:val="restart"/>
                  <w:tcBorders>
                    <w:tl2br w:val="nil"/>
                    <w:tr2bl w:val="nil"/>
                  </w:tcBorders>
                  <w:noWrap w:val="0"/>
                  <w:vAlign w:val="center"/>
                </w:tcPr>
                <w:p w14:paraId="1E2BE024">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r>
                    <w:rPr>
                      <w:rFonts w:hint="default" w:ascii="Times New Roman" w:hAnsi="Times New Roman" w:eastAsia="宋体" w:cs="Times New Roman"/>
                      <w:bCs/>
                      <w:snapToGrid w:val="0"/>
                      <w:color w:val="auto"/>
                      <w:sz w:val="18"/>
                      <w:szCs w:val="18"/>
                    </w:rPr>
                    <w:t>停止生产，及时检修</w:t>
                  </w:r>
                </w:p>
              </w:tc>
            </w:tr>
            <w:tr w14:paraId="5EDF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tcBorders>
                    <w:tl2br w:val="nil"/>
                    <w:tr2bl w:val="nil"/>
                  </w:tcBorders>
                  <w:noWrap w:val="0"/>
                  <w:vAlign w:val="center"/>
                </w:tcPr>
                <w:p w14:paraId="3D1A81FB">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612" w:type="pct"/>
                  <w:vMerge w:val="continue"/>
                  <w:tcBorders>
                    <w:tl2br w:val="nil"/>
                    <w:tr2bl w:val="nil"/>
                  </w:tcBorders>
                  <w:noWrap w:val="0"/>
                  <w:vAlign w:val="center"/>
                </w:tcPr>
                <w:p w14:paraId="53AF59AE">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543" w:type="pct"/>
                  <w:tcBorders>
                    <w:tl2br w:val="nil"/>
                    <w:tr2bl w:val="nil"/>
                  </w:tcBorders>
                  <w:noWrap w:val="0"/>
                  <w:vAlign w:val="center"/>
                </w:tcPr>
                <w:p w14:paraId="01D7DFDE">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甲苯</w:t>
                  </w:r>
                </w:p>
              </w:tc>
              <w:tc>
                <w:tcPr>
                  <w:tcW w:w="491" w:type="pct"/>
                  <w:tcBorders>
                    <w:tl2br w:val="nil"/>
                    <w:tr2bl w:val="nil"/>
                  </w:tcBorders>
                  <w:noWrap w:val="0"/>
                  <w:vAlign w:val="center"/>
                </w:tcPr>
                <w:p w14:paraId="6BE967EF">
                  <w:pPr>
                    <w:keepNext w:val="0"/>
                    <w:keepLines w:val="0"/>
                    <w:widowControl/>
                    <w:suppressLineNumbers w:val="0"/>
                    <w:jc w:val="center"/>
                    <w:textAlignment w:val="center"/>
                    <w:rPr>
                      <w:rFonts w:hint="eastAsia" w:ascii="Times New Roman" w:hAnsi="Times New Roman" w:eastAsia="宋体" w:cs="Times New Roman"/>
                      <w:bCs/>
                      <w:snapToGrid w:val="0"/>
                      <w:color w:val="auto"/>
                      <w:sz w:val="18"/>
                      <w:szCs w:val="18"/>
                      <w:lang w:val="en-US" w:eastAsia="zh-CN"/>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78803265">
                  <w:pPr>
                    <w:keepNext w:val="0"/>
                    <w:keepLines w:val="0"/>
                    <w:widowControl/>
                    <w:suppressLineNumbers w:val="0"/>
                    <w:jc w:val="center"/>
                    <w:textAlignment w:val="center"/>
                    <w:rPr>
                      <w:rFonts w:hint="default" w:ascii="Times New Roman" w:hAnsi="Times New Roman" w:eastAsia="宋体" w:cs="Times New Roman"/>
                      <w:bCs/>
                      <w:snapToGrid w:val="0"/>
                      <w:color w:val="auto"/>
                      <w:sz w:val="18"/>
                      <w:szCs w:val="18"/>
                      <w:lang w:val="en-US"/>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738AFCC0">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5A021BEA">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4685B87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64A25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tcBorders>
                    <w:tl2br w:val="nil"/>
                    <w:tr2bl w:val="nil"/>
                  </w:tcBorders>
                  <w:noWrap w:val="0"/>
                  <w:vAlign w:val="center"/>
                </w:tcPr>
                <w:p w14:paraId="4BA155D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612" w:type="pct"/>
                  <w:vMerge w:val="continue"/>
                  <w:tcBorders>
                    <w:tl2br w:val="nil"/>
                    <w:tr2bl w:val="nil"/>
                  </w:tcBorders>
                  <w:noWrap w:val="0"/>
                  <w:vAlign w:val="center"/>
                </w:tcPr>
                <w:p w14:paraId="7875CECF">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543" w:type="pct"/>
                  <w:tcBorders>
                    <w:tl2br w:val="nil"/>
                    <w:tr2bl w:val="nil"/>
                  </w:tcBorders>
                  <w:noWrap w:val="0"/>
                  <w:vAlign w:val="center"/>
                </w:tcPr>
                <w:p w14:paraId="600C562B">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乙苯</w:t>
                  </w:r>
                </w:p>
              </w:tc>
              <w:tc>
                <w:tcPr>
                  <w:tcW w:w="491" w:type="pct"/>
                  <w:tcBorders>
                    <w:tl2br w:val="nil"/>
                    <w:tr2bl w:val="nil"/>
                  </w:tcBorders>
                  <w:noWrap w:val="0"/>
                  <w:vAlign w:val="center"/>
                </w:tcPr>
                <w:p w14:paraId="4ACB9340">
                  <w:pPr>
                    <w:jc w:val="center"/>
                    <w:rPr>
                      <w:rFonts w:hint="default" w:ascii="Times New Roman" w:hAnsi="Times New Roman" w:eastAsia="宋体" w:cs="Times New Roman"/>
                      <w:bCs/>
                      <w:snapToGrid w:val="0"/>
                      <w:color w:val="auto"/>
                      <w:sz w:val="18"/>
                      <w:szCs w:val="18"/>
                      <w:lang w:val="en-US" w:eastAsia="zh-CN"/>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2E7DDDAC">
                  <w:pPr>
                    <w:jc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0D7C2FE0">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00B7A24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5B790CE6">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29855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pct"/>
                  <w:vMerge w:val="continue"/>
                  <w:tcBorders>
                    <w:tl2br w:val="nil"/>
                    <w:tr2bl w:val="nil"/>
                  </w:tcBorders>
                  <w:noWrap w:val="0"/>
                  <w:vAlign w:val="center"/>
                </w:tcPr>
                <w:p w14:paraId="2CB1776E">
                  <w:pPr>
                    <w:adjustRightInd w:val="0"/>
                    <w:snapToGrid w:val="0"/>
                    <w:spacing w:beforeLines="10" w:afterLines="10" w:line="259" w:lineRule="auto"/>
                    <w:jc w:val="center"/>
                    <w:rPr>
                      <w:rFonts w:hint="default" w:ascii="Times New Roman" w:hAnsi="Times New Roman" w:eastAsia="宋体" w:cs="Times New Roman"/>
                      <w:bCs/>
                      <w:snapToGrid w:val="0"/>
                      <w:color w:val="auto"/>
                      <w:sz w:val="18"/>
                      <w:szCs w:val="18"/>
                    </w:rPr>
                  </w:pPr>
                </w:p>
              </w:tc>
              <w:tc>
                <w:tcPr>
                  <w:tcW w:w="612" w:type="pct"/>
                  <w:vMerge w:val="continue"/>
                  <w:tcBorders>
                    <w:tl2br w:val="nil"/>
                    <w:tr2bl w:val="nil"/>
                  </w:tcBorders>
                  <w:noWrap w:val="0"/>
                  <w:vAlign w:val="center"/>
                </w:tcPr>
                <w:p w14:paraId="4A7DB101">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543" w:type="pct"/>
                  <w:tcBorders>
                    <w:tl2br w:val="nil"/>
                    <w:tr2bl w:val="nil"/>
                  </w:tcBorders>
                  <w:noWrap w:val="0"/>
                  <w:vAlign w:val="center"/>
                </w:tcPr>
                <w:p w14:paraId="4DF34169">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苯乙烯</w:t>
                  </w:r>
                </w:p>
              </w:tc>
              <w:tc>
                <w:tcPr>
                  <w:tcW w:w="491" w:type="pct"/>
                  <w:tcBorders>
                    <w:tl2br w:val="nil"/>
                    <w:tr2bl w:val="nil"/>
                  </w:tcBorders>
                  <w:noWrap w:val="0"/>
                  <w:vAlign w:val="center"/>
                </w:tcPr>
                <w:p w14:paraId="018A3FA3">
                  <w:pPr>
                    <w:keepNext w:val="0"/>
                    <w:keepLines w:val="0"/>
                    <w:widowControl/>
                    <w:suppressLineNumbers w:val="0"/>
                    <w:jc w:val="center"/>
                    <w:textAlignment w:val="center"/>
                    <w:rPr>
                      <w:rFonts w:hint="default" w:ascii="Times New Roman" w:hAnsi="Times New Roman" w:eastAsia="宋体" w:cs="Times New Roman"/>
                      <w:bCs/>
                      <w:snapToGrid w:val="0"/>
                      <w:color w:val="auto"/>
                      <w:kern w:val="2"/>
                      <w:sz w:val="18"/>
                      <w:szCs w:val="18"/>
                      <w:lang w:val="en-US" w:eastAsia="zh-CN" w:bidi="ar-SA"/>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707530D2">
                  <w:pPr>
                    <w:keepNext w:val="0"/>
                    <w:keepLines w:val="0"/>
                    <w:widowControl/>
                    <w:suppressLineNumbers w:val="0"/>
                    <w:jc w:val="center"/>
                    <w:textAlignment w:val="center"/>
                    <w:rPr>
                      <w:rFonts w:hint="default" w:ascii="Times New Roman" w:hAnsi="Times New Roman" w:eastAsia="宋体" w:cs="Times New Roman"/>
                      <w:bCs/>
                      <w:snapToGrid w:val="0"/>
                      <w:color w:val="auto"/>
                      <w:kern w:val="2"/>
                      <w:sz w:val="18"/>
                      <w:szCs w:val="18"/>
                      <w:lang w:val="en-US" w:eastAsia="zh-CN" w:bidi="ar-SA"/>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24FB60D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24D54B05">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79E7C473">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74553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pct"/>
                  <w:vMerge w:val="continue"/>
                  <w:tcBorders>
                    <w:tl2br w:val="nil"/>
                    <w:tr2bl w:val="nil"/>
                  </w:tcBorders>
                  <w:noWrap w:val="0"/>
                  <w:vAlign w:val="center"/>
                </w:tcPr>
                <w:p w14:paraId="01295F4C">
                  <w:pPr>
                    <w:adjustRightInd w:val="0"/>
                    <w:snapToGrid w:val="0"/>
                    <w:spacing w:beforeLines="10" w:afterLines="10" w:line="259" w:lineRule="auto"/>
                    <w:jc w:val="center"/>
                    <w:rPr>
                      <w:rFonts w:hint="default" w:ascii="Times New Roman" w:hAnsi="Times New Roman" w:eastAsia="宋体" w:cs="Times New Roman"/>
                      <w:bCs/>
                      <w:snapToGrid w:val="0"/>
                      <w:color w:val="auto"/>
                      <w:sz w:val="18"/>
                      <w:szCs w:val="18"/>
                    </w:rPr>
                  </w:pPr>
                </w:p>
              </w:tc>
              <w:tc>
                <w:tcPr>
                  <w:tcW w:w="612" w:type="pct"/>
                  <w:vMerge w:val="continue"/>
                  <w:tcBorders>
                    <w:tl2br w:val="nil"/>
                    <w:tr2bl w:val="nil"/>
                  </w:tcBorders>
                  <w:noWrap w:val="0"/>
                  <w:vAlign w:val="center"/>
                </w:tcPr>
                <w:p w14:paraId="4CC9CC60">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543" w:type="pct"/>
                  <w:tcBorders>
                    <w:tl2br w:val="nil"/>
                    <w:tr2bl w:val="nil"/>
                  </w:tcBorders>
                  <w:noWrap w:val="0"/>
                  <w:vAlign w:val="center"/>
                </w:tcPr>
                <w:p w14:paraId="13B852AE">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丙烯腈</w:t>
                  </w:r>
                </w:p>
              </w:tc>
              <w:tc>
                <w:tcPr>
                  <w:tcW w:w="491" w:type="pct"/>
                  <w:tcBorders>
                    <w:tl2br w:val="nil"/>
                    <w:tr2bl w:val="nil"/>
                  </w:tcBorders>
                  <w:noWrap w:val="0"/>
                  <w:vAlign w:val="center"/>
                </w:tcPr>
                <w:p w14:paraId="2F936791">
                  <w:pPr>
                    <w:keepNext w:val="0"/>
                    <w:keepLines w:val="0"/>
                    <w:widowControl/>
                    <w:suppressLineNumbers w:val="0"/>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17046D12">
                  <w:pPr>
                    <w:keepNext w:val="0"/>
                    <w:keepLines w:val="0"/>
                    <w:widowControl/>
                    <w:suppressLineNumbers w:val="0"/>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6EF41712">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2E68919E">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6F1550D7">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05C4F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36" w:type="pct"/>
                  <w:vMerge w:val="continue"/>
                  <w:tcBorders>
                    <w:tl2br w:val="nil"/>
                    <w:tr2bl w:val="nil"/>
                  </w:tcBorders>
                  <w:noWrap w:val="0"/>
                  <w:vAlign w:val="center"/>
                </w:tcPr>
                <w:p w14:paraId="4D91A6A8">
                  <w:pPr>
                    <w:pStyle w:val="26"/>
                    <w:adjustRightInd w:val="0"/>
                    <w:snapToGrid w:val="0"/>
                    <w:spacing w:before="0" w:beforeAutospacing="0" w:after="0" w:afterAutospacing="0"/>
                    <w:jc w:val="center"/>
                    <w:rPr>
                      <w:rFonts w:hint="default" w:ascii="Times New Roman" w:hAnsi="Times New Roman" w:eastAsia="宋体" w:cs="Times New Roman"/>
                      <w:color w:val="auto"/>
                      <w:sz w:val="18"/>
                      <w:szCs w:val="18"/>
                    </w:rPr>
                  </w:pPr>
                </w:p>
              </w:tc>
              <w:tc>
                <w:tcPr>
                  <w:tcW w:w="612" w:type="pct"/>
                  <w:vMerge w:val="continue"/>
                  <w:tcBorders>
                    <w:tl2br w:val="nil"/>
                    <w:tr2bl w:val="nil"/>
                  </w:tcBorders>
                  <w:noWrap w:val="0"/>
                  <w:vAlign w:val="center"/>
                </w:tcPr>
                <w:p w14:paraId="7D150254">
                  <w:pPr>
                    <w:pStyle w:val="26"/>
                    <w:adjustRightInd w:val="0"/>
                    <w:snapToGrid w:val="0"/>
                    <w:spacing w:before="0" w:beforeAutospacing="0" w:after="0" w:afterAutospacing="0"/>
                    <w:jc w:val="center"/>
                    <w:rPr>
                      <w:rFonts w:hint="default" w:ascii="Times New Roman" w:hAnsi="Times New Roman" w:eastAsia="宋体" w:cs="Times New Roman"/>
                      <w:color w:val="auto"/>
                      <w:sz w:val="18"/>
                      <w:szCs w:val="18"/>
                    </w:rPr>
                  </w:pPr>
                </w:p>
              </w:tc>
              <w:tc>
                <w:tcPr>
                  <w:tcW w:w="543" w:type="pct"/>
                  <w:tcBorders>
                    <w:tl2br w:val="nil"/>
                    <w:tr2bl w:val="nil"/>
                  </w:tcBorders>
                  <w:noWrap w:val="0"/>
                  <w:vAlign w:val="center"/>
                </w:tcPr>
                <w:p w14:paraId="6734622E">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ascii="Times New Roman" w:hAnsi="Times New Roman" w:eastAsia="宋体" w:cs="Times New Roman"/>
                      <w:bCs/>
                      <w:color w:val="auto"/>
                      <w:kern w:val="0"/>
                      <w:sz w:val="18"/>
                      <w:szCs w:val="18"/>
                      <w:lang w:val="en-US" w:eastAsia="zh-CN" w:bidi="ar-SA"/>
                    </w:rPr>
                    <w:t>1,3-丁二烯</w:t>
                  </w:r>
                </w:p>
              </w:tc>
              <w:tc>
                <w:tcPr>
                  <w:tcW w:w="491" w:type="pct"/>
                  <w:tcBorders>
                    <w:tl2br w:val="nil"/>
                    <w:tr2bl w:val="nil"/>
                  </w:tcBorders>
                  <w:noWrap w:val="0"/>
                  <w:vAlign w:val="center"/>
                </w:tcPr>
                <w:p w14:paraId="67FC0FBC">
                  <w:pPr>
                    <w:widowControl/>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440C8FCE">
                  <w:pPr>
                    <w:widowControl/>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1AC7BDB2">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3D84E3C9">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5082E13C">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r w14:paraId="30AF9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pct"/>
                  <w:vMerge w:val="continue"/>
                  <w:tcBorders>
                    <w:tl2br w:val="nil"/>
                    <w:tr2bl w:val="nil"/>
                  </w:tcBorders>
                  <w:noWrap w:val="0"/>
                  <w:vAlign w:val="center"/>
                </w:tcPr>
                <w:p w14:paraId="64963229">
                  <w:pPr>
                    <w:pStyle w:val="26"/>
                    <w:adjustRightInd w:val="0"/>
                    <w:snapToGrid w:val="0"/>
                    <w:spacing w:before="0" w:beforeAutospacing="0" w:after="0" w:afterAutospacing="0"/>
                    <w:jc w:val="center"/>
                    <w:rPr>
                      <w:rFonts w:hint="default" w:ascii="Times New Roman" w:hAnsi="Times New Roman" w:eastAsia="宋体" w:cs="Times New Roman"/>
                      <w:color w:val="auto"/>
                      <w:sz w:val="18"/>
                      <w:szCs w:val="18"/>
                    </w:rPr>
                  </w:pPr>
                </w:p>
              </w:tc>
              <w:tc>
                <w:tcPr>
                  <w:tcW w:w="612" w:type="pct"/>
                  <w:vMerge w:val="continue"/>
                  <w:tcBorders>
                    <w:tl2br w:val="nil"/>
                    <w:tr2bl w:val="nil"/>
                  </w:tcBorders>
                  <w:noWrap w:val="0"/>
                  <w:vAlign w:val="center"/>
                </w:tcPr>
                <w:p w14:paraId="2B2E07B9">
                  <w:pPr>
                    <w:pStyle w:val="26"/>
                    <w:adjustRightInd w:val="0"/>
                    <w:snapToGrid w:val="0"/>
                    <w:spacing w:before="0" w:beforeAutospacing="0" w:after="0" w:afterAutospacing="0"/>
                    <w:jc w:val="center"/>
                    <w:rPr>
                      <w:rFonts w:hint="default" w:ascii="Times New Roman" w:hAnsi="Times New Roman" w:eastAsia="宋体" w:cs="Times New Roman"/>
                      <w:color w:val="auto"/>
                      <w:sz w:val="18"/>
                      <w:szCs w:val="18"/>
                    </w:rPr>
                  </w:pPr>
                </w:p>
              </w:tc>
              <w:tc>
                <w:tcPr>
                  <w:tcW w:w="543" w:type="pct"/>
                  <w:tcBorders>
                    <w:tl2br w:val="nil"/>
                    <w:tr2bl w:val="nil"/>
                  </w:tcBorders>
                  <w:noWrap w:val="0"/>
                  <w:vAlign w:val="center"/>
                </w:tcPr>
                <w:p w14:paraId="07559C4B">
                  <w:pPr>
                    <w:widowControl/>
                    <w:adjustRightInd w:val="0"/>
                    <w:snapToGrid w:val="0"/>
                    <w:spacing w:beforeLines="0" w:afterLines="0" w:line="240" w:lineRule="auto"/>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氨</w:t>
                  </w:r>
                </w:p>
              </w:tc>
              <w:tc>
                <w:tcPr>
                  <w:tcW w:w="491" w:type="pct"/>
                  <w:tcBorders>
                    <w:tl2br w:val="nil"/>
                    <w:tr2bl w:val="nil"/>
                  </w:tcBorders>
                  <w:noWrap w:val="0"/>
                  <w:vAlign w:val="center"/>
                </w:tcPr>
                <w:p w14:paraId="4FC2BF06">
                  <w:pPr>
                    <w:widowControl/>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693" w:type="pct"/>
                  <w:tcBorders>
                    <w:tl2br w:val="nil"/>
                    <w:tr2bl w:val="nil"/>
                  </w:tcBorders>
                  <w:noWrap w:val="0"/>
                  <w:vAlign w:val="center"/>
                </w:tcPr>
                <w:p w14:paraId="14B5E5F8">
                  <w:pPr>
                    <w:widowControl/>
                    <w:jc w:val="center"/>
                    <w:textAlignment w:val="center"/>
                    <w:rPr>
                      <w:rFonts w:hint="default" w:ascii="Times New Roman" w:hAnsi="Times New Roman" w:eastAsia="宋体" w:cs="Times New Roman"/>
                      <w:bCs/>
                      <w:snapToGrid w:val="0"/>
                      <w:color w:val="auto"/>
                      <w:sz w:val="18"/>
                      <w:szCs w:val="18"/>
                    </w:rPr>
                  </w:pPr>
                  <w:r>
                    <w:rPr>
                      <w:rFonts w:hint="eastAsia" w:ascii="Times New Roman" w:hAnsi="Times New Roman" w:cs="Times New Roman"/>
                      <w:bCs/>
                      <w:snapToGrid w:val="0"/>
                      <w:color w:val="auto"/>
                      <w:sz w:val="18"/>
                      <w:szCs w:val="18"/>
                      <w:lang w:val="en-US" w:eastAsia="zh-CN"/>
                    </w:rPr>
                    <w:t>/</w:t>
                  </w:r>
                </w:p>
              </w:tc>
              <w:tc>
                <w:tcPr>
                  <w:tcW w:w="513" w:type="pct"/>
                  <w:vMerge w:val="continue"/>
                  <w:tcBorders>
                    <w:tl2br w:val="nil"/>
                    <w:tr2bl w:val="nil"/>
                  </w:tcBorders>
                  <w:noWrap w:val="0"/>
                  <w:vAlign w:val="center"/>
                </w:tcPr>
                <w:p w14:paraId="02F4202C">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492" w:type="pct"/>
                  <w:vMerge w:val="continue"/>
                  <w:tcBorders>
                    <w:tl2br w:val="nil"/>
                    <w:tr2bl w:val="nil"/>
                  </w:tcBorders>
                  <w:noWrap w:val="0"/>
                  <w:vAlign w:val="center"/>
                </w:tcPr>
                <w:p w14:paraId="4064FFEB">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c>
                <w:tcPr>
                  <w:tcW w:w="917" w:type="pct"/>
                  <w:vMerge w:val="continue"/>
                  <w:tcBorders>
                    <w:tl2br w:val="nil"/>
                    <w:tr2bl w:val="nil"/>
                  </w:tcBorders>
                  <w:noWrap w:val="0"/>
                  <w:vAlign w:val="center"/>
                </w:tcPr>
                <w:p w14:paraId="19E7BA88">
                  <w:pPr>
                    <w:pStyle w:val="26"/>
                    <w:adjustRightInd w:val="0"/>
                    <w:snapToGrid w:val="0"/>
                    <w:spacing w:before="0" w:beforeAutospacing="0" w:after="0" w:afterAutospacing="0"/>
                    <w:jc w:val="center"/>
                    <w:rPr>
                      <w:rFonts w:hint="default" w:ascii="Times New Roman" w:hAnsi="Times New Roman" w:eastAsia="宋体" w:cs="Times New Roman"/>
                      <w:bCs/>
                      <w:snapToGrid w:val="0"/>
                      <w:color w:val="auto"/>
                      <w:sz w:val="18"/>
                      <w:szCs w:val="18"/>
                    </w:rPr>
                  </w:pPr>
                </w:p>
              </w:tc>
            </w:tr>
          </w:tbl>
          <w:p w14:paraId="35759526">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由上表可见，在非正常工况下，</w:t>
            </w:r>
            <w:r>
              <w:rPr>
                <w:rFonts w:hint="eastAsia" w:ascii="Times New Roman" w:hAnsi="Times New Roman" w:cs="Times New Roman"/>
                <w:color w:val="auto"/>
                <w:szCs w:val="21"/>
                <w:lang w:val="en-US" w:eastAsia="zh-CN"/>
              </w:rPr>
              <w:t>注塑废气排放口也不</w:t>
            </w:r>
            <w:r>
              <w:rPr>
                <w:rFonts w:hint="default" w:ascii="Times New Roman" w:hAnsi="Times New Roman" w:cs="Times New Roman"/>
                <w:color w:val="auto"/>
                <w:szCs w:val="21"/>
                <w:lang w:val="en-US" w:eastAsia="zh-CN"/>
              </w:rPr>
              <w:t>会</w:t>
            </w:r>
            <w:r>
              <w:rPr>
                <w:rFonts w:hint="default" w:ascii="Times New Roman" w:hAnsi="Times New Roman" w:cs="Times New Roman"/>
                <w:color w:val="auto"/>
                <w:szCs w:val="21"/>
              </w:rPr>
              <w:t>出现超标</w:t>
            </w:r>
            <w:r>
              <w:rPr>
                <w:rFonts w:hint="default" w:ascii="Times New Roman" w:hAnsi="Times New Roman" w:cs="Times New Roman"/>
                <w:color w:val="auto"/>
                <w:szCs w:val="21"/>
                <w:lang w:val="en-US" w:eastAsia="zh-CN"/>
              </w:rPr>
              <w:t>排放</w:t>
            </w:r>
            <w:r>
              <w:rPr>
                <w:rFonts w:hint="default" w:ascii="Times New Roman" w:hAnsi="Times New Roman" w:cs="Times New Roman"/>
                <w:color w:val="auto"/>
                <w:szCs w:val="21"/>
              </w:rPr>
              <w:t>的情况，</w:t>
            </w:r>
            <w:r>
              <w:rPr>
                <w:rFonts w:hint="eastAsia" w:ascii="Times New Roman" w:hAnsi="Times New Roman" w:cs="Times New Roman"/>
                <w:color w:val="auto"/>
                <w:szCs w:val="21"/>
                <w:lang w:eastAsia="zh-CN"/>
              </w:rPr>
              <w:t>但</w:t>
            </w:r>
            <w:r>
              <w:rPr>
                <w:rFonts w:hint="default" w:ascii="Times New Roman" w:hAnsi="Times New Roman" w:cs="Times New Roman"/>
                <w:color w:val="auto"/>
                <w:szCs w:val="21"/>
              </w:rPr>
              <w:t>措施发生故障会</w:t>
            </w:r>
            <w:r>
              <w:rPr>
                <w:rFonts w:hint="eastAsia" w:cs="Times New Roman"/>
                <w:color w:val="auto"/>
                <w:szCs w:val="21"/>
                <w:lang w:eastAsia="zh-CN"/>
              </w:rPr>
              <w:t>加重</w:t>
            </w:r>
            <w:r>
              <w:rPr>
                <w:rFonts w:hint="default" w:ascii="Times New Roman" w:hAnsi="Times New Roman" w:cs="Times New Roman"/>
                <w:color w:val="auto"/>
                <w:szCs w:val="21"/>
              </w:rPr>
              <w:t>对环境的污染。评价要求建设单位对环保设施进行定期的巡检，</w:t>
            </w:r>
            <w:r>
              <w:rPr>
                <w:rFonts w:hint="default" w:ascii="Times New Roman" w:hAnsi="Times New Roman" w:cs="Times New Roman"/>
                <w:color w:val="auto"/>
                <w:szCs w:val="21"/>
                <w:lang w:val="en-US" w:eastAsia="zh-CN"/>
              </w:rPr>
              <w:t>废气处理</w:t>
            </w:r>
            <w:r>
              <w:rPr>
                <w:rFonts w:hint="default" w:ascii="Times New Roman" w:hAnsi="Times New Roman" w:cs="Times New Roman"/>
                <w:color w:val="auto"/>
                <w:szCs w:val="21"/>
              </w:rPr>
              <w:t>装置出现异常情况</w:t>
            </w:r>
            <w:r>
              <w:rPr>
                <w:rFonts w:hint="default" w:ascii="Times New Roman" w:hAnsi="Times New Roman" w:cs="Times New Roman"/>
                <w:color w:val="auto"/>
                <w:szCs w:val="21"/>
                <w:lang w:val="en-US" w:eastAsia="zh-CN"/>
              </w:rPr>
              <w:t>需要</w:t>
            </w:r>
            <w:r>
              <w:rPr>
                <w:rFonts w:hint="default" w:ascii="Times New Roman" w:hAnsi="Times New Roman" w:cs="Times New Roman"/>
                <w:color w:val="auto"/>
                <w:szCs w:val="21"/>
              </w:rPr>
              <w:t>及时进行处理，确保环保设施的高效运行，杜绝非正常工况出现。</w:t>
            </w:r>
          </w:p>
          <w:p w14:paraId="7BC1743D">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（3）监测要求</w:t>
            </w:r>
          </w:p>
          <w:p w14:paraId="0455A69B">
            <w:pPr>
              <w:adjustRightInd w:val="0"/>
              <w:snapToGrid w:val="0"/>
              <w:spacing w:line="360" w:lineRule="auto"/>
              <w:ind w:firstLine="380" w:firstLineChars="200"/>
              <w:rPr>
                <w:rFonts w:hint="default" w:ascii="Times New Roman" w:hAnsi="Times New Roman" w:cs="Times New Roman"/>
                <w:color w:val="auto"/>
                <w:szCs w:val="21"/>
              </w:rPr>
            </w:pPr>
            <w:r>
              <w:rPr>
                <w:rFonts w:hint="default" w:ascii="Times New Roman" w:hAnsi="Times New Roman" w:cs="Times New Roman"/>
                <w:bCs/>
                <w:color w:val="auto"/>
                <w:spacing w:val="-10"/>
                <w:szCs w:val="21"/>
                <w:lang w:val="en-US" w:eastAsia="zh-CN"/>
              </w:rPr>
              <w:t>本项目</w:t>
            </w:r>
            <w:r>
              <w:rPr>
                <w:rFonts w:hint="eastAsia" w:cs="Times New Roman"/>
                <w:bCs/>
                <w:color w:val="auto"/>
                <w:spacing w:val="-10"/>
                <w:szCs w:val="21"/>
                <w:lang w:val="en-US" w:eastAsia="zh-CN"/>
              </w:rPr>
              <w:t>行业类别为C3670汽车零部件及配件制造、C2929塑料零件及其他塑料制品制造</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lang w:val="en-US" w:eastAsia="zh-CN"/>
              </w:rPr>
              <w:t>根据</w:t>
            </w:r>
            <w:r>
              <w:rPr>
                <w:rFonts w:hint="default" w:ascii="Times New Roman" w:hAnsi="Times New Roman" w:eastAsia="宋体" w:cs="Times New Roman"/>
                <w:bCs/>
                <w:color w:val="auto"/>
                <w:spacing w:val="-10"/>
                <w:sz w:val="21"/>
                <w:szCs w:val="21"/>
                <w:lang w:val="en-US" w:eastAsia="zh-CN"/>
              </w:rPr>
              <w:t>《</w:t>
            </w:r>
            <w:r>
              <w:rPr>
                <w:rFonts w:hint="default" w:ascii="Times New Roman" w:hAnsi="Times New Roman" w:cs="Times New Roman"/>
                <w:bCs/>
                <w:color w:val="auto"/>
                <w:spacing w:val="-10"/>
                <w:szCs w:val="21"/>
              </w:rPr>
              <w:t>排污许可证申请与核发技术规范 橡胶和塑料制品工业》（HJ1122--2020）</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rPr>
              <w:t>废气自行监测主要针对重点管理、简化管理项目。</w:t>
            </w:r>
            <w:r>
              <w:rPr>
                <w:rFonts w:hint="default" w:ascii="Times New Roman" w:hAnsi="Times New Roman" w:cs="Times New Roman"/>
                <w:color w:val="auto"/>
                <w:kern w:val="0"/>
                <w:szCs w:val="21"/>
              </w:rPr>
              <w:t>本标准未</w:t>
            </w:r>
            <w:r>
              <w:rPr>
                <w:rFonts w:hint="default" w:ascii="Times New Roman" w:hAnsi="Times New Roman" w:cs="Times New Roman"/>
                <w:color w:val="auto"/>
                <w:kern w:val="0"/>
                <w:szCs w:val="21"/>
                <w:lang w:eastAsia="zh-CN"/>
              </w:rPr>
              <w:t>作</w:t>
            </w:r>
            <w:r>
              <w:rPr>
                <w:rFonts w:hint="default" w:ascii="Times New Roman" w:hAnsi="Times New Roman" w:cs="Times New Roman"/>
                <w:color w:val="auto"/>
                <w:kern w:val="0"/>
                <w:szCs w:val="21"/>
              </w:rPr>
              <w:t>规定，但排放工业废气、废水或者国家规定的有毒有害污染物的橡胶制品工业排污单位其他产污设施和排放口，参照《排污许可证申请与核发技术规范 总则》（HJ 942）执行。</w:t>
            </w:r>
          </w:p>
          <w:p w14:paraId="13E117AE">
            <w:pPr>
              <w:spacing w:line="360" w:lineRule="auto"/>
              <w:ind w:firstLine="380" w:firstLineChars="200"/>
              <w:rPr>
                <w:rFonts w:hint="default" w:ascii="Times New Roman" w:hAnsi="Times New Roman" w:cs="Times New Roman"/>
                <w:color w:val="auto"/>
                <w:szCs w:val="21"/>
              </w:rPr>
            </w:pPr>
            <w:r>
              <w:rPr>
                <w:rFonts w:hint="default" w:ascii="Times New Roman" w:hAnsi="Times New Roman" w:cs="Times New Roman"/>
                <w:bCs/>
                <w:color w:val="auto"/>
                <w:spacing w:val="-10"/>
                <w:szCs w:val="21"/>
              </w:rPr>
              <w:t>根据《固定污染源排污许可分类管理名录》（2019年版）可知，本项目属于登记管理，故项目参照《排污单位自行监测技术指南 总则》（HJ819-2017）、</w:t>
            </w:r>
            <w:r>
              <w:rPr>
                <w:rFonts w:hint="default" w:ascii="Times New Roman" w:hAnsi="Times New Roman" w:cs="Times New Roman"/>
                <w:color w:val="auto"/>
                <w:szCs w:val="21"/>
              </w:rPr>
              <w:t>《排污单位自行监测技术指南橡胶和塑料制品》</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HJ 1207—2021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等</w:t>
            </w:r>
            <w:r>
              <w:rPr>
                <w:rFonts w:hint="default" w:ascii="Times New Roman" w:hAnsi="Times New Roman" w:cs="Times New Roman"/>
                <w:bCs/>
                <w:color w:val="auto"/>
                <w:spacing w:val="-10"/>
                <w:szCs w:val="21"/>
              </w:rPr>
              <w:t>要求进行自行监测，</w:t>
            </w:r>
            <w:r>
              <w:rPr>
                <w:rFonts w:hint="default" w:ascii="Times New Roman" w:hAnsi="Times New Roman" w:cs="Times New Roman"/>
                <w:color w:val="auto"/>
                <w:szCs w:val="21"/>
              </w:rPr>
              <w:t>自行监测情况见下表：</w:t>
            </w:r>
          </w:p>
          <w:p w14:paraId="6B7A990E">
            <w:pPr>
              <w:adjustRightInd w:val="0"/>
              <w:snapToGrid w:val="0"/>
              <w:ind w:firstLine="422" w:firstLineChars="200"/>
              <w:jc w:val="center"/>
              <w:rPr>
                <w:rFonts w:hint="default" w:ascii="Times New Roman" w:hAnsi="Times New Roman" w:cs="Times New Roman"/>
                <w:b/>
                <w:color w:val="auto"/>
              </w:rPr>
            </w:pPr>
            <w:r>
              <w:rPr>
                <w:rFonts w:hint="default" w:ascii="Times New Roman" w:hAnsi="Times New Roman" w:cs="Times New Roman"/>
                <w:b/>
                <w:color w:val="auto"/>
              </w:rPr>
              <w:t>表4-</w:t>
            </w:r>
            <w:r>
              <w:rPr>
                <w:rFonts w:hint="eastAsia" w:ascii="Times New Roman" w:hAnsi="Times New Roman" w:cs="Times New Roman"/>
                <w:b/>
                <w:color w:val="auto"/>
                <w:lang w:val="en-US" w:eastAsia="zh-CN"/>
              </w:rPr>
              <w:t>5</w:t>
            </w:r>
            <w:r>
              <w:rPr>
                <w:rFonts w:hint="default" w:ascii="Times New Roman" w:hAnsi="Times New Roman" w:cs="Times New Roman"/>
                <w:b/>
                <w:color w:val="auto"/>
              </w:rPr>
              <w:t xml:space="preserve">  本项目废气自行监测情况一览表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048"/>
              <w:gridCol w:w="2542"/>
              <w:gridCol w:w="717"/>
              <w:gridCol w:w="2770"/>
            </w:tblGrid>
            <w:tr w14:paraId="269B9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91" w:type="pct"/>
                  <w:gridSpan w:val="2"/>
                  <w:noWrap w:val="0"/>
                  <w:vAlign w:val="center"/>
                </w:tcPr>
                <w:p w14:paraId="04659A35">
                  <w:pPr>
                    <w:adjustRightInd w:val="0"/>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1606" w:type="pct"/>
                  <w:noWrap w:val="0"/>
                  <w:vAlign w:val="center"/>
                </w:tcPr>
                <w:p w14:paraId="6FF2AA6B">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监测指标</w:t>
                  </w:r>
                </w:p>
              </w:tc>
              <w:tc>
                <w:tcPr>
                  <w:tcW w:w="453" w:type="pct"/>
                  <w:noWrap w:val="0"/>
                  <w:vAlign w:val="center"/>
                </w:tcPr>
                <w:p w14:paraId="7C9236F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监测频次</w:t>
                  </w:r>
                </w:p>
              </w:tc>
              <w:tc>
                <w:tcPr>
                  <w:tcW w:w="1749" w:type="pct"/>
                  <w:noWrap w:val="0"/>
                  <w:vAlign w:val="center"/>
                </w:tcPr>
                <w:p w14:paraId="7E435CFC">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执行标准</w:t>
                  </w:r>
                </w:p>
              </w:tc>
            </w:tr>
            <w:tr w14:paraId="180E1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529" w:type="pct"/>
                  <w:noWrap w:val="0"/>
                  <w:vAlign w:val="center"/>
                </w:tcPr>
                <w:p w14:paraId="25C34640">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w:t>
                  </w:r>
                </w:p>
              </w:tc>
              <w:tc>
                <w:tcPr>
                  <w:tcW w:w="662" w:type="pct"/>
                  <w:noWrap w:val="0"/>
                  <w:vAlign w:val="center"/>
                </w:tcPr>
                <w:p w14:paraId="1BDB6990">
                  <w:pPr>
                    <w:adjustRightInd w:val="0"/>
                    <w:snapToGrid w:val="0"/>
                    <w:spacing w:beforeLines="10" w:afterLines="10" w:line="259"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rPr>
                    <w:t>注塑废气排放口</w:t>
                  </w:r>
                </w:p>
              </w:tc>
              <w:tc>
                <w:tcPr>
                  <w:tcW w:w="1606" w:type="pct"/>
                  <w:noWrap w:val="0"/>
                  <w:vAlign w:val="center"/>
                </w:tcPr>
                <w:p w14:paraId="3AF31F5F">
                  <w:pPr>
                    <w:pStyle w:val="26"/>
                    <w:jc w:val="center"/>
                    <w:outlineLvl w:val="0"/>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lang w:val="en-US" w:eastAsia="zh-CN"/>
                    </w:rPr>
                    <w:t>非甲烷总烃、苯乙烯、丙烯腈、甲苯、乙苯、颗粒物、</w:t>
                  </w:r>
                  <w:r>
                    <w:rPr>
                      <w:rFonts w:hint="default" w:ascii="Times New Roman" w:hAnsi="Times New Roman" w:eastAsia="宋体" w:cs="Times New Roman"/>
                      <w:color w:val="auto"/>
                      <w:sz w:val="18"/>
                      <w:szCs w:val="18"/>
                      <w:lang w:val="en-US" w:eastAsia="zh-CN"/>
                    </w:rPr>
                    <w:t>1，3-丁二烯</w:t>
                  </w:r>
                  <w:r>
                    <w:rPr>
                      <w:rFonts w:hint="default" w:ascii="Times New Roman" w:hAnsi="Times New Roman" w:eastAsia="宋体" w:cs="Times New Roman"/>
                      <w:color w:val="auto"/>
                      <w:sz w:val="18"/>
                      <w:szCs w:val="18"/>
                      <w:vertAlign w:val="superscript"/>
                      <w:lang w:val="en-US" w:eastAsia="zh-CN"/>
                    </w:rPr>
                    <w:t>①</w:t>
                  </w:r>
                  <w:r>
                    <w:rPr>
                      <w:rFonts w:hint="eastAsia" w:ascii="Times New Roman" w:hAnsi="Times New Roman" w:eastAsia="宋体" w:cs="Times New Roman"/>
                      <w:color w:val="auto"/>
                      <w:sz w:val="18"/>
                      <w:szCs w:val="18"/>
                      <w:vertAlign w:val="baseline"/>
                      <w:lang w:val="en-US" w:eastAsia="zh-CN"/>
                    </w:rPr>
                    <w:t>、氨</w:t>
                  </w:r>
                </w:p>
              </w:tc>
              <w:tc>
                <w:tcPr>
                  <w:tcW w:w="453" w:type="pct"/>
                  <w:vMerge w:val="restart"/>
                  <w:noWrap w:val="0"/>
                  <w:vAlign w:val="center"/>
                </w:tcPr>
                <w:p w14:paraId="3C37EBA2">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验收时监测一次，之后每年一次</w:t>
                  </w:r>
                </w:p>
              </w:tc>
              <w:tc>
                <w:tcPr>
                  <w:tcW w:w="1749" w:type="pct"/>
                  <w:noWrap w:val="0"/>
                  <w:vAlign w:val="center"/>
                </w:tcPr>
                <w:p w14:paraId="351DB11A">
                  <w:pPr>
                    <w:pStyle w:val="59"/>
                    <w:spacing w:beforeLines="0" w:afterLines="0" w:line="240" w:lineRule="auto"/>
                    <w:ind w:left="0" w:leftChars="0" w:firstLine="0" w:firstLineChars="0"/>
                    <w:jc w:val="center"/>
                    <w:rPr>
                      <w:rFonts w:hint="default" w:ascii="Times New Roman" w:hAnsi="Times New Roman" w:eastAsia="宋体" w:cs="Times New Roman"/>
                      <w:color w:val="auto"/>
                      <w:sz w:val="18"/>
                      <w:szCs w:val="18"/>
                    </w:rPr>
                  </w:pPr>
                  <w:r>
                    <w:rPr>
                      <w:rFonts w:hint="eastAsia" w:ascii="Times New Roman" w:cs="Times New Roman"/>
                      <w:color w:val="auto"/>
                      <w:kern w:val="2"/>
                      <w:sz w:val="18"/>
                      <w:szCs w:val="18"/>
                      <w:highlight w:val="none"/>
                      <w:lang w:val="en-US" w:eastAsia="zh-CN" w:bidi="ar-SA"/>
                    </w:rPr>
                    <w:t>《合成树脂工业污染物排放标准》（GB 31572-2015，含2024年修改单</w:t>
                  </w:r>
                  <w:r>
                    <w:rPr>
                      <w:rFonts w:hint="default" w:ascii="Times New Roman" w:hAnsi="Times New Roman" w:cs="Times New Roman"/>
                      <w:color w:val="auto"/>
                      <w:sz w:val="18"/>
                      <w:szCs w:val="18"/>
                      <w:highlight w:val="none"/>
                      <w:lang w:val="en-US" w:eastAsia="zh-CN"/>
                    </w:rPr>
                    <w:t>）</w:t>
                  </w:r>
                </w:p>
              </w:tc>
            </w:tr>
            <w:tr w14:paraId="25B49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8" w:hRule="atLeast"/>
                <w:jc w:val="center"/>
              </w:trPr>
              <w:tc>
                <w:tcPr>
                  <w:tcW w:w="529" w:type="pct"/>
                  <w:vMerge w:val="restart"/>
                  <w:noWrap w:val="0"/>
                  <w:vAlign w:val="center"/>
                </w:tcPr>
                <w:p w14:paraId="7F27DD89">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无组织</w:t>
                  </w:r>
                </w:p>
              </w:tc>
              <w:tc>
                <w:tcPr>
                  <w:tcW w:w="662" w:type="pct"/>
                  <w:noWrap w:val="0"/>
                  <w:vAlign w:val="center"/>
                </w:tcPr>
                <w:p w14:paraId="5967F757">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厂界</w:t>
                  </w:r>
                </w:p>
                <w:p w14:paraId="085A6323">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（上、下风向）</w:t>
                  </w:r>
                </w:p>
              </w:tc>
              <w:tc>
                <w:tcPr>
                  <w:tcW w:w="1606" w:type="pct"/>
                  <w:noWrap w:val="0"/>
                  <w:vAlign w:val="center"/>
                </w:tcPr>
                <w:p w14:paraId="5163921E">
                  <w:pPr>
                    <w:pStyle w:val="115"/>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highlight w:val="none"/>
                      <w:lang w:val="en-US" w:eastAsia="zh-CN"/>
                    </w:rPr>
                    <w:t>非甲烷总烃、甲苯、颗粒物</w:t>
                  </w:r>
                  <w:r>
                    <w:rPr>
                      <w:rFonts w:hint="eastAsia"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rPr>
                    <w:t>臭气浓度</w:t>
                  </w:r>
                </w:p>
              </w:tc>
              <w:tc>
                <w:tcPr>
                  <w:tcW w:w="453" w:type="pct"/>
                  <w:vMerge w:val="continue"/>
                  <w:noWrap w:val="0"/>
                  <w:vAlign w:val="center"/>
                </w:tcPr>
                <w:p w14:paraId="731C41D4">
                  <w:pPr>
                    <w:adjustRightInd w:val="0"/>
                    <w:snapToGrid w:val="0"/>
                    <w:jc w:val="center"/>
                    <w:rPr>
                      <w:rFonts w:hint="default" w:ascii="Times New Roman" w:hAnsi="Times New Roman" w:eastAsia="宋体" w:cs="Times New Roman"/>
                      <w:color w:val="auto"/>
                      <w:sz w:val="18"/>
                      <w:szCs w:val="18"/>
                    </w:rPr>
                  </w:pPr>
                </w:p>
              </w:tc>
              <w:tc>
                <w:tcPr>
                  <w:tcW w:w="1749" w:type="pct"/>
                  <w:noWrap w:val="0"/>
                  <w:vAlign w:val="center"/>
                </w:tcPr>
                <w:p w14:paraId="1B16330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《合成树脂工业污染物排放标准》（GB 31572-2015，含2024年修改单</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表9标准</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《恶臭污染物排放标准》（</w:t>
                  </w:r>
                  <w:r>
                    <w:rPr>
                      <w:rFonts w:hint="eastAsia" w:cs="Times New Roman"/>
                      <w:color w:val="auto"/>
                      <w:sz w:val="18"/>
                      <w:szCs w:val="18"/>
                      <w:lang w:eastAsia="zh-CN"/>
                    </w:rPr>
                    <w:t>GB 14554</w:t>
                  </w:r>
                  <w:r>
                    <w:rPr>
                      <w:rFonts w:hint="default" w:ascii="Times New Roman" w:hAnsi="Times New Roman" w:eastAsia="宋体" w:cs="Times New Roman"/>
                      <w:color w:val="auto"/>
                      <w:sz w:val="18"/>
                      <w:szCs w:val="18"/>
                    </w:rPr>
                    <w:t>-93）</w:t>
                  </w:r>
                </w:p>
              </w:tc>
            </w:tr>
            <w:tr w14:paraId="2EEEC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29" w:type="pct"/>
                  <w:vMerge w:val="continue"/>
                  <w:noWrap w:val="0"/>
                  <w:vAlign w:val="top"/>
                </w:tcPr>
                <w:p w14:paraId="2D40AE3F">
                  <w:pPr>
                    <w:adjustRightInd w:val="0"/>
                    <w:snapToGrid w:val="0"/>
                    <w:jc w:val="center"/>
                    <w:rPr>
                      <w:rFonts w:hint="default" w:ascii="Times New Roman" w:hAnsi="Times New Roman" w:eastAsia="宋体" w:cs="Times New Roman"/>
                      <w:color w:val="auto"/>
                      <w:sz w:val="18"/>
                      <w:szCs w:val="18"/>
                    </w:rPr>
                  </w:pPr>
                </w:p>
              </w:tc>
              <w:tc>
                <w:tcPr>
                  <w:tcW w:w="0" w:type="auto"/>
                  <w:noWrap w:val="0"/>
                  <w:vAlign w:val="center"/>
                </w:tcPr>
                <w:p w14:paraId="7743D071">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厂房外1m处</w:t>
                  </w:r>
                </w:p>
              </w:tc>
              <w:tc>
                <w:tcPr>
                  <w:tcW w:w="0" w:type="auto"/>
                  <w:noWrap w:val="0"/>
                  <w:vAlign w:val="center"/>
                </w:tcPr>
                <w:p w14:paraId="2E58277C">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非甲烷总烃</w:t>
                  </w:r>
                </w:p>
              </w:tc>
              <w:tc>
                <w:tcPr>
                  <w:tcW w:w="453" w:type="pct"/>
                  <w:vMerge w:val="continue"/>
                  <w:noWrap w:val="0"/>
                  <w:vAlign w:val="center"/>
                </w:tcPr>
                <w:p w14:paraId="1A054586">
                  <w:pPr>
                    <w:adjustRightInd w:val="0"/>
                    <w:snapToGrid w:val="0"/>
                    <w:jc w:val="center"/>
                    <w:rPr>
                      <w:rFonts w:hint="default" w:ascii="Times New Roman" w:hAnsi="Times New Roman" w:eastAsia="宋体" w:cs="Times New Roman"/>
                      <w:color w:val="auto"/>
                      <w:kern w:val="2"/>
                      <w:sz w:val="18"/>
                      <w:szCs w:val="18"/>
                      <w:lang w:val="en-US" w:eastAsia="zh-CN" w:bidi="ar-SA"/>
                    </w:rPr>
                  </w:pPr>
                </w:p>
              </w:tc>
              <w:tc>
                <w:tcPr>
                  <w:tcW w:w="1749" w:type="pct"/>
                  <w:noWrap w:val="0"/>
                  <w:vAlign w:val="center"/>
                </w:tcPr>
                <w:p w14:paraId="1241B680">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《挥发性有机物无组织排放控制标准》（</w:t>
                  </w:r>
                  <w:r>
                    <w:rPr>
                      <w:rFonts w:hint="eastAsia" w:cs="Times New Roman"/>
                      <w:color w:val="auto"/>
                      <w:sz w:val="18"/>
                      <w:szCs w:val="18"/>
                      <w:lang w:eastAsia="zh-CN"/>
                    </w:rPr>
                    <w:t>GB 37822-2019</w:t>
                  </w:r>
                  <w:r>
                    <w:rPr>
                      <w:rFonts w:hint="default" w:ascii="Times New Roman" w:hAnsi="Times New Roman" w:eastAsia="宋体" w:cs="Times New Roman"/>
                      <w:color w:val="auto"/>
                      <w:sz w:val="18"/>
                      <w:szCs w:val="18"/>
                    </w:rPr>
                    <w:t>）表A.1标准</w:t>
                  </w:r>
                </w:p>
              </w:tc>
            </w:tr>
            <w:tr w14:paraId="7E4C7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noWrap w:val="0"/>
                  <w:vAlign w:val="top"/>
                </w:tcPr>
                <w:p w14:paraId="6F97DA35">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备注：①</w:t>
                  </w:r>
                  <w:r>
                    <w:rPr>
                      <w:rFonts w:hint="default" w:ascii="Times New Roman" w:hAnsi="Times New Roman" w:eastAsia="宋体" w:cs="Times New Roman"/>
                      <w:color w:val="auto"/>
                      <w:sz w:val="18"/>
                      <w:szCs w:val="18"/>
                      <w:lang w:val="en-US" w:eastAsia="zh-CN"/>
                    </w:rPr>
                    <w:t>待国家污染物监测方法标准发布后实施。</w:t>
                  </w:r>
                </w:p>
              </w:tc>
            </w:tr>
          </w:tbl>
          <w:p w14:paraId="766624B2">
            <w:pPr>
              <w:adjustRightInd w:val="0"/>
              <w:snapToGrid w:val="0"/>
              <w:spacing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rPr>
              <w:t>（5）排放影响</w:t>
            </w:r>
          </w:p>
          <w:p w14:paraId="03C7D68D">
            <w:pPr>
              <w:adjustRightInd w:val="0"/>
              <w:snapToGrid w:val="0"/>
              <w:spacing w:line="360" w:lineRule="auto"/>
              <w:ind w:firstLine="380" w:firstLineChars="200"/>
              <w:rPr>
                <w:rFonts w:hint="default" w:ascii="Times New Roman" w:hAnsi="Times New Roman" w:cs="Times New Roman"/>
                <w:color w:val="auto"/>
              </w:rPr>
            </w:pPr>
            <w:r>
              <w:rPr>
                <w:rFonts w:hint="default" w:ascii="Times New Roman" w:hAnsi="Times New Roman" w:cs="Times New Roman"/>
                <w:bCs/>
                <w:color w:val="auto"/>
                <w:spacing w:val="-10"/>
                <w:szCs w:val="21"/>
              </w:rPr>
              <w:t>本项目所在区域环境空气质量属于不达标区，采取大气污染综合</w:t>
            </w:r>
            <w:r>
              <w:rPr>
                <w:rFonts w:hint="default" w:ascii="Times New Roman" w:hAnsi="Times New Roman" w:cs="Times New Roman"/>
                <w:color w:val="auto"/>
              </w:rPr>
              <w:t>治理实施方案后可改善区域环境质量达标情况；</w:t>
            </w:r>
            <w:r>
              <w:rPr>
                <w:rFonts w:hint="default" w:ascii="Times New Roman" w:hAnsi="Times New Roman" w:cs="Times New Roman"/>
                <w:bCs/>
                <w:color w:val="auto"/>
                <w:spacing w:val="-10"/>
                <w:szCs w:val="21"/>
              </w:rPr>
              <w:t>本项目</w:t>
            </w:r>
            <w:r>
              <w:rPr>
                <w:rFonts w:hint="default" w:ascii="Times New Roman" w:hAnsi="Times New Roman" w:cs="Times New Roman"/>
                <w:color w:val="auto"/>
              </w:rPr>
              <w:t>建成后会对项目所在区域排放一定的大气污染物，</w:t>
            </w:r>
            <w:r>
              <w:rPr>
                <w:rFonts w:hint="default" w:ascii="Times New Roman" w:hAnsi="Times New Roman" w:eastAsia="宋体" w:cs="Times New Roman"/>
                <w:color w:val="auto"/>
              </w:rPr>
              <w:t>项目500m范围内大气环境保护目标</w:t>
            </w:r>
            <w:r>
              <w:rPr>
                <w:rFonts w:hint="eastAsia" w:ascii="Times New Roman" w:hAnsi="Times New Roman" w:cs="Times New Roman"/>
                <w:color w:val="auto"/>
                <w:lang w:eastAsia="zh-CN"/>
              </w:rPr>
              <w:t>主要为东南侧</w:t>
            </w:r>
            <w:r>
              <w:rPr>
                <w:rFonts w:hint="eastAsia" w:ascii="Times New Roman" w:hAnsi="Times New Roman" w:cs="Times New Roman"/>
                <w:color w:val="auto"/>
                <w:lang w:val="en-US" w:eastAsia="zh-CN"/>
              </w:rPr>
              <w:t>65m</w:t>
            </w:r>
            <w:r>
              <w:rPr>
                <w:rFonts w:hint="eastAsia" w:ascii="Times New Roman" w:hAnsi="Times New Roman" w:cs="Times New Roman"/>
                <w:color w:val="auto"/>
                <w:lang w:eastAsia="zh-CN"/>
              </w:rPr>
              <w:t>的</w:t>
            </w:r>
            <w:r>
              <w:rPr>
                <w:rFonts w:hint="eastAsia" w:ascii="Times New Roman" w:hAnsi="Times New Roman" w:cs="Times New Roman"/>
                <w:color w:val="auto"/>
                <w:lang w:val="en-US" w:eastAsia="zh-CN"/>
              </w:rPr>
              <w:t>合川区凤翔路消防救援站</w:t>
            </w:r>
            <w:r>
              <w:rPr>
                <w:rFonts w:hint="eastAsia" w:cs="Times New Roman"/>
                <w:color w:val="auto"/>
                <w:lang w:eastAsia="zh-CN"/>
              </w:rPr>
              <w:t>、</w:t>
            </w:r>
            <w:r>
              <w:rPr>
                <w:rFonts w:hint="eastAsia" w:ascii="Times New Roman" w:hAnsi="Times New Roman" w:cs="Times New Roman"/>
                <w:color w:val="auto"/>
                <w:lang w:eastAsia="zh-CN"/>
              </w:rPr>
              <w:t>西南侧</w:t>
            </w:r>
            <w:r>
              <w:rPr>
                <w:rFonts w:hint="eastAsia" w:ascii="Times New Roman" w:hAnsi="Times New Roman" w:cs="Times New Roman"/>
                <w:color w:val="auto"/>
                <w:lang w:val="en-US" w:eastAsia="zh-CN"/>
              </w:rPr>
              <w:t>110m的大坝子居民点</w:t>
            </w:r>
            <w:r>
              <w:rPr>
                <w:rFonts w:hint="eastAsia" w:cs="Times New Roman"/>
                <w:color w:val="auto"/>
                <w:lang w:val="en-US" w:eastAsia="zh-CN"/>
              </w:rPr>
              <w:t>、</w:t>
            </w:r>
            <w:r>
              <w:rPr>
                <w:rFonts w:hint="eastAsia" w:ascii="Times New Roman" w:hAnsi="Times New Roman" w:cs="Times New Roman"/>
                <w:color w:val="auto"/>
                <w:lang w:val="en-US" w:eastAsia="zh-CN"/>
              </w:rPr>
              <w:t>东南侧340m</w:t>
            </w:r>
            <w:r>
              <w:rPr>
                <w:rFonts w:hint="eastAsia" w:cs="Times New Roman"/>
                <w:color w:val="auto"/>
                <w:lang w:val="en-US" w:eastAsia="zh-CN"/>
              </w:rPr>
              <w:t>、50</w:t>
            </w:r>
            <w:r>
              <w:rPr>
                <w:rFonts w:hint="eastAsia" w:ascii="Times New Roman" w:hAnsi="Times New Roman" w:cs="Times New Roman"/>
                <w:color w:val="auto"/>
                <w:lang w:val="en-US" w:eastAsia="zh-CN"/>
              </w:rPr>
              <w:t>0m的散户居民</w:t>
            </w:r>
            <w:r>
              <w:rPr>
                <w:rFonts w:hint="eastAsia" w:cs="Times New Roman"/>
                <w:color w:val="auto"/>
                <w:lang w:val="en-US" w:eastAsia="zh-CN"/>
              </w:rPr>
              <w:t>、南侧455m处的散户村民</w:t>
            </w:r>
            <w:r>
              <w:rPr>
                <w:rFonts w:hint="eastAsia" w:ascii="Times New Roman" w:hAnsi="Times New Roman" w:cs="Times New Roman"/>
                <w:color w:val="auto"/>
                <w:lang w:val="en-US" w:eastAsia="zh-CN"/>
              </w:rPr>
              <w:t>，</w:t>
            </w:r>
            <w:r>
              <w:rPr>
                <w:rFonts w:hint="eastAsia" w:ascii="Times New Roman" w:hAnsi="Times New Roman" w:cs="Times New Roman"/>
                <w:color w:val="auto"/>
                <w:sz w:val="21"/>
                <w:szCs w:val="21"/>
                <w:lang w:eastAsia="zh-CN"/>
              </w:rPr>
              <w:t>但</w:t>
            </w:r>
            <w:r>
              <w:rPr>
                <w:rFonts w:ascii="Times New Roman" w:hAnsi="Times New Roman" w:cs="Times New Roman"/>
                <w:color w:val="auto"/>
                <w:sz w:val="21"/>
                <w:szCs w:val="21"/>
              </w:rPr>
              <w:t>经</w:t>
            </w:r>
            <w:r>
              <w:rPr>
                <w:rFonts w:hint="eastAsia" w:ascii="Times New Roman" w:hAnsi="Times New Roman" w:cs="Times New Roman"/>
                <w:color w:val="auto"/>
                <w:sz w:val="21"/>
                <w:szCs w:val="21"/>
                <w:lang w:eastAsia="zh-CN"/>
              </w:rPr>
              <w:t>核算</w:t>
            </w:r>
            <w:r>
              <w:rPr>
                <w:rFonts w:ascii="Times New Roman" w:hAnsi="Times New Roman" w:cs="Times New Roman"/>
                <w:color w:val="auto"/>
                <w:sz w:val="21"/>
                <w:szCs w:val="21"/>
              </w:rPr>
              <w:t>，本项目废气经处理后能够进行达标排放，故对周边环境影响可接受。</w:t>
            </w:r>
          </w:p>
          <w:p w14:paraId="142F6939">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综上，</w:t>
            </w:r>
            <w:r>
              <w:rPr>
                <w:rFonts w:hint="default" w:ascii="Times New Roman" w:hAnsi="Times New Roman" w:cs="Times New Roman"/>
                <w:bCs/>
                <w:color w:val="auto"/>
                <w:spacing w:val="-10"/>
                <w:szCs w:val="21"/>
              </w:rPr>
              <w:t>本项目废气经上述措施处理后，对环境空气影响较小。</w:t>
            </w:r>
          </w:p>
          <w:p w14:paraId="493220E8">
            <w:pPr>
              <w:adjustRightInd w:val="0"/>
              <w:snapToGrid w:val="0"/>
              <w:spacing w:line="360" w:lineRule="auto"/>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4.3废水环境影响及保护措施</w:t>
            </w:r>
          </w:p>
          <w:p w14:paraId="43BA9FB8">
            <w:pPr>
              <w:adjustRightInd w:val="0"/>
              <w:snapToGrid w:val="0"/>
              <w:spacing w:line="360" w:lineRule="auto"/>
              <w:ind w:firstLine="382"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（1）给、排水情况</w:t>
            </w:r>
          </w:p>
          <w:p w14:paraId="7C491A9C">
            <w:pPr>
              <w:adjustRightInd w:val="0"/>
              <w:snapToGrid w:val="0"/>
              <w:spacing w:line="360" w:lineRule="auto"/>
              <w:ind w:firstLine="382"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①生活污水</w:t>
            </w:r>
          </w:p>
          <w:p w14:paraId="2CD74233">
            <w:pPr>
              <w:spacing w:line="360" w:lineRule="auto"/>
              <w:ind w:firstLine="48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项目劳动定员</w:t>
            </w:r>
            <w:r>
              <w:rPr>
                <w:rFonts w:hint="eastAsia"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eastAsia="zh-CN"/>
              </w:rPr>
              <w:t>人</w:t>
            </w:r>
            <w:r>
              <w:rPr>
                <w:rFonts w:hint="default" w:ascii="Times New Roman" w:hAnsi="Times New Roman" w:eastAsia="宋体" w:cs="Times New Roman"/>
                <w:color w:val="auto"/>
                <w:sz w:val="21"/>
                <w:szCs w:val="21"/>
              </w:rPr>
              <w:t>，不设食堂、住宿，年工作300天。生活用水量按50L/人•d计，排污系数取0.9，则项目生活用水量为</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/d（</w:t>
            </w:r>
            <w:r>
              <w:rPr>
                <w:rFonts w:hint="eastAsia"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/a），废水量为</w:t>
            </w:r>
            <w:r>
              <w:rPr>
                <w:rFonts w:hint="eastAsia" w:ascii="Times New Roman" w:hAnsi="Times New Roman" w:cs="Times New Roman"/>
                <w:color w:val="auto"/>
                <w:sz w:val="21"/>
                <w:szCs w:val="21"/>
                <w:lang w:val="en-US" w:eastAsia="zh-CN"/>
              </w:rPr>
              <w:t>0.9</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/d（</w:t>
            </w:r>
            <w:r>
              <w:rPr>
                <w:rFonts w:hint="eastAsia" w:ascii="Times New Roman" w:hAnsi="Times New Roman" w:cs="Times New Roman"/>
                <w:color w:val="auto"/>
                <w:sz w:val="21"/>
                <w:szCs w:val="21"/>
                <w:lang w:val="en-US" w:eastAsia="zh-CN"/>
              </w:rPr>
              <w:t>270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/a）。</w:t>
            </w:r>
          </w:p>
          <w:p w14:paraId="22CD23F2">
            <w:pPr>
              <w:spacing w:line="360" w:lineRule="auto"/>
              <w:ind w:firstLine="48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项目厂区需要每</w:t>
            </w:r>
            <w:r>
              <w:rPr>
                <w:rFonts w:hint="default" w:ascii="Times New Roman" w:hAnsi="Times New Roman" w:eastAsia="宋体" w:cs="Times New Roman"/>
                <w:color w:val="auto"/>
                <w:sz w:val="21"/>
                <w:szCs w:val="21"/>
                <w:lang w:val="en-US" w:eastAsia="zh-CN"/>
              </w:rPr>
              <w:t>周</w:t>
            </w:r>
            <w:r>
              <w:rPr>
                <w:rFonts w:hint="default" w:ascii="Times New Roman" w:hAnsi="Times New Roman" w:eastAsia="宋体" w:cs="Times New Roman"/>
                <w:color w:val="auto"/>
                <w:sz w:val="21"/>
                <w:szCs w:val="21"/>
              </w:rPr>
              <w:t>对地面进行拖地清洁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每月按4次考虑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，项目厂区需要清洁的面积</w:t>
            </w:r>
            <w:r>
              <w:rPr>
                <w:rFonts w:hint="default" w:ascii="Times New Roman" w:hAnsi="Times New Roman" w:eastAsia="宋体" w:cs="Times New Roman"/>
                <w:color w:val="auto"/>
                <w:sz w:val="21"/>
                <w:szCs w:val="21"/>
                <w:lang w:eastAsia="zh-CN"/>
              </w:rPr>
              <w:t>约</w:t>
            </w:r>
            <w:r>
              <w:rPr>
                <w:rFonts w:hint="default" w:ascii="Times New Roman" w:hAnsi="Times New Roman" w:eastAsia="宋体" w:cs="Times New Roman"/>
                <w:color w:val="auto"/>
                <w:sz w:val="21"/>
                <w:szCs w:val="21"/>
              </w:rPr>
              <w:t>为</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生产区面积减去设备所占区域面积</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rPr>
              <w:t>，单次拖地清洁用水定额按照0.5L/（</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rPr>
              <w:t>.次）计算，则地面清洁废水用量为</w:t>
            </w:r>
            <w:r>
              <w:rPr>
                <w:rFonts w:hint="default" w:ascii="Times New Roman" w:hAnsi="Times New Roman" w:eastAsia="宋体" w:cs="Times New Roman"/>
                <w:color w:val="auto"/>
                <w:sz w:val="21"/>
                <w:szCs w:val="21"/>
                <w:lang w:val="en-US" w:eastAsia="zh-CN"/>
              </w:rPr>
              <w:t>0.08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/a），排污系数取0.9，核算出排水量为</w:t>
            </w: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72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21.6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p w14:paraId="4D1AEE0F">
            <w:pPr>
              <w:spacing w:line="360" w:lineRule="auto"/>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②</w:t>
            </w:r>
            <w:r>
              <w:rPr>
                <w:rFonts w:hint="default" w:ascii="Times New Roman" w:hAnsi="Times New Roman" w:cs="Times New Roman"/>
                <w:b/>
                <w:color w:val="auto"/>
                <w:sz w:val="21"/>
                <w:szCs w:val="21"/>
                <w:lang w:eastAsia="zh-CN"/>
              </w:rPr>
              <w:t>冷却塔</w:t>
            </w:r>
            <w:r>
              <w:rPr>
                <w:rFonts w:hint="default" w:ascii="Times New Roman" w:hAnsi="Times New Roman" w:eastAsia="宋体" w:cs="Times New Roman"/>
                <w:b/>
                <w:color w:val="auto"/>
                <w:sz w:val="21"/>
                <w:szCs w:val="21"/>
                <w:lang w:eastAsia="zh-CN"/>
              </w:rPr>
              <w:t>补充用水</w:t>
            </w:r>
          </w:p>
          <w:p w14:paraId="69EF2D2B">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根据工艺流程描述可知：冷却水通过间接冷却的方式来冷却</w:t>
            </w:r>
            <w:r>
              <w:rPr>
                <w:rFonts w:hint="default" w:ascii="Times New Roman" w:hAnsi="Times New Roman" w:eastAsia="宋体" w:cs="Times New Roman"/>
                <w:color w:val="auto"/>
                <w:sz w:val="21"/>
                <w:szCs w:val="21"/>
                <w:lang w:val="en-US" w:eastAsia="zh-CN"/>
              </w:rPr>
              <w:t>注塑机</w:t>
            </w:r>
            <w:r>
              <w:rPr>
                <w:rFonts w:hint="default" w:ascii="Times New Roman" w:hAnsi="Times New Roman" w:eastAsia="宋体" w:cs="Times New Roman"/>
                <w:color w:val="auto"/>
                <w:sz w:val="21"/>
                <w:szCs w:val="21"/>
                <w:lang w:eastAsia="zh-CN"/>
              </w:rPr>
              <w:t>模具，不与模具直接接触，因此冷却水较为清洁，通过管道输送至</w:t>
            </w:r>
            <w:r>
              <w:rPr>
                <w:rFonts w:hint="default" w:ascii="Times New Roman" w:hAnsi="Times New Roman" w:cs="Times New Roman"/>
                <w:color w:val="auto"/>
                <w:sz w:val="21"/>
                <w:szCs w:val="21"/>
                <w:lang w:eastAsia="zh-CN"/>
              </w:rPr>
              <w:t>冷却塔</w:t>
            </w:r>
            <w:r>
              <w:rPr>
                <w:rFonts w:hint="default" w:ascii="Times New Roman" w:hAnsi="Times New Roman" w:eastAsia="宋体" w:cs="Times New Roman"/>
                <w:color w:val="auto"/>
                <w:sz w:val="21"/>
                <w:szCs w:val="21"/>
                <w:lang w:eastAsia="zh-CN"/>
              </w:rPr>
              <w:t>冷却后循环使用。</w:t>
            </w:r>
            <w:r>
              <w:rPr>
                <w:rFonts w:hint="default" w:ascii="Times New Roman" w:hAnsi="Times New Roman" w:eastAsia="宋体" w:cs="Times New Roman"/>
                <w:color w:val="auto"/>
                <w:sz w:val="21"/>
                <w:szCs w:val="21"/>
              </w:rPr>
              <w:t>根据设备一览表可知，本项目共</w:t>
            </w:r>
            <w:r>
              <w:rPr>
                <w:rFonts w:hint="default" w:ascii="Times New Roman" w:hAnsi="Times New Roman" w:eastAsia="宋体" w:cs="Times New Roman"/>
                <w:color w:val="auto"/>
                <w:sz w:val="21"/>
                <w:szCs w:val="21"/>
                <w:lang w:eastAsia="zh-CN"/>
              </w:rPr>
              <w:t>设置</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台</w:t>
            </w:r>
            <w:r>
              <w:rPr>
                <w:rFonts w:hint="default" w:ascii="Times New Roman" w:hAnsi="Times New Roman" w:cs="Times New Roman"/>
                <w:color w:val="auto"/>
                <w:sz w:val="21"/>
                <w:szCs w:val="21"/>
                <w:lang w:eastAsia="zh-CN"/>
              </w:rPr>
              <w:t>冷却塔</w:t>
            </w:r>
            <w:r>
              <w:rPr>
                <w:rFonts w:hint="default" w:ascii="Times New Roman" w:hAnsi="Times New Roman" w:cs="Times New Roman"/>
                <w:bCs/>
                <w:color w:val="auto"/>
                <w:spacing w:val="-10"/>
                <w:szCs w:val="21"/>
                <w:lang w:val="en-US" w:eastAsia="zh-CN"/>
              </w:rPr>
              <w:t>（并配有1座冷却水池，尺寸约</w:t>
            </w:r>
            <w:r>
              <w:rPr>
                <w:rFonts w:hint="default" w:ascii="Times New Roman" w:hAnsi="Times New Roman" w:cs="Times New Roman"/>
                <w:b w:val="0"/>
                <w:bCs/>
                <w:color w:val="auto"/>
                <w:spacing w:val="-10"/>
                <w:szCs w:val="21"/>
                <w:lang w:val="en-US" w:eastAsia="zh-CN"/>
              </w:rPr>
              <w:t>为</w:t>
            </w:r>
            <w:r>
              <w:rPr>
                <w:rFonts w:hint="default" w:ascii="Times New Roman" w:hAnsi="Times New Roman" w:cs="Times New Roman"/>
                <w:b w:val="0"/>
                <w:bCs/>
                <w:color w:val="auto"/>
                <w:szCs w:val="21"/>
                <w:lang w:val="en-US" w:eastAsia="zh-CN"/>
              </w:rPr>
              <w:t>2</w:t>
            </w:r>
            <w:r>
              <w:rPr>
                <w:rFonts w:hint="default" w:ascii="Times New Roman" w:hAnsi="Times New Roman" w:cs="Times New Roman"/>
                <w:b w:val="0"/>
                <w:bCs/>
                <w:color w:val="auto"/>
                <w:szCs w:val="21"/>
              </w:rPr>
              <w:t>m×</w:t>
            </w:r>
            <w:r>
              <w:rPr>
                <w:rFonts w:hint="default" w:ascii="Times New Roman" w:hAnsi="Times New Roman" w:cs="Times New Roman"/>
                <w:b w:val="0"/>
                <w:bCs/>
                <w:color w:val="auto"/>
                <w:szCs w:val="21"/>
                <w:lang w:val="en-US" w:eastAsia="zh-CN"/>
              </w:rPr>
              <w:t>2</w:t>
            </w:r>
            <w:r>
              <w:rPr>
                <w:rFonts w:hint="default" w:ascii="Times New Roman" w:hAnsi="Times New Roman" w:cs="Times New Roman"/>
                <w:b w:val="0"/>
                <w:bCs/>
                <w:color w:val="auto"/>
                <w:szCs w:val="21"/>
              </w:rPr>
              <w:t>m×</w:t>
            </w:r>
            <w:r>
              <w:rPr>
                <w:rFonts w:hint="default" w:ascii="Times New Roman" w:hAnsi="Times New Roman" w:cs="Times New Roman"/>
                <w:b w:val="0"/>
                <w:bCs/>
                <w:color w:val="auto"/>
                <w:szCs w:val="21"/>
                <w:lang w:val="en-US" w:eastAsia="zh-CN"/>
              </w:rPr>
              <w:t>1.5</w:t>
            </w:r>
            <w:r>
              <w:rPr>
                <w:rFonts w:hint="default" w:ascii="Times New Roman" w:hAnsi="Times New Roman" w:cs="Times New Roman"/>
                <w:b w:val="0"/>
                <w:bCs/>
                <w:color w:val="auto"/>
                <w:szCs w:val="21"/>
              </w:rPr>
              <w:t>m</w:t>
            </w:r>
            <w:r>
              <w:rPr>
                <w:rFonts w:hint="default" w:ascii="Times New Roman" w:hAnsi="Times New Roman" w:cs="Times New Roman"/>
                <w:b w:val="0"/>
                <w:bCs/>
                <w:color w:val="auto"/>
                <w:spacing w:val="-10"/>
                <w:szCs w:val="21"/>
                <w:lang w:val="en-US" w:eastAsia="zh-CN"/>
              </w:rPr>
              <w:t>）</w:t>
            </w:r>
            <w:r>
              <w:rPr>
                <w:rFonts w:hint="default" w:ascii="Times New Roman" w:hAnsi="Times New Roman" w:eastAsia="宋体" w:cs="Times New Roman"/>
                <w:b w:val="0"/>
                <w:bCs/>
                <w:color w:val="auto"/>
                <w:sz w:val="21"/>
                <w:szCs w:val="21"/>
              </w:rPr>
              <w:t>，合计循环水量为</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r>
              <w:rPr>
                <w:rFonts w:hint="eastAsia" w:ascii="Times New Roman" w:hAnsi="Times New Roman" w:cs="Times New Roman"/>
                <w:b w:val="0"/>
                <w:bCs/>
                <w:color w:val="auto"/>
                <w:sz w:val="21"/>
                <w:szCs w:val="21"/>
                <w:lang w:val="en-US" w:eastAsia="zh-CN"/>
              </w:rPr>
              <w:t>240</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/d），由于蒸发损耗，将做定期补充，不外排。</w:t>
            </w:r>
            <w:r>
              <w:rPr>
                <w:rFonts w:hint="default" w:ascii="Times New Roman" w:hAnsi="Times New Roman" w:eastAsia="宋体" w:cs="Times New Roman"/>
                <w:color w:val="auto"/>
                <w:sz w:val="21"/>
                <w:szCs w:val="21"/>
              </w:rPr>
              <w:t>每天</w:t>
            </w:r>
            <w:r>
              <w:rPr>
                <w:rFonts w:hint="default" w:ascii="Times New Roman" w:hAnsi="Times New Roman" w:eastAsia="宋体" w:cs="Times New Roman"/>
                <w:color w:val="auto"/>
                <w:sz w:val="21"/>
                <w:szCs w:val="21"/>
                <w:lang w:eastAsia="zh-CN"/>
              </w:rPr>
              <w:t>蒸发</w:t>
            </w:r>
            <w:r>
              <w:rPr>
                <w:rFonts w:hint="default" w:ascii="Times New Roman" w:hAnsi="Times New Roman" w:eastAsia="宋体" w:cs="Times New Roman"/>
                <w:color w:val="auto"/>
                <w:sz w:val="21"/>
                <w:szCs w:val="21"/>
              </w:rPr>
              <w:t>损耗量按</w:t>
            </w:r>
            <w:r>
              <w:rPr>
                <w:rFonts w:hint="default" w:ascii="Times New Roman" w:hAnsi="Times New Roman" w:eastAsia="宋体" w:cs="Times New Roman"/>
                <w:color w:val="auto"/>
                <w:sz w:val="21"/>
                <w:szCs w:val="21"/>
                <w:lang w:eastAsia="zh-CN"/>
              </w:rPr>
              <w:t>循环水量的</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%计，</w:t>
            </w:r>
            <w:r>
              <w:rPr>
                <w:rFonts w:hint="default" w:ascii="Times New Roman" w:hAnsi="Times New Roman" w:eastAsia="宋体" w:cs="Times New Roman"/>
                <w:color w:val="auto"/>
                <w:sz w:val="21"/>
                <w:szCs w:val="21"/>
                <w:lang w:eastAsia="zh-CN"/>
              </w:rPr>
              <w:t>设备连接自来水，每天自动</w:t>
            </w:r>
            <w:r>
              <w:rPr>
                <w:rFonts w:hint="default" w:ascii="Times New Roman" w:hAnsi="Times New Roman" w:eastAsia="宋体" w:cs="Times New Roman"/>
                <w:color w:val="auto"/>
                <w:sz w:val="21"/>
                <w:szCs w:val="21"/>
              </w:rPr>
              <w:t>补充，则补充水量为</w:t>
            </w:r>
            <w:r>
              <w:rPr>
                <w:rFonts w:hint="eastAsia" w:ascii="Times New Roman" w:hAnsi="Times New Roman" w:cs="Times New Roman"/>
                <w:color w:val="auto"/>
                <w:sz w:val="21"/>
                <w:szCs w:val="21"/>
                <w:lang w:val="en-US" w:eastAsia="zh-CN"/>
              </w:rPr>
              <w:t>4.8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ascii="Times New Roman" w:hAnsi="Times New Roman" w:cs="Times New Roman"/>
                <w:color w:val="auto"/>
                <w:sz w:val="21"/>
                <w:szCs w:val="21"/>
                <w:lang w:val="en-US" w:eastAsia="zh-CN"/>
              </w:rPr>
              <w:t>1440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p w14:paraId="23A1F24B">
            <w:pPr>
              <w:adjustRightInd w:val="0"/>
              <w:snapToGrid w:val="0"/>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eastAsia" w:ascii="Times New Roman" w:hAnsi="Times New Roman" w:cs="Times New Roman"/>
                <w:b/>
                <w:color w:val="auto"/>
                <w:szCs w:val="21"/>
                <w:lang w:val="en-US" w:eastAsia="zh-CN"/>
              </w:rPr>
              <w:t>6</w:t>
            </w:r>
            <w:r>
              <w:rPr>
                <w:rFonts w:hint="default" w:ascii="Times New Roman" w:hAnsi="Times New Roman" w:eastAsia="宋体" w:cs="Times New Roman"/>
                <w:b/>
                <w:color w:val="auto"/>
                <w:szCs w:val="21"/>
              </w:rPr>
              <w:t xml:space="preserve">  项目给、排水情况一览表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2"/>
              <w:gridCol w:w="1376"/>
              <w:gridCol w:w="1317"/>
              <w:gridCol w:w="831"/>
              <w:gridCol w:w="1130"/>
              <w:gridCol w:w="874"/>
              <w:gridCol w:w="1023"/>
            </w:tblGrid>
            <w:tr w14:paraId="01C5C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30" w:type="pct"/>
                  <w:gridSpan w:val="2"/>
                  <w:vMerge w:val="restart"/>
                  <w:noWrap w:val="0"/>
                  <w:vAlign w:val="center"/>
                </w:tcPr>
                <w:p w14:paraId="5748D5A8">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类别</w:t>
                  </w:r>
                </w:p>
              </w:tc>
              <w:tc>
                <w:tcPr>
                  <w:tcW w:w="832" w:type="pct"/>
                  <w:vMerge w:val="restart"/>
                  <w:noWrap w:val="0"/>
                  <w:vAlign w:val="center"/>
                </w:tcPr>
                <w:p w14:paraId="06EA9F61">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用水标准</w:t>
                  </w:r>
                </w:p>
              </w:tc>
              <w:tc>
                <w:tcPr>
                  <w:tcW w:w="1239" w:type="pct"/>
                  <w:gridSpan w:val="2"/>
                  <w:noWrap w:val="0"/>
                  <w:tcMar>
                    <w:left w:w="0" w:type="dxa"/>
                    <w:right w:w="0" w:type="dxa"/>
                  </w:tcMar>
                  <w:vAlign w:val="center"/>
                </w:tcPr>
                <w:p w14:paraId="2172C9B9">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用量</w:t>
                  </w:r>
                </w:p>
              </w:tc>
              <w:tc>
                <w:tcPr>
                  <w:tcW w:w="1198" w:type="pct"/>
                  <w:gridSpan w:val="2"/>
                  <w:noWrap w:val="0"/>
                  <w:tcMar>
                    <w:left w:w="0" w:type="dxa"/>
                    <w:right w:w="0" w:type="dxa"/>
                  </w:tcMar>
                  <w:vAlign w:val="center"/>
                </w:tcPr>
                <w:p w14:paraId="257F3A41">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排水量</w:t>
                  </w:r>
                </w:p>
              </w:tc>
            </w:tr>
            <w:tr w14:paraId="38B31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30" w:type="pct"/>
                  <w:gridSpan w:val="2"/>
                  <w:vMerge w:val="continue"/>
                  <w:noWrap w:val="0"/>
                  <w:vAlign w:val="center"/>
                </w:tcPr>
                <w:p w14:paraId="4BD8BA54">
                  <w:pPr>
                    <w:jc w:val="center"/>
                    <w:rPr>
                      <w:rFonts w:hint="default" w:ascii="Times New Roman" w:hAnsi="Times New Roman" w:eastAsia="宋体" w:cs="Times New Roman"/>
                      <w:bCs/>
                      <w:color w:val="auto"/>
                      <w:sz w:val="18"/>
                      <w:szCs w:val="18"/>
                    </w:rPr>
                  </w:pPr>
                </w:p>
              </w:tc>
              <w:tc>
                <w:tcPr>
                  <w:tcW w:w="832" w:type="pct"/>
                  <w:vMerge w:val="continue"/>
                  <w:noWrap w:val="0"/>
                  <w:vAlign w:val="center"/>
                </w:tcPr>
                <w:p w14:paraId="52A61484">
                  <w:pPr>
                    <w:jc w:val="center"/>
                    <w:rPr>
                      <w:rFonts w:hint="default" w:ascii="Times New Roman" w:hAnsi="Times New Roman" w:eastAsia="宋体" w:cs="Times New Roman"/>
                      <w:bCs/>
                      <w:color w:val="auto"/>
                      <w:sz w:val="18"/>
                      <w:szCs w:val="18"/>
                    </w:rPr>
                  </w:pPr>
                </w:p>
              </w:tc>
              <w:tc>
                <w:tcPr>
                  <w:tcW w:w="525" w:type="pct"/>
                  <w:noWrap w:val="0"/>
                  <w:tcMar>
                    <w:left w:w="0" w:type="dxa"/>
                    <w:right w:w="0" w:type="dxa"/>
                  </w:tcMar>
                  <w:vAlign w:val="center"/>
                </w:tcPr>
                <w:p w14:paraId="7E0A2905">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日用水量（</w:t>
                  </w:r>
                  <w:r>
                    <w:rPr>
                      <w:rFonts w:hint="default" w:ascii="Times New Roman" w:hAnsi="Times New Roman" w:eastAsia="宋体" w:cs="Times New Roman"/>
                      <w:bCs/>
                      <w:color w:val="auto"/>
                      <w:sz w:val="18"/>
                      <w:szCs w:val="18"/>
                      <w:highlight w:val="none"/>
                    </w:rPr>
                    <w:t>m</w:t>
                  </w:r>
                  <w:r>
                    <w:rPr>
                      <w:rFonts w:hint="default" w:ascii="Times New Roman" w:hAnsi="Times New Roman" w:eastAsia="宋体" w:cs="Times New Roman"/>
                      <w:bCs/>
                      <w:color w:val="auto"/>
                      <w:sz w:val="18"/>
                      <w:szCs w:val="18"/>
                      <w:highlight w:val="none"/>
                      <w:vertAlign w:val="superscript"/>
                    </w:rPr>
                    <w:t>3</w:t>
                  </w:r>
                  <w:r>
                    <w:rPr>
                      <w:rFonts w:hint="default" w:ascii="Times New Roman" w:hAnsi="Times New Roman" w:eastAsia="宋体" w:cs="Times New Roman"/>
                      <w:bCs/>
                      <w:color w:val="auto"/>
                      <w:sz w:val="18"/>
                      <w:szCs w:val="18"/>
                    </w:rPr>
                    <w:t>/d）</w:t>
                  </w:r>
                </w:p>
              </w:tc>
              <w:tc>
                <w:tcPr>
                  <w:tcW w:w="714" w:type="pct"/>
                  <w:noWrap w:val="0"/>
                  <w:vAlign w:val="center"/>
                </w:tcPr>
                <w:p w14:paraId="17EDB704">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年用水量</w:t>
                  </w:r>
                </w:p>
                <w:p w14:paraId="09D29675">
                  <w:pPr>
                    <w:jc w:val="center"/>
                    <w:rPr>
                      <w:rFonts w:hint="default" w:ascii="Times New Roman" w:hAnsi="Times New Roman" w:eastAsia="宋体" w:cs="Times New Roman"/>
                      <w:bCs/>
                      <w:color w:val="auto"/>
                      <w:sz w:val="18"/>
                      <w:szCs w:val="18"/>
                    </w:rPr>
                  </w:pPr>
                  <w:r>
                    <w:rPr>
                      <w:rFonts w:hint="eastAsia" w:cs="Times New Roman"/>
                      <w:bCs/>
                      <w:color w:val="auto"/>
                      <w:sz w:val="18"/>
                      <w:szCs w:val="18"/>
                      <w:highlight w:val="none"/>
                      <w:lang w:eastAsia="zh-CN"/>
                    </w:rPr>
                    <w:t>(</w:t>
                  </w:r>
                  <w:r>
                    <w:rPr>
                      <w:rFonts w:hint="default" w:ascii="Times New Roman" w:hAnsi="Times New Roman" w:eastAsia="宋体" w:cs="Times New Roman"/>
                      <w:bCs/>
                      <w:color w:val="auto"/>
                      <w:sz w:val="18"/>
                      <w:szCs w:val="18"/>
                      <w:highlight w:val="none"/>
                    </w:rPr>
                    <w:t>m</w:t>
                  </w:r>
                  <w:r>
                    <w:rPr>
                      <w:rFonts w:hint="default" w:ascii="Times New Roman" w:hAnsi="Times New Roman" w:eastAsia="宋体" w:cs="Times New Roman"/>
                      <w:bCs/>
                      <w:color w:val="auto"/>
                      <w:sz w:val="18"/>
                      <w:szCs w:val="18"/>
                      <w:highlight w:val="none"/>
                      <w:vertAlign w:val="superscript"/>
                    </w:rPr>
                    <w:t>3</w:t>
                  </w:r>
                  <w:r>
                    <w:rPr>
                      <w:rFonts w:hint="default" w:ascii="Times New Roman" w:hAnsi="Times New Roman" w:eastAsia="宋体" w:cs="Times New Roman"/>
                      <w:bCs/>
                      <w:color w:val="auto"/>
                      <w:sz w:val="18"/>
                      <w:szCs w:val="18"/>
                    </w:rPr>
                    <w:t>/a</w:t>
                  </w:r>
                  <w:r>
                    <w:rPr>
                      <w:rFonts w:hint="eastAsia" w:cs="Times New Roman"/>
                      <w:bCs/>
                      <w:color w:val="auto"/>
                      <w:sz w:val="18"/>
                      <w:szCs w:val="18"/>
                      <w:lang w:eastAsia="zh-CN"/>
                    </w:rPr>
                    <w:t>)</w:t>
                  </w:r>
                </w:p>
              </w:tc>
              <w:tc>
                <w:tcPr>
                  <w:tcW w:w="552" w:type="pct"/>
                  <w:noWrap w:val="0"/>
                  <w:tcMar>
                    <w:left w:w="0" w:type="dxa"/>
                    <w:right w:w="0" w:type="dxa"/>
                  </w:tcMar>
                  <w:vAlign w:val="center"/>
                </w:tcPr>
                <w:p w14:paraId="10DAEFFB">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日排水量</w:t>
                  </w:r>
                  <w:r>
                    <w:rPr>
                      <w:rFonts w:hint="default" w:ascii="Times New Roman" w:hAnsi="Times New Roman" w:eastAsia="宋体" w:cs="Times New Roman"/>
                      <w:bCs/>
                      <w:color w:val="auto"/>
                      <w:sz w:val="18"/>
                      <w:szCs w:val="18"/>
                      <w:highlight w:val="none"/>
                      <w:lang w:eastAsia="zh-CN"/>
                    </w:rPr>
                    <w:t>（</w:t>
                  </w:r>
                  <w:r>
                    <w:rPr>
                      <w:rFonts w:hint="default" w:ascii="Times New Roman" w:hAnsi="Times New Roman" w:eastAsia="宋体" w:cs="Times New Roman"/>
                      <w:bCs/>
                      <w:color w:val="auto"/>
                      <w:sz w:val="18"/>
                      <w:szCs w:val="18"/>
                      <w:highlight w:val="none"/>
                    </w:rPr>
                    <w:t>m</w:t>
                  </w:r>
                  <w:r>
                    <w:rPr>
                      <w:rFonts w:hint="default" w:ascii="Times New Roman" w:hAnsi="Times New Roman" w:eastAsia="宋体" w:cs="Times New Roman"/>
                      <w:bCs/>
                      <w:color w:val="auto"/>
                      <w:sz w:val="18"/>
                      <w:szCs w:val="18"/>
                      <w:highlight w:val="none"/>
                      <w:vertAlign w:val="superscript"/>
                    </w:rPr>
                    <w:t>3</w:t>
                  </w:r>
                  <w:r>
                    <w:rPr>
                      <w:rFonts w:hint="default" w:ascii="Times New Roman" w:hAnsi="Times New Roman" w:eastAsia="宋体" w:cs="Times New Roman"/>
                      <w:bCs/>
                      <w:color w:val="auto"/>
                      <w:sz w:val="18"/>
                      <w:szCs w:val="18"/>
                    </w:rPr>
                    <w:t>/d）</w:t>
                  </w:r>
                </w:p>
              </w:tc>
              <w:tc>
                <w:tcPr>
                  <w:tcW w:w="645" w:type="pct"/>
                  <w:noWrap w:val="0"/>
                  <w:vAlign w:val="center"/>
                </w:tcPr>
                <w:p w14:paraId="55191FE0">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年排水量</w:t>
                  </w:r>
                </w:p>
                <w:p w14:paraId="5D09D2FC">
                  <w:pPr>
                    <w:jc w:val="center"/>
                    <w:rPr>
                      <w:rFonts w:hint="default" w:ascii="Times New Roman" w:hAnsi="Times New Roman" w:eastAsia="宋体" w:cs="Times New Roman"/>
                      <w:bCs/>
                      <w:color w:val="auto"/>
                      <w:sz w:val="18"/>
                      <w:szCs w:val="18"/>
                    </w:rPr>
                  </w:pPr>
                  <w:r>
                    <w:rPr>
                      <w:rFonts w:hint="eastAsia" w:cs="Times New Roman"/>
                      <w:bCs/>
                      <w:color w:val="auto"/>
                      <w:sz w:val="18"/>
                      <w:szCs w:val="18"/>
                      <w:highlight w:val="none"/>
                      <w:lang w:eastAsia="zh-CN"/>
                    </w:rPr>
                    <w:t>(</w:t>
                  </w:r>
                  <w:r>
                    <w:rPr>
                      <w:rFonts w:hint="default" w:ascii="Times New Roman" w:hAnsi="Times New Roman" w:eastAsia="宋体" w:cs="Times New Roman"/>
                      <w:bCs/>
                      <w:color w:val="auto"/>
                      <w:sz w:val="18"/>
                      <w:szCs w:val="18"/>
                      <w:highlight w:val="none"/>
                    </w:rPr>
                    <w:t>m</w:t>
                  </w:r>
                  <w:r>
                    <w:rPr>
                      <w:rFonts w:hint="default" w:ascii="Times New Roman" w:hAnsi="Times New Roman" w:eastAsia="宋体" w:cs="Times New Roman"/>
                      <w:bCs/>
                      <w:color w:val="auto"/>
                      <w:sz w:val="18"/>
                      <w:szCs w:val="18"/>
                      <w:highlight w:val="none"/>
                      <w:vertAlign w:val="superscript"/>
                    </w:rPr>
                    <w:t>3</w:t>
                  </w:r>
                  <w:r>
                    <w:rPr>
                      <w:rFonts w:hint="default" w:ascii="Times New Roman" w:hAnsi="Times New Roman" w:eastAsia="宋体" w:cs="Times New Roman"/>
                      <w:bCs/>
                      <w:color w:val="auto"/>
                      <w:sz w:val="18"/>
                      <w:szCs w:val="18"/>
                    </w:rPr>
                    <w:t>/a</w:t>
                  </w:r>
                  <w:r>
                    <w:rPr>
                      <w:rFonts w:hint="eastAsia" w:cs="Times New Roman"/>
                      <w:bCs/>
                      <w:color w:val="auto"/>
                      <w:sz w:val="18"/>
                      <w:szCs w:val="18"/>
                      <w:lang w:eastAsia="zh-CN"/>
                    </w:rPr>
                    <w:t>)</w:t>
                  </w:r>
                </w:p>
              </w:tc>
            </w:tr>
            <w:tr w14:paraId="49AB2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861" w:type="pct"/>
                  <w:vMerge w:val="restart"/>
                  <w:noWrap w:val="0"/>
                  <w:vAlign w:val="center"/>
                </w:tcPr>
                <w:p w14:paraId="7E1DE65B">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生活用水</w:t>
                  </w:r>
                </w:p>
              </w:tc>
              <w:tc>
                <w:tcPr>
                  <w:tcW w:w="869" w:type="pct"/>
                  <w:noWrap w:val="0"/>
                  <w:vAlign w:val="center"/>
                </w:tcPr>
                <w:p w14:paraId="4D6B8B1A">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员工（</w:t>
                  </w:r>
                  <w:r>
                    <w:rPr>
                      <w:rFonts w:hint="eastAsia" w:ascii="Times New Roman" w:hAnsi="Times New Roman" w:cs="Times New Roman"/>
                      <w:bCs/>
                      <w:color w:val="auto"/>
                      <w:sz w:val="18"/>
                      <w:szCs w:val="18"/>
                      <w:lang w:val="en-US" w:eastAsia="zh-CN"/>
                    </w:rPr>
                    <w:t>20人</w:t>
                  </w:r>
                  <w:r>
                    <w:rPr>
                      <w:rFonts w:hint="default" w:ascii="Times New Roman" w:hAnsi="Times New Roman" w:eastAsia="宋体" w:cs="Times New Roman"/>
                      <w:bCs/>
                      <w:color w:val="auto"/>
                      <w:sz w:val="18"/>
                      <w:szCs w:val="18"/>
                    </w:rPr>
                    <w:t>）</w:t>
                  </w:r>
                </w:p>
              </w:tc>
              <w:tc>
                <w:tcPr>
                  <w:tcW w:w="832" w:type="pct"/>
                  <w:noWrap w:val="0"/>
                  <w:vAlign w:val="center"/>
                </w:tcPr>
                <w:p w14:paraId="0CFE1CAA">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50L/人·d</w:t>
                  </w:r>
                </w:p>
              </w:tc>
              <w:tc>
                <w:tcPr>
                  <w:tcW w:w="525" w:type="pct"/>
                  <w:noWrap w:val="0"/>
                  <w:vAlign w:val="center"/>
                </w:tcPr>
                <w:p w14:paraId="1189714C">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w:t>
                  </w:r>
                </w:p>
              </w:tc>
              <w:tc>
                <w:tcPr>
                  <w:tcW w:w="714" w:type="pct"/>
                  <w:noWrap w:val="0"/>
                  <w:vAlign w:val="center"/>
                </w:tcPr>
                <w:p w14:paraId="5E18348B">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300</w:t>
                  </w:r>
                </w:p>
              </w:tc>
              <w:tc>
                <w:tcPr>
                  <w:tcW w:w="552" w:type="pct"/>
                  <w:noWrap w:val="0"/>
                  <w:vAlign w:val="center"/>
                </w:tcPr>
                <w:p w14:paraId="7B785E67">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0.9</w:t>
                  </w:r>
                </w:p>
              </w:tc>
              <w:tc>
                <w:tcPr>
                  <w:tcW w:w="645" w:type="pct"/>
                  <w:noWrap w:val="0"/>
                  <w:vAlign w:val="center"/>
                </w:tcPr>
                <w:p w14:paraId="4D6A95D6">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270</w:t>
                  </w:r>
                </w:p>
              </w:tc>
            </w:tr>
            <w:tr w14:paraId="65C66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861" w:type="pct"/>
                  <w:vMerge w:val="continue"/>
                  <w:noWrap w:val="0"/>
                  <w:vAlign w:val="center"/>
                </w:tcPr>
                <w:p w14:paraId="082E02B8">
                  <w:pPr>
                    <w:jc w:val="center"/>
                    <w:rPr>
                      <w:rFonts w:hint="default" w:ascii="Times New Roman" w:hAnsi="Times New Roman" w:eastAsia="宋体" w:cs="Times New Roman"/>
                      <w:bCs/>
                      <w:color w:val="auto"/>
                      <w:sz w:val="18"/>
                      <w:szCs w:val="18"/>
                    </w:rPr>
                  </w:pPr>
                </w:p>
              </w:tc>
              <w:tc>
                <w:tcPr>
                  <w:tcW w:w="869" w:type="pct"/>
                  <w:noWrap w:val="0"/>
                  <w:vAlign w:val="center"/>
                </w:tcPr>
                <w:p w14:paraId="5EA73ABC">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eastAsia="zh-CN"/>
                    </w:rPr>
                    <w:t>地面清洁废水</w:t>
                  </w:r>
                </w:p>
              </w:tc>
              <w:tc>
                <w:tcPr>
                  <w:tcW w:w="832" w:type="pct"/>
                  <w:noWrap w:val="0"/>
                  <w:vAlign w:val="center"/>
                </w:tcPr>
                <w:p w14:paraId="74194DBA">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rPr>
                    <w:t>0.5L/（</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rPr>
                    <w:t>.次）</w:t>
                  </w:r>
                </w:p>
              </w:tc>
              <w:tc>
                <w:tcPr>
                  <w:tcW w:w="525" w:type="pct"/>
                  <w:noWrap w:val="0"/>
                  <w:vAlign w:val="center"/>
                </w:tcPr>
                <w:p w14:paraId="3B86CDA7">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0.08</w:t>
                  </w:r>
                </w:p>
              </w:tc>
              <w:tc>
                <w:tcPr>
                  <w:tcW w:w="714" w:type="pct"/>
                  <w:noWrap w:val="0"/>
                  <w:vAlign w:val="center"/>
                </w:tcPr>
                <w:p w14:paraId="123CE5D6">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240</w:t>
                  </w:r>
                </w:p>
              </w:tc>
              <w:tc>
                <w:tcPr>
                  <w:tcW w:w="552" w:type="pct"/>
                  <w:noWrap w:val="0"/>
                  <w:vAlign w:val="center"/>
                </w:tcPr>
                <w:p w14:paraId="2121A584">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0.072</w:t>
                  </w:r>
                </w:p>
              </w:tc>
              <w:tc>
                <w:tcPr>
                  <w:tcW w:w="645" w:type="pct"/>
                  <w:noWrap w:val="0"/>
                  <w:vAlign w:val="center"/>
                </w:tcPr>
                <w:p w14:paraId="0BB4643C">
                  <w:pPr>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21.6</w:t>
                  </w:r>
                </w:p>
              </w:tc>
            </w:tr>
            <w:tr w14:paraId="49D85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861" w:type="pct"/>
                  <w:noWrap w:val="0"/>
                  <w:vAlign w:val="center"/>
                </w:tcPr>
                <w:p w14:paraId="0018A964">
                  <w:pPr>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eastAsia="zh-CN"/>
                    </w:rPr>
                    <w:t>冷却塔</w:t>
                  </w:r>
                </w:p>
              </w:tc>
              <w:tc>
                <w:tcPr>
                  <w:tcW w:w="869" w:type="pct"/>
                  <w:noWrap w:val="0"/>
                  <w:vAlign w:val="center"/>
                </w:tcPr>
                <w:p w14:paraId="11F63D47">
                  <w:pPr>
                    <w:jc w:val="center"/>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补充用水</w:t>
                  </w:r>
                </w:p>
              </w:tc>
              <w:tc>
                <w:tcPr>
                  <w:tcW w:w="832" w:type="pct"/>
                  <w:noWrap w:val="0"/>
                  <w:vAlign w:val="center"/>
                </w:tcPr>
                <w:p w14:paraId="7DDBECE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p>
              </w:tc>
              <w:tc>
                <w:tcPr>
                  <w:tcW w:w="525" w:type="pct"/>
                  <w:noWrap w:val="0"/>
                  <w:vAlign w:val="center"/>
                </w:tcPr>
                <w:p w14:paraId="7111AEA5">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4.8</w:t>
                  </w:r>
                </w:p>
              </w:tc>
              <w:tc>
                <w:tcPr>
                  <w:tcW w:w="714" w:type="pct"/>
                  <w:noWrap w:val="0"/>
                  <w:vAlign w:val="center"/>
                </w:tcPr>
                <w:p w14:paraId="3EA86054">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1440</w:t>
                  </w:r>
                </w:p>
              </w:tc>
              <w:tc>
                <w:tcPr>
                  <w:tcW w:w="552" w:type="pct"/>
                  <w:noWrap w:val="0"/>
                  <w:vAlign w:val="center"/>
                </w:tcPr>
                <w:p w14:paraId="0C8B7059">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645" w:type="pct"/>
                  <w:noWrap w:val="0"/>
                  <w:vAlign w:val="center"/>
                </w:tcPr>
                <w:p w14:paraId="188F0663">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r>
            <w:tr w14:paraId="435A9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2562" w:type="pct"/>
                  <w:gridSpan w:val="3"/>
                  <w:noWrap w:val="0"/>
                  <w:vAlign w:val="center"/>
                </w:tcPr>
                <w:p w14:paraId="2959A8D5">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合计</w:t>
                  </w:r>
                </w:p>
              </w:tc>
              <w:tc>
                <w:tcPr>
                  <w:tcW w:w="831" w:type="dxa"/>
                  <w:noWrap w:val="0"/>
                  <w:vAlign w:val="center"/>
                </w:tcPr>
                <w:p w14:paraId="2E81A8BE">
                  <w:pPr>
                    <w:jc w:val="center"/>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5.88</w:t>
                  </w:r>
                </w:p>
              </w:tc>
              <w:tc>
                <w:tcPr>
                  <w:tcW w:w="1130" w:type="dxa"/>
                  <w:noWrap w:val="0"/>
                  <w:vAlign w:val="center"/>
                </w:tcPr>
                <w:p w14:paraId="58EABB16">
                  <w:pPr>
                    <w:jc w:val="center"/>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1980</w:t>
                  </w:r>
                </w:p>
              </w:tc>
              <w:tc>
                <w:tcPr>
                  <w:tcW w:w="874" w:type="dxa"/>
                  <w:noWrap w:val="0"/>
                  <w:vAlign w:val="center"/>
                </w:tcPr>
                <w:p w14:paraId="0FD559F8">
                  <w:pPr>
                    <w:jc w:val="center"/>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0.972</w:t>
                  </w:r>
                </w:p>
              </w:tc>
              <w:tc>
                <w:tcPr>
                  <w:tcW w:w="1023" w:type="dxa"/>
                  <w:noWrap w:val="0"/>
                  <w:vAlign w:val="center"/>
                </w:tcPr>
                <w:p w14:paraId="47A21827">
                  <w:pPr>
                    <w:jc w:val="center"/>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291.6</w:t>
                  </w:r>
                </w:p>
              </w:tc>
            </w:tr>
          </w:tbl>
          <w:p w14:paraId="52C2A1A7">
            <w:pPr>
              <w:adjustRightInd w:val="0"/>
              <w:snapToGrid w:val="0"/>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水平衡图：</w:t>
            </w:r>
          </w:p>
          <w:p w14:paraId="3451BE51">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Cs w:val="21"/>
                <w:lang w:val="en-US" w:eastAsia="zh-CN"/>
              </w:rPr>
              <w:drawing>
                <wp:inline distT="0" distB="0" distL="114300" distR="114300">
                  <wp:extent cx="4753610" cy="1819910"/>
                  <wp:effectExtent l="0" t="0" r="8890" b="8890"/>
                  <wp:docPr id="5" name="F360BE8B-6686-4F3D-AEAF-501FE73E4058-1" descr="C:/Users/Administrator/AppData/Local/Temp/绘图1(4).png绘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Administrator/AppData/Local/Temp/绘图1(4).png绘图1(4)"/>
                          <pic:cNvPicPr>
                            <a:picLocks noChangeAspect="1"/>
                          </pic:cNvPicPr>
                        </pic:nvPicPr>
                        <pic:blipFill>
                          <a:blip r:embed="rId16"/>
                          <a:stretch>
                            <a:fillRect/>
                          </a:stretch>
                        </pic:blipFill>
                        <pic:spPr>
                          <a:xfrm>
                            <a:off x="0" y="0"/>
                            <a:ext cx="4753610" cy="1819910"/>
                          </a:xfrm>
                          <a:prstGeom prst="rect">
                            <a:avLst/>
                          </a:prstGeom>
                          <a:noFill/>
                          <a:ln>
                            <a:noFill/>
                          </a:ln>
                        </pic:spPr>
                      </pic:pic>
                    </a:graphicData>
                  </a:graphic>
                </wp:inline>
              </w:drawing>
            </w:r>
          </w:p>
          <w:p w14:paraId="4A859024">
            <w:pPr>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图4.1 </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水平衡图（单位：</w:t>
            </w:r>
            <w:r>
              <w:rPr>
                <w:rFonts w:hint="default" w:ascii="Times New Roman" w:hAnsi="Times New Roman" w:eastAsia="宋体" w:cs="Times New Roman"/>
                <w:b/>
                <w:color w:val="auto"/>
                <w:szCs w:val="21"/>
                <w:highlight w:val="none"/>
              </w:rPr>
              <w:t>m</w:t>
            </w:r>
            <w:r>
              <w:rPr>
                <w:rFonts w:hint="default" w:ascii="Times New Roman" w:hAnsi="Times New Roman" w:eastAsia="宋体" w:cs="Times New Roman"/>
                <w:b/>
                <w:color w:val="auto"/>
                <w:szCs w:val="21"/>
                <w:highlight w:val="none"/>
                <w:vertAlign w:val="superscript"/>
              </w:rPr>
              <w:t>3</w:t>
            </w:r>
            <w:r>
              <w:rPr>
                <w:rFonts w:hint="default" w:ascii="Times New Roman" w:hAnsi="Times New Roman" w:eastAsia="宋体" w:cs="Times New Roman"/>
                <w:b/>
                <w:color w:val="auto"/>
                <w:szCs w:val="21"/>
              </w:rPr>
              <w:t>/d）</w:t>
            </w:r>
          </w:p>
          <w:p w14:paraId="5FD01C76">
            <w:pPr>
              <w:adjustRightInd w:val="0"/>
              <w:snapToGrid w:val="0"/>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本项目营运期产生的</w:t>
            </w:r>
            <w:r>
              <w:rPr>
                <w:rFonts w:hint="eastAsia" w:ascii="Times New Roman" w:hAnsi="Times New Roman" w:cs="Times New Roman"/>
                <w:color w:val="auto"/>
                <w:sz w:val="21"/>
                <w:szCs w:val="21"/>
                <w:lang w:val="en-US" w:eastAsia="zh-CN"/>
              </w:rPr>
              <w:t>地面清洁废水与生活污水</w:t>
            </w:r>
            <w:r>
              <w:rPr>
                <w:rFonts w:hint="default" w:ascii="Times New Roman" w:hAnsi="Times New Roman" w:eastAsia="宋体" w:cs="Times New Roman"/>
                <w:color w:val="auto"/>
                <w:sz w:val="21"/>
                <w:szCs w:val="21"/>
                <w:lang w:val="en-US" w:eastAsia="zh-CN"/>
              </w:rPr>
              <w:t>一起</w:t>
            </w:r>
            <w:r>
              <w:rPr>
                <w:rFonts w:hint="eastAsia" w:ascii="Times New Roman" w:hAnsi="Times New Roman" w:cs="Times New Roman"/>
                <w:color w:val="auto"/>
                <w:sz w:val="21"/>
                <w:szCs w:val="21"/>
                <w:lang w:val="en-US" w:eastAsia="zh-CN"/>
              </w:rPr>
              <w:t>排入重庆三花门业现有生化池处理达</w:t>
            </w:r>
            <w:r>
              <w:rPr>
                <w:rFonts w:hint="default" w:ascii="Times New Roman" w:hAnsi="Times New Roman" w:eastAsia="宋体" w:cs="Times New Roman"/>
                <w:color w:val="auto"/>
                <w:sz w:val="21"/>
                <w:szCs w:val="21"/>
              </w:rPr>
              <w:t>《污水综合排放标准》（</w:t>
            </w:r>
            <w:r>
              <w:rPr>
                <w:rFonts w:hint="eastAsia" w:cs="Times New Roman"/>
                <w:color w:val="auto"/>
                <w:sz w:val="21"/>
                <w:szCs w:val="21"/>
                <w:lang w:eastAsia="zh-CN"/>
              </w:rPr>
              <w:t>GB 8978</w:t>
            </w:r>
            <w:r>
              <w:rPr>
                <w:rFonts w:hint="default" w:ascii="Times New Roman" w:hAnsi="Times New Roman" w:eastAsia="宋体" w:cs="Times New Roman"/>
                <w:color w:val="auto"/>
                <w:sz w:val="21"/>
                <w:szCs w:val="21"/>
              </w:rPr>
              <w:t>-1996）三级标准后</w:t>
            </w:r>
            <w:r>
              <w:rPr>
                <w:rFonts w:hint="default" w:ascii="Times New Roman" w:hAnsi="Times New Roman" w:eastAsia="宋体" w:cs="Times New Roman"/>
                <w:color w:val="auto"/>
                <w:sz w:val="21"/>
                <w:szCs w:val="21"/>
                <w:lang w:eastAsia="zh-CN"/>
              </w:rPr>
              <w:t>排</w:t>
            </w:r>
            <w:r>
              <w:rPr>
                <w:rFonts w:hint="default" w:ascii="Times New Roman" w:hAnsi="Times New Roman" w:eastAsia="宋体" w:cs="Times New Roman"/>
                <w:color w:val="auto"/>
                <w:sz w:val="21"/>
                <w:szCs w:val="21"/>
              </w:rPr>
              <w:t>入</w:t>
            </w:r>
            <w:r>
              <w:rPr>
                <w:rFonts w:hint="default" w:ascii="Times New Roman" w:hAnsi="Times New Roman" w:eastAsia="宋体" w:cs="Times New Roman"/>
                <w:color w:val="auto"/>
                <w:sz w:val="21"/>
                <w:szCs w:val="21"/>
                <w:lang w:eastAsia="zh-CN"/>
              </w:rPr>
              <w:t>园区</w:t>
            </w:r>
            <w:r>
              <w:rPr>
                <w:rFonts w:hint="default" w:ascii="Times New Roman" w:hAnsi="Times New Roman" w:eastAsia="宋体" w:cs="Times New Roman"/>
                <w:color w:val="auto"/>
                <w:sz w:val="21"/>
                <w:szCs w:val="21"/>
              </w:rPr>
              <w:t>污水管网进入</w:t>
            </w:r>
            <w:r>
              <w:rPr>
                <w:rFonts w:hint="eastAsia" w:ascii="Times New Roman" w:hAnsi="Times New Roman" w:cs="Times New Roman"/>
                <w:color w:val="auto"/>
                <w:sz w:val="21"/>
                <w:szCs w:val="21"/>
                <w:lang w:eastAsia="zh-CN"/>
              </w:rPr>
              <w:t>南溪组团A区污水处理厂</w:t>
            </w:r>
            <w:r>
              <w:rPr>
                <w:rFonts w:hint="default" w:ascii="Times New Roman" w:hAnsi="Times New Roman" w:eastAsia="宋体" w:cs="Times New Roman"/>
                <w:color w:val="auto"/>
                <w:sz w:val="21"/>
                <w:szCs w:val="21"/>
              </w:rPr>
              <w:t>进一步处理</w:t>
            </w:r>
            <w:r>
              <w:rPr>
                <w:rFonts w:hint="eastAsia" w:ascii="Times New Roman" w:hAnsi="Times New Roman" w:cs="Times New Roman"/>
                <w:color w:val="auto"/>
                <w:sz w:val="21"/>
                <w:szCs w:val="21"/>
                <w:lang w:eastAsia="zh-CN"/>
              </w:rPr>
              <w:t>达《城镇污水处理厂污染物排放标准》（</w:t>
            </w:r>
            <w:r>
              <w:rPr>
                <w:rFonts w:hint="eastAsia" w:cs="Times New Roman"/>
                <w:color w:val="auto"/>
                <w:sz w:val="21"/>
                <w:szCs w:val="21"/>
                <w:lang w:eastAsia="zh-CN"/>
              </w:rPr>
              <w:t>GB 1891</w:t>
            </w:r>
            <w:r>
              <w:rPr>
                <w:rFonts w:hint="eastAsia" w:ascii="Times New Roman" w:hAnsi="Times New Roman" w:cs="Times New Roman"/>
                <w:color w:val="auto"/>
                <w:sz w:val="21"/>
                <w:szCs w:val="21"/>
                <w:lang w:eastAsia="zh-CN"/>
              </w:rPr>
              <w:t>8-2002）一级B标后排入建梁河，最后汇入嘉陵江</w:t>
            </w:r>
            <w:r>
              <w:rPr>
                <w:rFonts w:hint="default" w:ascii="Times New Roman" w:hAnsi="Times New Roman" w:eastAsia="宋体" w:cs="Times New Roman"/>
                <w:color w:val="auto"/>
                <w:sz w:val="21"/>
                <w:szCs w:val="21"/>
              </w:rPr>
              <w:t>。</w:t>
            </w:r>
          </w:p>
          <w:p w14:paraId="18BC9D40">
            <w:pPr>
              <w:adjustRightInd w:val="0"/>
              <w:snapToGrid w:val="0"/>
              <w:spacing w:line="360" w:lineRule="auto"/>
              <w:ind w:firstLine="480" w:firstLineChars="200"/>
              <w:rPr>
                <w:rFonts w:hint="default" w:ascii="Times New Roman" w:hAnsi="Times New Roman" w:cs="Times New Roman"/>
                <w:bCs/>
                <w:color w:val="auto"/>
                <w:sz w:val="24"/>
              </w:rPr>
            </w:pPr>
          </w:p>
        </w:tc>
      </w:tr>
    </w:tbl>
    <w:p w14:paraId="644C283A">
      <w:pPr>
        <w:pStyle w:val="26"/>
        <w:outlineLvl w:val="0"/>
        <w:rPr>
          <w:rFonts w:hint="default" w:ascii="Times New Roman" w:hAnsi="Times New Roman"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24AC71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cs="Times New Roman"/>
          <w:b/>
          <w:snapToGrid w:val="0"/>
          <w:color w:val="auto"/>
          <w:sz w:val="21"/>
          <w:szCs w:val="21"/>
          <w:lang w:eastAsia="zh-CN"/>
        </w:rPr>
      </w:pPr>
      <w:r>
        <w:rPr>
          <w:rFonts w:hint="default" w:ascii="Times New Roman" w:hAnsi="Times New Roman" w:cs="Times New Roman"/>
          <w:b/>
          <w:snapToGrid w:val="0"/>
          <w:color w:val="auto"/>
          <w:sz w:val="21"/>
          <w:szCs w:val="21"/>
          <w:lang w:eastAsia="zh-CN"/>
        </w:rPr>
        <w:t>表4-</w:t>
      </w:r>
      <w:r>
        <w:rPr>
          <w:rFonts w:hint="eastAsia" w:ascii="Times New Roman" w:hAnsi="Times New Roman" w:cs="Times New Roman"/>
          <w:b/>
          <w:snapToGrid w:val="0"/>
          <w:color w:val="auto"/>
          <w:sz w:val="21"/>
          <w:szCs w:val="21"/>
          <w:lang w:val="en-US" w:eastAsia="zh-CN"/>
        </w:rPr>
        <w:t>7</w:t>
      </w:r>
      <w:r>
        <w:rPr>
          <w:rFonts w:hint="default" w:ascii="Times New Roman" w:hAnsi="Times New Roman" w:cs="Times New Roman"/>
          <w:b/>
          <w:snapToGrid w:val="0"/>
          <w:color w:val="auto"/>
          <w:sz w:val="21"/>
          <w:szCs w:val="21"/>
          <w:lang w:val="en-US" w:eastAsia="zh-CN"/>
        </w:rPr>
        <w:t xml:space="preserve">  </w:t>
      </w:r>
      <w:r>
        <w:rPr>
          <w:rFonts w:hint="default" w:ascii="Times New Roman" w:hAnsi="Times New Roman" w:cs="Times New Roman"/>
          <w:b/>
          <w:snapToGrid w:val="0"/>
          <w:color w:val="auto"/>
          <w:sz w:val="21"/>
          <w:szCs w:val="21"/>
          <w:lang w:eastAsia="zh-CN"/>
        </w:rPr>
        <w:t>废水污染源源强核算结果及相关参数一览表</w:t>
      </w:r>
    </w:p>
    <w:tbl>
      <w:tblPr>
        <w:tblStyle w:val="31"/>
        <w:tblW w:w="54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40"/>
        <w:gridCol w:w="868"/>
        <w:gridCol w:w="655"/>
        <w:gridCol w:w="1106"/>
        <w:gridCol w:w="1240"/>
        <w:gridCol w:w="753"/>
        <w:gridCol w:w="803"/>
        <w:gridCol w:w="1106"/>
        <w:gridCol w:w="848"/>
        <w:gridCol w:w="643"/>
        <w:gridCol w:w="2056"/>
        <w:gridCol w:w="1007"/>
        <w:gridCol w:w="829"/>
        <w:gridCol w:w="705"/>
      </w:tblGrid>
      <w:tr w14:paraId="5E4AA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tcBorders>
              <w:tl2br w:val="nil"/>
              <w:tr2bl w:val="nil"/>
            </w:tcBorders>
            <w:noWrap w:val="0"/>
            <w:vAlign w:val="center"/>
          </w:tcPr>
          <w:p w14:paraId="1CCBCE83">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lang w:eastAsia="zh-CN"/>
              </w:rPr>
              <w:t>工序</w:t>
            </w:r>
          </w:p>
        </w:tc>
        <w:tc>
          <w:tcPr>
            <w:tcW w:w="315" w:type="pct"/>
            <w:vMerge w:val="restart"/>
            <w:tcBorders>
              <w:tl2br w:val="nil"/>
              <w:tr2bl w:val="nil"/>
            </w:tcBorders>
            <w:noWrap w:val="0"/>
            <w:vAlign w:val="center"/>
          </w:tcPr>
          <w:p w14:paraId="442F1880">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污染源</w:t>
            </w:r>
          </w:p>
        </w:tc>
        <w:tc>
          <w:tcPr>
            <w:tcW w:w="290" w:type="pct"/>
            <w:vMerge w:val="restart"/>
            <w:tcBorders>
              <w:tl2br w:val="nil"/>
              <w:tr2bl w:val="nil"/>
            </w:tcBorders>
            <w:noWrap w:val="0"/>
            <w:vAlign w:val="center"/>
          </w:tcPr>
          <w:p w14:paraId="341E86FC">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污染物</w:t>
            </w:r>
          </w:p>
        </w:tc>
        <w:tc>
          <w:tcPr>
            <w:tcW w:w="1005" w:type="pct"/>
            <w:gridSpan w:val="3"/>
            <w:tcBorders>
              <w:tl2br w:val="nil"/>
              <w:tr2bl w:val="nil"/>
            </w:tcBorders>
            <w:noWrap w:val="0"/>
            <w:vAlign w:val="center"/>
          </w:tcPr>
          <w:p w14:paraId="3DB76156">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污染物产生</w:t>
            </w:r>
          </w:p>
        </w:tc>
        <w:tc>
          <w:tcPr>
            <w:tcW w:w="521" w:type="pct"/>
            <w:gridSpan w:val="2"/>
            <w:tcBorders>
              <w:tl2br w:val="nil"/>
              <w:tr2bl w:val="nil"/>
            </w:tcBorders>
            <w:noWrap w:val="0"/>
            <w:vAlign w:val="center"/>
          </w:tcPr>
          <w:p w14:paraId="2D83F95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lang w:eastAsia="zh-CN"/>
              </w:rPr>
              <w:t>治理设施</w:t>
            </w:r>
          </w:p>
        </w:tc>
        <w:tc>
          <w:tcPr>
            <w:tcW w:w="654" w:type="pct"/>
            <w:gridSpan w:val="2"/>
            <w:tcBorders>
              <w:tl2br w:val="nil"/>
              <w:tr2bl w:val="nil"/>
            </w:tcBorders>
            <w:noWrap w:val="0"/>
            <w:vAlign w:val="center"/>
          </w:tcPr>
          <w:p w14:paraId="2F4CAEE4">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污染物排放</w:t>
            </w:r>
          </w:p>
        </w:tc>
        <w:tc>
          <w:tcPr>
            <w:tcW w:w="215" w:type="pct"/>
            <w:vMerge w:val="restart"/>
            <w:tcBorders>
              <w:tl2br w:val="nil"/>
              <w:tr2bl w:val="nil"/>
            </w:tcBorders>
            <w:noWrap w:val="0"/>
            <w:vAlign w:val="center"/>
          </w:tcPr>
          <w:p w14:paraId="718AB1D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排放去向</w:t>
            </w:r>
          </w:p>
        </w:tc>
        <w:tc>
          <w:tcPr>
            <w:tcW w:w="689" w:type="pct"/>
            <w:vMerge w:val="restart"/>
            <w:tcBorders>
              <w:tl2br w:val="nil"/>
              <w:tr2bl w:val="nil"/>
            </w:tcBorders>
            <w:noWrap w:val="0"/>
            <w:vAlign w:val="center"/>
          </w:tcPr>
          <w:p w14:paraId="21ADC7D3">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执行标准</w:t>
            </w:r>
          </w:p>
        </w:tc>
        <w:tc>
          <w:tcPr>
            <w:tcW w:w="337" w:type="pct"/>
            <w:vMerge w:val="restart"/>
            <w:tcBorders>
              <w:tl2br w:val="nil"/>
              <w:tr2bl w:val="nil"/>
            </w:tcBorders>
            <w:noWrap w:val="0"/>
            <w:vAlign w:val="center"/>
          </w:tcPr>
          <w:p w14:paraId="5296941B">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排放浓度</w:t>
            </w:r>
          </w:p>
        </w:tc>
        <w:tc>
          <w:tcPr>
            <w:tcW w:w="277" w:type="pct"/>
            <w:vMerge w:val="restart"/>
            <w:tcBorders>
              <w:tl2br w:val="nil"/>
              <w:tr2bl w:val="nil"/>
            </w:tcBorders>
            <w:noWrap w:val="0"/>
            <w:vAlign w:val="center"/>
          </w:tcPr>
          <w:p w14:paraId="0561B75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排放量</w:t>
            </w:r>
          </w:p>
        </w:tc>
        <w:tc>
          <w:tcPr>
            <w:tcW w:w="236" w:type="pct"/>
            <w:vMerge w:val="restart"/>
            <w:tcBorders>
              <w:tl2br w:val="nil"/>
              <w:tr2bl w:val="nil"/>
            </w:tcBorders>
            <w:noWrap w:val="0"/>
            <w:vAlign w:val="center"/>
          </w:tcPr>
          <w:p w14:paraId="6FD6CE54">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lang w:eastAsia="zh-CN"/>
              </w:rPr>
            </w:pPr>
            <w:r>
              <w:rPr>
                <w:rFonts w:hint="default" w:ascii="Times New Roman" w:hAnsi="Times New Roman" w:eastAsia="宋体" w:cs="Times New Roman"/>
                <w:b/>
                <w:bCs/>
                <w:snapToGrid w:val="0"/>
                <w:color w:val="auto"/>
                <w:sz w:val="18"/>
                <w:szCs w:val="18"/>
                <w:lang w:eastAsia="zh-CN"/>
              </w:rPr>
              <w:t>排放时间</w:t>
            </w:r>
          </w:p>
        </w:tc>
      </w:tr>
      <w:tr w14:paraId="63DF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55" w:type="pct"/>
            <w:vMerge w:val="continue"/>
            <w:tcBorders>
              <w:tl2br w:val="nil"/>
              <w:tr2bl w:val="nil"/>
            </w:tcBorders>
            <w:noWrap w:val="0"/>
            <w:vAlign w:val="center"/>
          </w:tcPr>
          <w:p w14:paraId="3F78465B">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315" w:type="pct"/>
            <w:vMerge w:val="continue"/>
            <w:tcBorders>
              <w:tl2br w:val="nil"/>
              <w:tr2bl w:val="nil"/>
            </w:tcBorders>
            <w:noWrap w:val="0"/>
            <w:vAlign w:val="center"/>
          </w:tcPr>
          <w:p w14:paraId="6A38FFE5">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290" w:type="pct"/>
            <w:vMerge w:val="continue"/>
            <w:tcBorders>
              <w:tl2br w:val="nil"/>
              <w:tr2bl w:val="nil"/>
            </w:tcBorders>
            <w:noWrap w:val="0"/>
            <w:vAlign w:val="center"/>
          </w:tcPr>
          <w:p w14:paraId="221764CE">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p>
        </w:tc>
        <w:tc>
          <w:tcPr>
            <w:tcW w:w="219" w:type="pct"/>
            <w:vMerge w:val="restart"/>
            <w:tcBorders>
              <w:tl2br w:val="nil"/>
              <w:tr2bl w:val="nil"/>
            </w:tcBorders>
            <w:noWrap w:val="0"/>
            <w:vAlign w:val="center"/>
          </w:tcPr>
          <w:p w14:paraId="08F330F5">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bCs/>
                <w:snapToGrid w:val="0"/>
                <w:color w:val="auto"/>
                <w:sz w:val="18"/>
                <w:szCs w:val="18"/>
                <w:vertAlign w:val="baseline"/>
                <w:lang w:eastAsia="zh-CN"/>
              </w:rPr>
            </w:pPr>
            <w:r>
              <w:rPr>
                <w:rFonts w:hint="default" w:ascii="Times New Roman" w:hAnsi="Times New Roman" w:eastAsia="宋体" w:cs="Times New Roman"/>
                <w:b/>
                <w:bCs/>
                <w:snapToGrid w:val="0"/>
                <w:color w:val="auto"/>
                <w:sz w:val="18"/>
                <w:szCs w:val="18"/>
                <w:lang w:eastAsia="zh-CN"/>
              </w:rPr>
              <w:t>核算方法</w:t>
            </w:r>
          </w:p>
        </w:tc>
        <w:tc>
          <w:tcPr>
            <w:tcW w:w="370" w:type="pct"/>
            <w:vMerge w:val="restart"/>
            <w:tcBorders>
              <w:tl2br w:val="nil"/>
              <w:tr2bl w:val="nil"/>
            </w:tcBorders>
            <w:noWrap w:val="0"/>
            <w:vAlign w:val="center"/>
          </w:tcPr>
          <w:p w14:paraId="468642F1">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产生质量浓度（mg/L）</w:t>
            </w:r>
          </w:p>
        </w:tc>
        <w:tc>
          <w:tcPr>
            <w:tcW w:w="415" w:type="pct"/>
            <w:tcBorders>
              <w:tl2br w:val="nil"/>
              <w:tr2bl w:val="nil"/>
            </w:tcBorders>
            <w:noWrap w:val="0"/>
            <w:vAlign w:val="center"/>
          </w:tcPr>
          <w:p w14:paraId="09F70CA1">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产生量</w:t>
            </w:r>
          </w:p>
        </w:tc>
        <w:tc>
          <w:tcPr>
            <w:tcW w:w="252" w:type="pct"/>
            <w:vMerge w:val="restart"/>
            <w:tcBorders>
              <w:tl2br w:val="nil"/>
              <w:tr2bl w:val="nil"/>
            </w:tcBorders>
            <w:noWrap w:val="0"/>
            <w:vAlign w:val="center"/>
          </w:tcPr>
          <w:p w14:paraId="7BC0EE74">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工艺</w:t>
            </w:r>
          </w:p>
        </w:tc>
        <w:tc>
          <w:tcPr>
            <w:tcW w:w="269" w:type="pct"/>
            <w:vMerge w:val="restart"/>
            <w:tcBorders>
              <w:tl2br w:val="nil"/>
              <w:tr2bl w:val="nil"/>
            </w:tcBorders>
            <w:noWrap w:val="0"/>
            <w:vAlign w:val="center"/>
          </w:tcPr>
          <w:p w14:paraId="1E19477A">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效率（%）</w:t>
            </w:r>
          </w:p>
        </w:tc>
        <w:tc>
          <w:tcPr>
            <w:tcW w:w="370" w:type="pct"/>
            <w:vMerge w:val="restart"/>
            <w:tcBorders>
              <w:tl2br w:val="nil"/>
              <w:tr2bl w:val="nil"/>
            </w:tcBorders>
            <w:noWrap w:val="0"/>
            <w:vAlign w:val="center"/>
          </w:tcPr>
          <w:p w14:paraId="20AF0D1A">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排放质量浓度（mg/L）</w:t>
            </w:r>
          </w:p>
        </w:tc>
        <w:tc>
          <w:tcPr>
            <w:tcW w:w="284" w:type="pct"/>
            <w:tcBorders>
              <w:tl2br w:val="nil"/>
              <w:tr2bl w:val="nil"/>
            </w:tcBorders>
            <w:noWrap w:val="0"/>
            <w:vAlign w:val="center"/>
          </w:tcPr>
          <w:p w14:paraId="7E528F9E">
            <w:pPr>
              <w:pStyle w:val="26"/>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排放量</w:t>
            </w:r>
          </w:p>
        </w:tc>
        <w:tc>
          <w:tcPr>
            <w:tcW w:w="215" w:type="pct"/>
            <w:vMerge w:val="continue"/>
            <w:tcBorders>
              <w:tl2br w:val="nil"/>
              <w:tr2bl w:val="nil"/>
            </w:tcBorders>
            <w:noWrap w:val="0"/>
            <w:vAlign w:val="center"/>
          </w:tcPr>
          <w:p w14:paraId="383A3A05">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689" w:type="pct"/>
            <w:vMerge w:val="continue"/>
            <w:tcBorders>
              <w:tl2br w:val="nil"/>
              <w:tr2bl w:val="nil"/>
            </w:tcBorders>
            <w:noWrap w:val="0"/>
            <w:vAlign w:val="center"/>
          </w:tcPr>
          <w:p w14:paraId="57796290">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337" w:type="pct"/>
            <w:vMerge w:val="continue"/>
            <w:tcBorders>
              <w:tl2br w:val="nil"/>
              <w:tr2bl w:val="nil"/>
            </w:tcBorders>
            <w:noWrap w:val="0"/>
            <w:vAlign w:val="center"/>
          </w:tcPr>
          <w:p w14:paraId="1EBA85BE">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277" w:type="pct"/>
            <w:vMerge w:val="continue"/>
            <w:tcBorders>
              <w:tl2br w:val="nil"/>
              <w:tr2bl w:val="nil"/>
            </w:tcBorders>
            <w:noWrap w:val="0"/>
            <w:vAlign w:val="center"/>
          </w:tcPr>
          <w:p w14:paraId="2792F8BF">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c>
          <w:tcPr>
            <w:tcW w:w="236" w:type="pct"/>
            <w:vMerge w:val="continue"/>
            <w:tcBorders>
              <w:tl2br w:val="nil"/>
              <w:tr2bl w:val="nil"/>
            </w:tcBorders>
            <w:noWrap w:val="0"/>
            <w:vAlign w:val="center"/>
          </w:tcPr>
          <w:p w14:paraId="14988FCE">
            <w:pPr>
              <w:pStyle w:val="26"/>
              <w:spacing w:line="240" w:lineRule="auto"/>
              <w:jc w:val="center"/>
              <w:outlineLvl w:val="0"/>
              <w:rPr>
                <w:rFonts w:hint="default" w:ascii="Times New Roman" w:hAnsi="Times New Roman" w:eastAsia="宋体" w:cs="Times New Roman"/>
                <w:b/>
                <w:bCs/>
                <w:snapToGrid w:val="0"/>
                <w:color w:val="auto"/>
                <w:sz w:val="18"/>
                <w:szCs w:val="18"/>
                <w:lang w:eastAsia="zh-CN"/>
              </w:rPr>
            </w:pPr>
          </w:p>
        </w:tc>
      </w:tr>
      <w:tr w14:paraId="16A80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5" w:type="pct"/>
            <w:vMerge w:val="continue"/>
            <w:tcBorders>
              <w:tl2br w:val="nil"/>
              <w:tr2bl w:val="nil"/>
            </w:tcBorders>
            <w:noWrap w:val="0"/>
            <w:vAlign w:val="center"/>
          </w:tcPr>
          <w:p w14:paraId="1BBC41FD">
            <w:pPr>
              <w:pStyle w:val="26"/>
              <w:spacing w:line="240" w:lineRule="auto"/>
              <w:jc w:val="center"/>
              <w:outlineLvl w:val="0"/>
              <w:rPr>
                <w:rFonts w:hint="default" w:ascii="Times New Roman" w:hAnsi="Times New Roman" w:eastAsia="宋体" w:cs="Times New Roman"/>
                <w:color w:val="auto"/>
                <w:sz w:val="18"/>
                <w:szCs w:val="18"/>
              </w:rPr>
            </w:pPr>
          </w:p>
        </w:tc>
        <w:tc>
          <w:tcPr>
            <w:tcW w:w="315" w:type="pct"/>
            <w:vMerge w:val="continue"/>
            <w:tcBorders>
              <w:tl2br w:val="nil"/>
              <w:tr2bl w:val="nil"/>
            </w:tcBorders>
            <w:noWrap w:val="0"/>
            <w:vAlign w:val="center"/>
          </w:tcPr>
          <w:p w14:paraId="316AFA63">
            <w:pPr>
              <w:pStyle w:val="26"/>
              <w:spacing w:line="240" w:lineRule="auto"/>
              <w:jc w:val="center"/>
              <w:outlineLvl w:val="0"/>
              <w:rPr>
                <w:rFonts w:hint="default" w:ascii="Times New Roman" w:hAnsi="Times New Roman" w:eastAsia="宋体" w:cs="Times New Roman"/>
                <w:color w:val="auto"/>
                <w:sz w:val="18"/>
                <w:szCs w:val="18"/>
              </w:rPr>
            </w:pPr>
          </w:p>
        </w:tc>
        <w:tc>
          <w:tcPr>
            <w:tcW w:w="290" w:type="pct"/>
            <w:vMerge w:val="continue"/>
            <w:tcBorders>
              <w:tl2br w:val="nil"/>
              <w:tr2bl w:val="nil"/>
            </w:tcBorders>
            <w:noWrap w:val="0"/>
            <w:vAlign w:val="center"/>
          </w:tcPr>
          <w:p w14:paraId="6B39A164">
            <w:pPr>
              <w:pStyle w:val="26"/>
              <w:spacing w:line="240" w:lineRule="auto"/>
              <w:jc w:val="center"/>
              <w:outlineLvl w:val="0"/>
              <w:rPr>
                <w:rFonts w:hint="default" w:ascii="Times New Roman" w:hAnsi="Times New Roman" w:eastAsia="宋体" w:cs="Times New Roman"/>
                <w:color w:val="auto"/>
                <w:sz w:val="18"/>
                <w:szCs w:val="18"/>
              </w:rPr>
            </w:pPr>
          </w:p>
        </w:tc>
        <w:tc>
          <w:tcPr>
            <w:tcW w:w="219" w:type="pct"/>
            <w:vMerge w:val="continue"/>
            <w:tcBorders>
              <w:tl2br w:val="nil"/>
              <w:tr2bl w:val="nil"/>
            </w:tcBorders>
            <w:noWrap w:val="0"/>
            <w:vAlign w:val="center"/>
          </w:tcPr>
          <w:p w14:paraId="77833431">
            <w:pPr>
              <w:pStyle w:val="26"/>
              <w:spacing w:line="240" w:lineRule="auto"/>
              <w:jc w:val="center"/>
              <w:outlineLvl w:val="0"/>
              <w:rPr>
                <w:rFonts w:hint="default" w:ascii="Times New Roman" w:hAnsi="Times New Roman" w:eastAsia="宋体" w:cs="Times New Roman"/>
                <w:color w:val="auto"/>
                <w:sz w:val="18"/>
                <w:szCs w:val="18"/>
              </w:rPr>
            </w:pPr>
          </w:p>
        </w:tc>
        <w:tc>
          <w:tcPr>
            <w:tcW w:w="370" w:type="pct"/>
            <w:vMerge w:val="continue"/>
            <w:tcBorders>
              <w:tl2br w:val="nil"/>
              <w:tr2bl w:val="nil"/>
            </w:tcBorders>
            <w:noWrap w:val="0"/>
            <w:vAlign w:val="center"/>
          </w:tcPr>
          <w:p w14:paraId="05200AE4">
            <w:pPr>
              <w:pStyle w:val="26"/>
              <w:spacing w:line="240" w:lineRule="auto"/>
              <w:jc w:val="center"/>
              <w:outlineLvl w:val="0"/>
              <w:rPr>
                <w:rFonts w:hint="default" w:ascii="Times New Roman" w:hAnsi="Times New Roman" w:eastAsia="宋体" w:cs="Times New Roman"/>
                <w:b/>
                <w:bCs/>
                <w:color w:val="auto"/>
                <w:sz w:val="18"/>
                <w:szCs w:val="18"/>
              </w:rPr>
            </w:pPr>
          </w:p>
        </w:tc>
        <w:tc>
          <w:tcPr>
            <w:tcW w:w="415" w:type="pct"/>
            <w:tcBorders>
              <w:tl2br w:val="nil"/>
              <w:tr2bl w:val="nil"/>
            </w:tcBorders>
            <w:noWrap w:val="0"/>
            <w:vAlign w:val="center"/>
          </w:tcPr>
          <w:p w14:paraId="002E0B64">
            <w:pPr>
              <w:pStyle w:val="26"/>
              <w:spacing w:line="240" w:lineRule="auto"/>
              <w:jc w:val="center"/>
              <w:outlineLvl w:val="0"/>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snapToGrid w:val="0"/>
                <w:color w:val="auto"/>
                <w:sz w:val="18"/>
                <w:szCs w:val="18"/>
                <w:lang w:eastAsia="zh-CN"/>
              </w:rPr>
              <w:t>t/a</w:t>
            </w:r>
          </w:p>
        </w:tc>
        <w:tc>
          <w:tcPr>
            <w:tcW w:w="252" w:type="pct"/>
            <w:vMerge w:val="continue"/>
            <w:tcBorders>
              <w:tl2br w:val="nil"/>
              <w:tr2bl w:val="nil"/>
            </w:tcBorders>
            <w:noWrap w:val="0"/>
            <w:vAlign w:val="center"/>
          </w:tcPr>
          <w:p w14:paraId="6D7D4AAE">
            <w:pPr>
              <w:pStyle w:val="26"/>
              <w:spacing w:line="240" w:lineRule="auto"/>
              <w:jc w:val="center"/>
              <w:outlineLvl w:val="0"/>
              <w:rPr>
                <w:rFonts w:hint="default" w:ascii="Times New Roman" w:hAnsi="Times New Roman" w:eastAsia="宋体" w:cs="Times New Roman"/>
                <w:b/>
                <w:bCs/>
                <w:color w:val="auto"/>
                <w:sz w:val="18"/>
                <w:szCs w:val="18"/>
              </w:rPr>
            </w:pPr>
          </w:p>
        </w:tc>
        <w:tc>
          <w:tcPr>
            <w:tcW w:w="269" w:type="pct"/>
            <w:vMerge w:val="continue"/>
            <w:tcBorders>
              <w:tl2br w:val="nil"/>
              <w:tr2bl w:val="nil"/>
            </w:tcBorders>
            <w:noWrap w:val="0"/>
            <w:vAlign w:val="center"/>
          </w:tcPr>
          <w:p w14:paraId="18E73101">
            <w:pPr>
              <w:pStyle w:val="26"/>
              <w:spacing w:line="240" w:lineRule="auto"/>
              <w:jc w:val="center"/>
              <w:outlineLvl w:val="0"/>
              <w:rPr>
                <w:rFonts w:hint="default" w:ascii="Times New Roman" w:hAnsi="Times New Roman" w:eastAsia="宋体" w:cs="Times New Roman"/>
                <w:b/>
                <w:bCs/>
                <w:color w:val="auto"/>
                <w:sz w:val="18"/>
                <w:szCs w:val="18"/>
              </w:rPr>
            </w:pPr>
          </w:p>
        </w:tc>
        <w:tc>
          <w:tcPr>
            <w:tcW w:w="370" w:type="pct"/>
            <w:vMerge w:val="continue"/>
            <w:tcBorders>
              <w:tl2br w:val="nil"/>
              <w:tr2bl w:val="nil"/>
            </w:tcBorders>
            <w:noWrap w:val="0"/>
            <w:vAlign w:val="center"/>
          </w:tcPr>
          <w:p w14:paraId="319392C8">
            <w:pPr>
              <w:pStyle w:val="26"/>
              <w:spacing w:line="240" w:lineRule="auto"/>
              <w:jc w:val="center"/>
              <w:outlineLvl w:val="0"/>
              <w:rPr>
                <w:rFonts w:hint="default" w:ascii="Times New Roman" w:hAnsi="Times New Roman" w:eastAsia="宋体" w:cs="Times New Roman"/>
                <w:b/>
                <w:bCs/>
                <w:color w:val="auto"/>
                <w:sz w:val="18"/>
                <w:szCs w:val="18"/>
              </w:rPr>
            </w:pPr>
          </w:p>
        </w:tc>
        <w:tc>
          <w:tcPr>
            <w:tcW w:w="284" w:type="pct"/>
            <w:tcBorders>
              <w:tl2br w:val="nil"/>
              <w:tr2bl w:val="nil"/>
            </w:tcBorders>
            <w:noWrap w:val="0"/>
            <w:vAlign w:val="center"/>
          </w:tcPr>
          <w:p w14:paraId="72C3E172">
            <w:pPr>
              <w:pStyle w:val="26"/>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bCs/>
                <w:snapToGrid w:val="0"/>
                <w:color w:val="auto"/>
                <w:sz w:val="18"/>
                <w:szCs w:val="18"/>
                <w:lang w:eastAsia="zh-CN"/>
              </w:rPr>
              <w:t>t/a</w:t>
            </w:r>
          </w:p>
        </w:tc>
        <w:tc>
          <w:tcPr>
            <w:tcW w:w="215" w:type="pct"/>
            <w:vMerge w:val="continue"/>
            <w:tcBorders>
              <w:tl2br w:val="nil"/>
              <w:tr2bl w:val="nil"/>
            </w:tcBorders>
            <w:noWrap w:val="0"/>
            <w:vAlign w:val="center"/>
          </w:tcPr>
          <w:p w14:paraId="1EC8BC4F">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p>
        </w:tc>
        <w:tc>
          <w:tcPr>
            <w:tcW w:w="689" w:type="pct"/>
            <w:vMerge w:val="continue"/>
            <w:tcBorders>
              <w:tl2br w:val="nil"/>
              <w:tr2bl w:val="nil"/>
            </w:tcBorders>
            <w:noWrap w:val="0"/>
            <w:vAlign w:val="center"/>
          </w:tcPr>
          <w:p w14:paraId="5AE171C4">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p>
        </w:tc>
        <w:tc>
          <w:tcPr>
            <w:tcW w:w="337" w:type="pct"/>
            <w:vMerge w:val="continue"/>
            <w:tcBorders>
              <w:tl2br w:val="nil"/>
              <w:tr2bl w:val="nil"/>
            </w:tcBorders>
            <w:noWrap w:val="0"/>
            <w:vAlign w:val="center"/>
          </w:tcPr>
          <w:p w14:paraId="7ECAE874">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p>
        </w:tc>
        <w:tc>
          <w:tcPr>
            <w:tcW w:w="277" w:type="pct"/>
            <w:vMerge w:val="continue"/>
            <w:tcBorders>
              <w:tl2br w:val="nil"/>
              <w:tr2bl w:val="nil"/>
            </w:tcBorders>
            <w:noWrap w:val="0"/>
            <w:vAlign w:val="center"/>
          </w:tcPr>
          <w:p w14:paraId="5ADB08C5">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p>
        </w:tc>
        <w:tc>
          <w:tcPr>
            <w:tcW w:w="236" w:type="pct"/>
            <w:vMerge w:val="continue"/>
            <w:tcBorders>
              <w:tl2br w:val="nil"/>
              <w:tr2bl w:val="nil"/>
            </w:tcBorders>
            <w:noWrap w:val="0"/>
            <w:vAlign w:val="center"/>
          </w:tcPr>
          <w:p w14:paraId="7A93624D">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p>
        </w:tc>
      </w:tr>
      <w:tr w14:paraId="7655D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5" w:type="pct"/>
            <w:vMerge w:val="restart"/>
            <w:tcBorders>
              <w:tl2br w:val="nil"/>
              <w:tr2bl w:val="nil"/>
            </w:tcBorders>
            <w:noWrap w:val="0"/>
            <w:vAlign w:val="center"/>
          </w:tcPr>
          <w:p w14:paraId="6D6358D7">
            <w:pPr>
              <w:pStyle w:val="26"/>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kern w:val="0"/>
                <w:sz w:val="18"/>
                <w:szCs w:val="18"/>
                <w:lang w:val="en-US" w:eastAsia="zh-CN" w:bidi="ar-SA"/>
              </w:rPr>
              <w:t>生活污水、地面清洁废水（</w:t>
            </w:r>
            <w:r>
              <w:rPr>
                <w:rFonts w:hint="eastAsia" w:ascii="Times New Roman" w:hAnsi="Times New Roman" w:cs="Times New Roman"/>
                <w:snapToGrid w:val="0"/>
                <w:color w:val="auto"/>
                <w:kern w:val="0"/>
                <w:sz w:val="18"/>
                <w:szCs w:val="18"/>
                <w:lang w:val="en-US" w:eastAsia="zh-CN" w:bidi="ar-SA"/>
              </w:rPr>
              <w:t>291.6</w:t>
            </w:r>
            <w:r>
              <w:rPr>
                <w:rFonts w:hint="default" w:ascii="Times New Roman" w:hAnsi="Times New Roman" w:eastAsia="宋体" w:cs="Times New Roman"/>
                <w:color w:val="auto"/>
                <w:sz w:val="18"/>
                <w:szCs w:val="18"/>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rPr>
              <w:t>/a</w:t>
            </w:r>
            <w:r>
              <w:rPr>
                <w:rFonts w:hint="default" w:ascii="Times New Roman" w:hAnsi="Times New Roman" w:eastAsia="宋体" w:cs="Times New Roman"/>
                <w:snapToGrid w:val="0"/>
                <w:color w:val="auto"/>
                <w:kern w:val="0"/>
                <w:sz w:val="18"/>
                <w:szCs w:val="18"/>
                <w:lang w:val="en-US" w:eastAsia="zh-CN" w:bidi="ar-SA"/>
              </w:rPr>
              <w:t>）</w:t>
            </w:r>
          </w:p>
        </w:tc>
        <w:tc>
          <w:tcPr>
            <w:tcW w:w="315" w:type="pct"/>
            <w:vMerge w:val="restart"/>
            <w:tcBorders>
              <w:tl2br w:val="nil"/>
              <w:tr2bl w:val="nil"/>
            </w:tcBorders>
            <w:noWrap w:val="0"/>
            <w:vAlign w:val="center"/>
          </w:tcPr>
          <w:p w14:paraId="5EC2CF3C">
            <w:pPr>
              <w:pStyle w:val="26"/>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lang w:val="en-US" w:eastAsia="zh-CN"/>
              </w:rPr>
              <w:t>员工生活、地面清洁</w:t>
            </w:r>
          </w:p>
        </w:tc>
        <w:tc>
          <w:tcPr>
            <w:tcW w:w="290" w:type="pct"/>
            <w:tcBorders>
              <w:tl2br w:val="nil"/>
              <w:tr2bl w:val="nil"/>
            </w:tcBorders>
            <w:noWrap w:val="0"/>
            <w:vAlign w:val="center"/>
          </w:tcPr>
          <w:p w14:paraId="72585688">
            <w:pPr>
              <w:pStyle w:val="26"/>
              <w:spacing w:line="240" w:lineRule="auto"/>
              <w:jc w:val="center"/>
              <w:outlineLvl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pH</w:t>
            </w:r>
          </w:p>
        </w:tc>
        <w:tc>
          <w:tcPr>
            <w:tcW w:w="219" w:type="pct"/>
            <w:vMerge w:val="restart"/>
            <w:tcBorders>
              <w:tl2br w:val="nil"/>
              <w:tr2bl w:val="nil"/>
            </w:tcBorders>
            <w:noWrap w:val="0"/>
            <w:vAlign w:val="center"/>
          </w:tcPr>
          <w:p w14:paraId="59219605">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排污系数法</w:t>
            </w:r>
          </w:p>
        </w:tc>
        <w:tc>
          <w:tcPr>
            <w:tcW w:w="370" w:type="pct"/>
            <w:tcBorders>
              <w:tl2br w:val="nil"/>
              <w:tr2bl w:val="nil"/>
            </w:tcBorders>
            <w:noWrap w:val="0"/>
            <w:vAlign w:val="center"/>
          </w:tcPr>
          <w:p w14:paraId="44C5C5F6">
            <w:pPr>
              <w:pStyle w:val="26"/>
              <w:spacing w:line="240" w:lineRule="auto"/>
              <w:jc w:val="center"/>
              <w:outlineLvl w:val="0"/>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6-9</w:t>
            </w:r>
          </w:p>
        </w:tc>
        <w:tc>
          <w:tcPr>
            <w:tcW w:w="415" w:type="pct"/>
            <w:tcBorders>
              <w:tl2br w:val="nil"/>
              <w:tr2bl w:val="nil"/>
            </w:tcBorders>
            <w:noWrap w:val="0"/>
            <w:vAlign w:val="center"/>
          </w:tcPr>
          <w:p w14:paraId="061B14F1">
            <w:pPr>
              <w:pStyle w:val="26"/>
              <w:spacing w:line="240" w:lineRule="auto"/>
              <w:jc w:val="center"/>
              <w:outlineLvl w:val="0"/>
              <w:rPr>
                <w:rFonts w:hint="default" w:ascii="Times New Roman" w:hAnsi="Times New Roman" w:eastAsia="宋体" w:cs="Times New Roman"/>
                <w:b w:val="0"/>
                <w:bCs w:val="0"/>
                <w:snapToGrid w:val="0"/>
                <w:color w:val="auto"/>
                <w:kern w:val="0"/>
                <w:sz w:val="18"/>
                <w:szCs w:val="18"/>
                <w:lang w:val="en-US" w:eastAsia="zh-CN" w:bidi="ar-SA"/>
              </w:rPr>
            </w:pPr>
            <w:r>
              <w:rPr>
                <w:rFonts w:hint="default" w:ascii="Times New Roman" w:hAnsi="Times New Roman" w:eastAsia="宋体" w:cs="Times New Roman"/>
                <w:b w:val="0"/>
                <w:bCs w:val="0"/>
                <w:snapToGrid w:val="0"/>
                <w:color w:val="auto"/>
                <w:sz w:val="18"/>
                <w:szCs w:val="18"/>
                <w:lang w:val="en-US" w:eastAsia="zh-CN"/>
              </w:rPr>
              <w:t>/</w:t>
            </w:r>
          </w:p>
        </w:tc>
        <w:tc>
          <w:tcPr>
            <w:tcW w:w="252" w:type="pct"/>
            <w:vMerge w:val="restart"/>
            <w:tcBorders>
              <w:tl2br w:val="nil"/>
              <w:tr2bl w:val="nil"/>
            </w:tcBorders>
            <w:noWrap w:val="0"/>
            <w:vAlign w:val="center"/>
          </w:tcPr>
          <w:p w14:paraId="50354CF9">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eastAsia="zh-CN"/>
              </w:rPr>
            </w:pPr>
            <w:r>
              <w:rPr>
                <w:rFonts w:hint="eastAsia" w:cs="Times New Roman"/>
                <w:b w:val="0"/>
                <w:bCs/>
                <w:snapToGrid w:val="0"/>
                <w:color w:val="auto"/>
                <w:sz w:val="18"/>
                <w:szCs w:val="18"/>
                <w:vertAlign w:val="baseline"/>
                <w:lang w:val="en-US" w:eastAsia="zh-CN"/>
              </w:rPr>
              <w:t>厌氧</w:t>
            </w:r>
          </w:p>
        </w:tc>
        <w:tc>
          <w:tcPr>
            <w:tcW w:w="269" w:type="pct"/>
            <w:tcBorders>
              <w:tl2br w:val="nil"/>
              <w:tr2bl w:val="nil"/>
            </w:tcBorders>
            <w:noWrap w:val="0"/>
            <w:vAlign w:val="center"/>
          </w:tcPr>
          <w:p w14:paraId="1A735380">
            <w:pPr>
              <w:pStyle w:val="26"/>
              <w:spacing w:line="240" w:lineRule="auto"/>
              <w:jc w:val="center"/>
              <w:outlineLvl w:val="0"/>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370" w:type="pct"/>
            <w:tcBorders>
              <w:tl2br w:val="nil"/>
              <w:tr2bl w:val="nil"/>
            </w:tcBorders>
            <w:noWrap w:val="0"/>
            <w:vAlign w:val="center"/>
          </w:tcPr>
          <w:p w14:paraId="73D1EAED">
            <w:pPr>
              <w:pStyle w:val="26"/>
              <w:spacing w:line="240" w:lineRule="auto"/>
              <w:jc w:val="center"/>
              <w:outlineLvl w:val="0"/>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6-9</w:t>
            </w:r>
          </w:p>
        </w:tc>
        <w:tc>
          <w:tcPr>
            <w:tcW w:w="284" w:type="pct"/>
            <w:tcBorders>
              <w:tl2br w:val="nil"/>
              <w:tr2bl w:val="nil"/>
            </w:tcBorders>
            <w:noWrap w:val="0"/>
            <w:vAlign w:val="center"/>
          </w:tcPr>
          <w:p w14:paraId="6FC00D92">
            <w:pPr>
              <w:jc w:val="center"/>
              <w:outlineLvl w:val="0"/>
              <w:rPr>
                <w:rFonts w:hint="default" w:ascii="Times New Roman" w:hAnsi="Times New Roman" w:eastAsia="宋体" w:cs="Times New Roman"/>
                <w:b w:val="0"/>
                <w:bCs w:val="0"/>
                <w:snapToGrid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215" w:type="pct"/>
            <w:vMerge w:val="restart"/>
            <w:tcBorders>
              <w:tl2br w:val="nil"/>
              <w:tr2bl w:val="nil"/>
            </w:tcBorders>
            <w:noWrap w:val="0"/>
            <w:vAlign w:val="center"/>
          </w:tcPr>
          <w:p w14:paraId="03C49B4C">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r>
              <w:rPr>
                <w:rFonts w:hint="eastAsia" w:ascii="Times New Roman" w:hAnsi="Times New Roman" w:cs="Times New Roman"/>
                <w:b w:val="0"/>
                <w:bCs/>
                <w:snapToGrid w:val="0"/>
                <w:color w:val="auto"/>
                <w:sz w:val="18"/>
                <w:szCs w:val="18"/>
                <w:vertAlign w:val="baseline"/>
                <w:lang w:val="en-US" w:eastAsia="zh-CN"/>
              </w:rPr>
              <w:t>南溪组团A区污水处理厂</w:t>
            </w:r>
          </w:p>
        </w:tc>
        <w:tc>
          <w:tcPr>
            <w:tcW w:w="689" w:type="pct"/>
            <w:vMerge w:val="restart"/>
            <w:tcBorders>
              <w:tl2br w:val="nil"/>
              <w:tr2bl w:val="nil"/>
            </w:tcBorders>
            <w:noWrap w:val="0"/>
            <w:vAlign w:val="center"/>
          </w:tcPr>
          <w:p w14:paraId="1367B525">
            <w:pPr>
              <w:keepNext w:val="0"/>
              <w:keepLines w:val="0"/>
              <w:widowControl/>
              <w:suppressLineNumbers w:val="0"/>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《城镇污水处理厂污染物排放标准》（</w:t>
            </w:r>
            <w:r>
              <w:rPr>
                <w:rFonts w:hint="eastAsia" w:cs="Times New Roman"/>
                <w:color w:val="auto"/>
                <w:sz w:val="18"/>
                <w:szCs w:val="18"/>
                <w:lang w:eastAsia="zh-CN"/>
              </w:rPr>
              <w:t>GB 1891</w:t>
            </w:r>
            <w:r>
              <w:rPr>
                <w:rFonts w:hint="default" w:ascii="Times New Roman" w:hAnsi="Times New Roman" w:eastAsia="宋体" w:cs="Times New Roman"/>
                <w:color w:val="auto"/>
                <w:sz w:val="18"/>
                <w:szCs w:val="18"/>
              </w:rPr>
              <w:t>8-2002）一级B标。</w:t>
            </w:r>
          </w:p>
        </w:tc>
        <w:tc>
          <w:tcPr>
            <w:tcW w:w="337" w:type="pct"/>
            <w:tcBorders>
              <w:tl2br w:val="nil"/>
              <w:tr2bl w:val="nil"/>
            </w:tcBorders>
            <w:noWrap w:val="0"/>
            <w:vAlign w:val="center"/>
          </w:tcPr>
          <w:p w14:paraId="4FAFFBD4">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6-9</w:t>
            </w:r>
          </w:p>
        </w:tc>
        <w:tc>
          <w:tcPr>
            <w:tcW w:w="277" w:type="pct"/>
            <w:tcBorders>
              <w:tl2br w:val="nil"/>
              <w:tr2bl w:val="nil"/>
            </w:tcBorders>
            <w:noWrap w:val="0"/>
            <w:vAlign w:val="center"/>
          </w:tcPr>
          <w:p w14:paraId="12DCC62A">
            <w:pPr>
              <w:pStyle w:val="26"/>
              <w:spacing w:line="240" w:lineRule="auto"/>
              <w:jc w:val="center"/>
              <w:outlineLvl w:val="0"/>
              <w:rPr>
                <w:rFonts w:hint="default" w:ascii="Times New Roman" w:hAnsi="Times New Roman" w:eastAsia="宋体" w:cs="Times New Roman"/>
                <w:b/>
                <w:bCs/>
                <w:snapToGrid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w:t>
            </w:r>
          </w:p>
        </w:tc>
        <w:tc>
          <w:tcPr>
            <w:tcW w:w="236" w:type="pct"/>
            <w:vMerge w:val="restart"/>
            <w:tcBorders>
              <w:tl2br w:val="nil"/>
              <w:tr2bl w:val="nil"/>
            </w:tcBorders>
            <w:noWrap w:val="0"/>
            <w:vAlign w:val="center"/>
          </w:tcPr>
          <w:p w14:paraId="25A347A1">
            <w:pPr>
              <w:pStyle w:val="59"/>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300d</w:t>
            </w:r>
          </w:p>
        </w:tc>
      </w:tr>
      <w:tr w14:paraId="54DBF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55" w:type="pct"/>
            <w:vMerge w:val="continue"/>
            <w:tcBorders>
              <w:tl2br w:val="nil"/>
              <w:tr2bl w:val="nil"/>
            </w:tcBorders>
            <w:noWrap w:val="0"/>
            <w:vAlign w:val="center"/>
          </w:tcPr>
          <w:p w14:paraId="00E15588">
            <w:pPr>
              <w:pStyle w:val="26"/>
              <w:jc w:val="center"/>
              <w:outlineLvl w:val="0"/>
              <w:rPr>
                <w:rFonts w:hint="default" w:ascii="Times New Roman" w:hAnsi="Times New Roman" w:eastAsia="宋体" w:cs="Times New Roman"/>
                <w:snapToGrid w:val="0"/>
                <w:color w:val="auto"/>
                <w:kern w:val="0"/>
                <w:sz w:val="18"/>
                <w:szCs w:val="18"/>
                <w:lang w:val="en-US" w:eastAsia="zh-CN" w:bidi="ar-SA"/>
              </w:rPr>
            </w:pPr>
          </w:p>
        </w:tc>
        <w:tc>
          <w:tcPr>
            <w:tcW w:w="315" w:type="pct"/>
            <w:vMerge w:val="continue"/>
            <w:tcBorders>
              <w:tl2br w:val="nil"/>
              <w:tr2bl w:val="nil"/>
            </w:tcBorders>
            <w:noWrap w:val="0"/>
            <w:vAlign w:val="center"/>
          </w:tcPr>
          <w:p w14:paraId="23E7EB9C">
            <w:pPr>
              <w:pStyle w:val="26"/>
              <w:jc w:val="center"/>
              <w:outlineLvl w:val="0"/>
              <w:rPr>
                <w:rFonts w:hint="default" w:ascii="Times New Roman" w:hAnsi="Times New Roman" w:eastAsia="宋体" w:cs="Times New Roman"/>
                <w:snapToGrid w:val="0"/>
                <w:color w:val="auto"/>
                <w:kern w:val="0"/>
                <w:sz w:val="18"/>
                <w:szCs w:val="18"/>
                <w:lang w:val="en-US" w:eastAsia="zh-CN" w:bidi="ar-SA"/>
              </w:rPr>
            </w:pPr>
          </w:p>
        </w:tc>
        <w:tc>
          <w:tcPr>
            <w:tcW w:w="290" w:type="pct"/>
            <w:tcBorders>
              <w:tl2br w:val="nil"/>
              <w:tr2bl w:val="nil"/>
            </w:tcBorders>
            <w:noWrap w:val="0"/>
            <w:vAlign w:val="center"/>
          </w:tcPr>
          <w:p w14:paraId="6821AE3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COD</w:t>
            </w:r>
          </w:p>
        </w:tc>
        <w:tc>
          <w:tcPr>
            <w:tcW w:w="219" w:type="pct"/>
            <w:vMerge w:val="continue"/>
            <w:tcBorders>
              <w:tl2br w:val="nil"/>
              <w:tr2bl w:val="nil"/>
            </w:tcBorders>
            <w:noWrap w:val="0"/>
            <w:vAlign w:val="center"/>
          </w:tcPr>
          <w:p w14:paraId="37D9D076">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p>
        </w:tc>
        <w:tc>
          <w:tcPr>
            <w:tcW w:w="370" w:type="pct"/>
            <w:tcBorders>
              <w:tl2br w:val="nil"/>
              <w:tr2bl w:val="nil"/>
            </w:tcBorders>
            <w:noWrap w:val="0"/>
            <w:vAlign w:val="center"/>
          </w:tcPr>
          <w:p w14:paraId="7F60CCE8">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500</w:t>
            </w:r>
          </w:p>
        </w:tc>
        <w:tc>
          <w:tcPr>
            <w:tcW w:w="1240" w:type="dxa"/>
            <w:tcBorders>
              <w:tl2br w:val="nil"/>
              <w:tr2bl w:val="nil"/>
            </w:tcBorders>
            <w:noWrap w:val="0"/>
            <w:vAlign w:val="center"/>
          </w:tcPr>
          <w:p w14:paraId="6D04639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0.146 </w:t>
            </w:r>
          </w:p>
        </w:tc>
        <w:tc>
          <w:tcPr>
            <w:tcW w:w="252" w:type="pct"/>
            <w:vMerge w:val="continue"/>
            <w:tcBorders>
              <w:tl2br w:val="nil"/>
              <w:tr2bl w:val="nil"/>
            </w:tcBorders>
            <w:noWrap w:val="0"/>
            <w:vAlign w:val="center"/>
          </w:tcPr>
          <w:p w14:paraId="449AC8C0">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eastAsia="zh-CN"/>
              </w:rPr>
            </w:pPr>
          </w:p>
        </w:tc>
        <w:tc>
          <w:tcPr>
            <w:tcW w:w="269" w:type="pct"/>
            <w:tcBorders>
              <w:tl2br w:val="nil"/>
              <w:tr2bl w:val="nil"/>
            </w:tcBorders>
            <w:noWrap w:val="0"/>
            <w:vAlign w:val="center"/>
          </w:tcPr>
          <w:p w14:paraId="13E3EA5A">
            <w:pPr>
              <w:jc w:val="center"/>
              <w:rPr>
                <w:rFonts w:hint="default" w:ascii="Times New Roman" w:hAnsi="Times New Roman" w:eastAsia="宋体" w:cs="Times New Roman"/>
                <w:bCs/>
                <w:snapToGrid w:val="0"/>
                <w:color w:val="auto"/>
                <w:kern w:val="2"/>
                <w:sz w:val="18"/>
                <w:szCs w:val="18"/>
                <w:lang w:val="en-US" w:eastAsia="zh-CN" w:bidi="ar-SA"/>
              </w:rPr>
            </w:pPr>
            <w:r>
              <w:rPr>
                <w:rFonts w:hint="default" w:ascii="Times New Roman" w:hAnsi="Times New Roman" w:cs="Times New Roman"/>
                <w:snapToGrid w:val="0"/>
                <w:color w:val="auto"/>
                <w:kern w:val="0"/>
                <w:sz w:val="18"/>
                <w:szCs w:val="18"/>
              </w:rPr>
              <w:t>20</w:t>
            </w:r>
          </w:p>
        </w:tc>
        <w:tc>
          <w:tcPr>
            <w:tcW w:w="370" w:type="pct"/>
            <w:tcBorders>
              <w:tl2br w:val="nil"/>
              <w:tr2bl w:val="nil"/>
            </w:tcBorders>
            <w:noWrap w:val="0"/>
            <w:vAlign w:val="center"/>
          </w:tcPr>
          <w:p w14:paraId="6086D5C6">
            <w:pPr>
              <w:jc w:val="center"/>
              <w:rPr>
                <w:rFonts w:hint="default" w:ascii="Times New Roman" w:hAnsi="Times New Roman" w:cs="Times New Roman"/>
                <w:snapToGrid w:val="0"/>
                <w:color w:val="auto"/>
                <w:kern w:val="0"/>
                <w:sz w:val="18"/>
                <w:szCs w:val="18"/>
                <w:lang w:val="en-US" w:eastAsia="zh-CN" w:bidi="ar-SA"/>
              </w:rPr>
            </w:pPr>
            <w:r>
              <w:rPr>
                <w:rFonts w:hint="default" w:ascii="Times New Roman" w:hAnsi="Times New Roman" w:cs="Times New Roman"/>
                <w:snapToGrid w:val="0"/>
                <w:color w:val="auto"/>
                <w:kern w:val="0"/>
                <w:sz w:val="18"/>
                <w:szCs w:val="18"/>
              </w:rPr>
              <w:t>400</w:t>
            </w:r>
          </w:p>
        </w:tc>
        <w:tc>
          <w:tcPr>
            <w:tcW w:w="848" w:type="dxa"/>
            <w:tcBorders>
              <w:tl2br w:val="nil"/>
              <w:tr2bl w:val="nil"/>
            </w:tcBorders>
            <w:noWrap w:val="0"/>
            <w:vAlign w:val="center"/>
          </w:tcPr>
          <w:p w14:paraId="4D3A547E">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0.117 </w:t>
            </w:r>
          </w:p>
        </w:tc>
        <w:tc>
          <w:tcPr>
            <w:tcW w:w="215" w:type="pct"/>
            <w:vMerge w:val="continue"/>
            <w:tcBorders>
              <w:tl2br w:val="nil"/>
              <w:tr2bl w:val="nil"/>
            </w:tcBorders>
            <w:noWrap w:val="0"/>
            <w:vAlign w:val="center"/>
          </w:tcPr>
          <w:p w14:paraId="4EE96E58">
            <w:pPr>
              <w:keepNext w:val="0"/>
              <w:keepLines w:val="0"/>
              <w:widowControl/>
              <w:suppressLineNumbers w:val="0"/>
              <w:jc w:val="center"/>
              <w:textAlignment w:val="center"/>
              <w:rPr>
                <w:rFonts w:hint="default" w:ascii="Times New Roman" w:hAnsi="Times New Roman" w:eastAsia="宋体" w:cs="Times New Roman"/>
                <w:b w:val="0"/>
                <w:bCs/>
                <w:snapToGrid w:val="0"/>
                <w:color w:val="auto"/>
                <w:sz w:val="18"/>
                <w:szCs w:val="18"/>
                <w:vertAlign w:val="baseline"/>
                <w:lang w:val="en-US" w:eastAsia="zh-CN"/>
              </w:rPr>
            </w:pPr>
          </w:p>
        </w:tc>
        <w:tc>
          <w:tcPr>
            <w:tcW w:w="689" w:type="pct"/>
            <w:vMerge w:val="continue"/>
            <w:tcBorders>
              <w:tl2br w:val="nil"/>
              <w:tr2bl w:val="nil"/>
            </w:tcBorders>
            <w:noWrap w:val="0"/>
            <w:vAlign w:val="center"/>
          </w:tcPr>
          <w:p w14:paraId="1D613B35">
            <w:pPr>
              <w:keepNext w:val="0"/>
              <w:keepLines w:val="0"/>
              <w:widowControl/>
              <w:suppressLineNumbers w:val="0"/>
              <w:jc w:val="center"/>
              <w:textAlignment w:val="center"/>
              <w:rPr>
                <w:rFonts w:hint="default" w:ascii="Times New Roman" w:hAnsi="Times New Roman" w:eastAsia="宋体" w:cs="Times New Roman"/>
                <w:color w:val="auto"/>
                <w:sz w:val="18"/>
                <w:szCs w:val="18"/>
                <w:lang w:eastAsia="zh-CN"/>
              </w:rPr>
            </w:pPr>
          </w:p>
        </w:tc>
        <w:tc>
          <w:tcPr>
            <w:tcW w:w="337" w:type="pct"/>
            <w:tcBorders>
              <w:tl2br w:val="nil"/>
              <w:tr2bl w:val="nil"/>
            </w:tcBorders>
            <w:noWrap w:val="0"/>
            <w:vAlign w:val="center"/>
          </w:tcPr>
          <w:p w14:paraId="545C72C7">
            <w:pPr>
              <w:jc w:val="center"/>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60</w:t>
            </w:r>
          </w:p>
        </w:tc>
        <w:tc>
          <w:tcPr>
            <w:tcW w:w="829" w:type="dxa"/>
            <w:tcBorders>
              <w:tl2br w:val="nil"/>
              <w:tr2bl w:val="nil"/>
            </w:tcBorders>
            <w:noWrap w:val="0"/>
            <w:vAlign w:val="center"/>
          </w:tcPr>
          <w:p w14:paraId="31C8716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0.017 </w:t>
            </w:r>
          </w:p>
        </w:tc>
        <w:tc>
          <w:tcPr>
            <w:tcW w:w="236" w:type="pct"/>
            <w:vMerge w:val="continue"/>
            <w:tcBorders>
              <w:tl2br w:val="nil"/>
              <w:tr2bl w:val="nil"/>
            </w:tcBorders>
            <w:noWrap w:val="0"/>
            <w:vAlign w:val="center"/>
          </w:tcPr>
          <w:p w14:paraId="293066C9">
            <w:pPr>
              <w:pStyle w:val="59"/>
              <w:ind w:left="0" w:leftChars="0" w:firstLine="0" w:firstLineChars="0"/>
              <w:jc w:val="center"/>
              <w:rPr>
                <w:rFonts w:hint="default" w:ascii="Times New Roman" w:hAnsi="Times New Roman" w:eastAsia="宋体" w:cs="Times New Roman"/>
                <w:color w:val="auto"/>
                <w:sz w:val="18"/>
                <w:szCs w:val="18"/>
                <w:lang w:val="en-US" w:eastAsia="zh-CN"/>
              </w:rPr>
            </w:pPr>
          </w:p>
        </w:tc>
      </w:tr>
      <w:tr w14:paraId="084F7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tcBorders>
              <w:tl2br w:val="nil"/>
              <w:tr2bl w:val="nil"/>
            </w:tcBorders>
            <w:noWrap w:val="0"/>
            <w:vAlign w:val="center"/>
          </w:tcPr>
          <w:p w14:paraId="404EA2AD">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snapToGrid w:val="0"/>
                <w:color w:val="auto"/>
                <w:sz w:val="18"/>
                <w:szCs w:val="18"/>
                <w:vertAlign w:val="baseline"/>
                <w:lang w:eastAsia="zh-CN"/>
              </w:rPr>
            </w:pPr>
          </w:p>
        </w:tc>
        <w:tc>
          <w:tcPr>
            <w:tcW w:w="315" w:type="pct"/>
            <w:vMerge w:val="continue"/>
            <w:tcBorders>
              <w:tl2br w:val="nil"/>
              <w:tr2bl w:val="nil"/>
            </w:tcBorders>
            <w:noWrap w:val="0"/>
            <w:vAlign w:val="center"/>
          </w:tcPr>
          <w:p w14:paraId="7CA7CD3C">
            <w:pPr>
              <w:jc w:val="center"/>
              <w:rPr>
                <w:rFonts w:hint="default" w:ascii="Times New Roman" w:hAnsi="Times New Roman" w:eastAsia="宋体" w:cs="Times New Roman"/>
                <w:color w:val="auto"/>
                <w:kern w:val="2"/>
                <w:sz w:val="18"/>
                <w:szCs w:val="18"/>
                <w:lang w:val="en-US" w:eastAsia="zh-CN" w:bidi="ar-SA"/>
              </w:rPr>
            </w:pPr>
          </w:p>
        </w:tc>
        <w:tc>
          <w:tcPr>
            <w:tcW w:w="290" w:type="pct"/>
            <w:tcBorders>
              <w:tl2br w:val="nil"/>
              <w:tr2bl w:val="nil"/>
            </w:tcBorders>
            <w:noWrap w:val="0"/>
            <w:vAlign w:val="center"/>
          </w:tcPr>
          <w:p w14:paraId="796CDB8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BOD</w:t>
            </w:r>
            <w:r>
              <w:rPr>
                <w:rFonts w:hint="default" w:ascii="Times New Roman" w:hAnsi="Times New Roman" w:eastAsia="宋体" w:cs="Times New Roman"/>
                <w:i w:val="0"/>
                <w:iCs w:val="0"/>
                <w:color w:val="auto"/>
                <w:kern w:val="0"/>
                <w:sz w:val="18"/>
                <w:szCs w:val="18"/>
                <w:u w:val="none"/>
                <w:vertAlign w:val="subscript"/>
                <w:lang w:val="en-US" w:eastAsia="zh-CN" w:bidi="ar"/>
              </w:rPr>
              <w:t>5</w:t>
            </w:r>
          </w:p>
        </w:tc>
        <w:tc>
          <w:tcPr>
            <w:tcW w:w="219" w:type="pct"/>
            <w:vMerge w:val="continue"/>
            <w:tcBorders>
              <w:tl2br w:val="nil"/>
              <w:tr2bl w:val="nil"/>
            </w:tcBorders>
            <w:noWrap w:val="0"/>
            <w:vAlign w:val="center"/>
          </w:tcPr>
          <w:p w14:paraId="1F99601A">
            <w:pPr>
              <w:jc w:val="center"/>
              <w:rPr>
                <w:rFonts w:hint="default" w:ascii="Times New Roman" w:hAnsi="Times New Roman" w:eastAsia="宋体" w:cs="Times New Roman"/>
                <w:b w:val="0"/>
                <w:bCs/>
                <w:snapToGrid w:val="0"/>
                <w:color w:val="auto"/>
                <w:sz w:val="18"/>
                <w:szCs w:val="18"/>
                <w:vertAlign w:val="baseline"/>
                <w:lang w:eastAsia="zh-CN"/>
              </w:rPr>
            </w:pPr>
          </w:p>
        </w:tc>
        <w:tc>
          <w:tcPr>
            <w:tcW w:w="370" w:type="pct"/>
            <w:tcBorders>
              <w:tl2br w:val="nil"/>
              <w:tr2bl w:val="nil"/>
            </w:tcBorders>
            <w:noWrap w:val="0"/>
            <w:vAlign w:val="center"/>
          </w:tcPr>
          <w:p w14:paraId="6C867C58">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400</w:t>
            </w:r>
          </w:p>
        </w:tc>
        <w:tc>
          <w:tcPr>
            <w:tcW w:w="1240" w:type="dxa"/>
            <w:tcBorders>
              <w:tl2br w:val="nil"/>
              <w:tr2bl w:val="nil"/>
            </w:tcBorders>
            <w:noWrap w:val="0"/>
            <w:vAlign w:val="center"/>
          </w:tcPr>
          <w:p w14:paraId="66B3C3F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0.117 </w:t>
            </w:r>
          </w:p>
        </w:tc>
        <w:tc>
          <w:tcPr>
            <w:tcW w:w="252" w:type="pct"/>
            <w:vMerge w:val="continue"/>
            <w:tcBorders>
              <w:tl2br w:val="nil"/>
              <w:tr2bl w:val="nil"/>
            </w:tcBorders>
            <w:noWrap w:val="0"/>
            <w:vAlign w:val="center"/>
          </w:tcPr>
          <w:p w14:paraId="52EB9FAC">
            <w:pPr>
              <w:jc w:val="center"/>
              <w:rPr>
                <w:rFonts w:hint="default" w:ascii="Times New Roman" w:hAnsi="Times New Roman" w:eastAsia="宋体" w:cs="Times New Roman"/>
                <w:b w:val="0"/>
                <w:bCs/>
                <w:snapToGrid w:val="0"/>
                <w:color w:val="auto"/>
                <w:sz w:val="18"/>
                <w:szCs w:val="18"/>
                <w:vertAlign w:val="baseline"/>
                <w:lang w:eastAsia="zh-CN"/>
              </w:rPr>
            </w:pPr>
          </w:p>
        </w:tc>
        <w:tc>
          <w:tcPr>
            <w:tcW w:w="269" w:type="pct"/>
            <w:tcBorders>
              <w:tl2br w:val="nil"/>
              <w:tr2bl w:val="nil"/>
            </w:tcBorders>
            <w:noWrap w:val="0"/>
            <w:vAlign w:val="center"/>
          </w:tcPr>
          <w:p w14:paraId="559C1C7B">
            <w:pPr>
              <w:jc w:val="center"/>
              <w:rPr>
                <w:rFonts w:hint="default" w:ascii="Times New Roman" w:hAnsi="Times New Roman" w:eastAsia="宋体" w:cs="Times New Roman"/>
                <w:bCs/>
                <w:snapToGrid w:val="0"/>
                <w:color w:val="auto"/>
                <w:kern w:val="2"/>
                <w:sz w:val="18"/>
                <w:szCs w:val="18"/>
                <w:lang w:val="en-US" w:eastAsia="zh-CN" w:bidi="ar-SA"/>
              </w:rPr>
            </w:pPr>
            <w:r>
              <w:rPr>
                <w:rFonts w:hint="default" w:ascii="Times New Roman" w:hAnsi="Times New Roman" w:cs="Times New Roman"/>
                <w:snapToGrid w:val="0"/>
                <w:color w:val="auto"/>
                <w:kern w:val="0"/>
                <w:sz w:val="18"/>
                <w:szCs w:val="18"/>
              </w:rPr>
              <w:t>25</w:t>
            </w:r>
          </w:p>
        </w:tc>
        <w:tc>
          <w:tcPr>
            <w:tcW w:w="370" w:type="pct"/>
            <w:tcBorders>
              <w:tl2br w:val="nil"/>
              <w:tr2bl w:val="nil"/>
            </w:tcBorders>
            <w:noWrap w:val="0"/>
            <w:vAlign w:val="center"/>
          </w:tcPr>
          <w:p w14:paraId="096C1A0B">
            <w:pPr>
              <w:jc w:val="center"/>
              <w:rPr>
                <w:rFonts w:hint="default" w:ascii="Times New Roman" w:hAnsi="Times New Roman" w:cs="Times New Roman"/>
                <w:snapToGrid w:val="0"/>
                <w:color w:val="auto"/>
                <w:kern w:val="0"/>
                <w:sz w:val="18"/>
                <w:szCs w:val="18"/>
                <w:lang w:val="en-US" w:eastAsia="zh-CN" w:bidi="ar-SA"/>
              </w:rPr>
            </w:pPr>
            <w:r>
              <w:rPr>
                <w:rFonts w:hint="default" w:ascii="Times New Roman" w:hAnsi="Times New Roman" w:cs="Times New Roman"/>
                <w:snapToGrid w:val="0"/>
                <w:color w:val="auto"/>
                <w:kern w:val="0"/>
                <w:sz w:val="18"/>
                <w:szCs w:val="18"/>
              </w:rPr>
              <w:t>300</w:t>
            </w:r>
          </w:p>
        </w:tc>
        <w:tc>
          <w:tcPr>
            <w:tcW w:w="848" w:type="dxa"/>
            <w:tcBorders>
              <w:tl2br w:val="nil"/>
              <w:tr2bl w:val="nil"/>
            </w:tcBorders>
            <w:noWrap w:val="0"/>
            <w:vAlign w:val="center"/>
          </w:tcPr>
          <w:p w14:paraId="2408680B">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0.087 </w:t>
            </w:r>
          </w:p>
        </w:tc>
        <w:tc>
          <w:tcPr>
            <w:tcW w:w="215" w:type="pct"/>
            <w:vMerge w:val="continue"/>
            <w:tcBorders>
              <w:tl2br w:val="nil"/>
              <w:tr2bl w:val="nil"/>
            </w:tcBorders>
            <w:noWrap w:val="0"/>
            <w:vAlign w:val="center"/>
          </w:tcPr>
          <w:p w14:paraId="44E3A17C">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689" w:type="pct"/>
            <w:vMerge w:val="continue"/>
            <w:tcBorders>
              <w:tl2br w:val="nil"/>
              <w:tr2bl w:val="nil"/>
            </w:tcBorders>
            <w:noWrap w:val="0"/>
            <w:vAlign w:val="center"/>
          </w:tcPr>
          <w:p w14:paraId="67439C9C">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337" w:type="pct"/>
            <w:tcBorders>
              <w:tl2br w:val="nil"/>
              <w:tr2bl w:val="nil"/>
            </w:tcBorders>
            <w:noWrap w:val="0"/>
            <w:vAlign w:val="center"/>
          </w:tcPr>
          <w:p w14:paraId="104F21A5">
            <w:pPr>
              <w:jc w:val="center"/>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20</w:t>
            </w:r>
          </w:p>
        </w:tc>
        <w:tc>
          <w:tcPr>
            <w:tcW w:w="829" w:type="dxa"/>
            <w:tcBorders>
              <w:tl2br w:val="nil"/>
              <w:tr2bl w:val="nil"/>
            </w:tcBorders>
            <w:noWrap w:val="0"/>
            <w:vAlign w:val="center"/>
          </w:tcPr>
          <w:p w14:paraId="54EE2EC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236" w:type="pct"/>
            <w:vMerge w:val="continue"/>
            <w:tcBorders>
              <w:tl2br w:val="nil"/>
              <w:tr2bl w:val="nil"/>
            </w:tcBorders>
            <w:noWrap w:val="0"/>
            <w:vAlign w:val="center"/>
          </w:tcPr>
          <w:p w14:paraId="03045B3C">
            <w:pPr>
              <w:pStyle w:val="59"/>
              <w:jc w:val="center"/>
              <w:rPr>
                <w:rFonts w:hint="default" w:ascii="Times New Roman" w:hAnsi="Times New Roman" w:eastAsia="宋体" w:cs="Times New Roman"/>
                <w:color w:val="auto"/>
                <w:sz w:val="18"/>
                <w:szCs w:val="18"/>
              </w:rPr>
            </w:pPr>
          </w:p>
        </w:tc>
      </w:tr>
      <w:tr w14:paraId="25063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tcBorders>
              <w:tl2br w:val="nil"/>
              <w:tr2bl w:val="nil"/>
            </w:tcBorders>
            <w:noWrap w:val="0"/>
            <w:vAlign w:val="center"/>
          </w:tcPr>
          <w:p w14:paraId="707DD9B1">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eastAsia="zh-CN"/>
              </w:rPr>
            </w:pPr>
          </w:p>
        </w:tc>
        <w:tc>
          <w:tcPr>
            <w:tcW w:w="315" w:type="pct"/>
            <w:vMerge w:val="continue"/>
            <w:tcBorders>
              <w:tl2br w:val="nil"/>
              <w:tr2bl w:val="nil"/>
            </w:tcBorders>
            <w:noWrap w:val="0"/>
            <w:vAlign w:val="center"/>
          </w:tcPr>
          <w:p w14:paraId="0ABC7D57">
            <w:pPr>
              <w:jc w:val="center"/>
              <w:rPr>
                <w:rFonts w:hint="default" w:ascii="Times New Roman" w:hAnsi="Times New Roman" w:eastAsia="宋体" w:cs="Times New Roman"/>
                <w:color w:val="auto"/>
                <w:kern w:val="2"/>
                <w:sz w:val="18"/>
                <w:szCs w:val="18"/>
                <w:lang w:val="en-US" w:eastAsia="zh-CN" w:bidi="ar-SA"/>
              </w:rPr>
            </w:pPr>
          </w:p>
        </w:tc>
        <w:tc>
          <w:tcPr>
            <w:tcW w:w="290" w:type="pct"/>
            <w:tcBorders>
              <w:tl2br w:val="nil"/>
              <w:tr2bl w:val="nil"/>
            </w:tcBorders>
            <w:noWrap w:val="0"/>
            <w:vAlign w:val="center"/>
          </w:tcPr>
          <w:p w14:paraId="7F441EE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SS</w:t>
            </w:r>
          </w:p>
        </w:tc>
        <w:tc>
          <w:tcPr>
            <w:tcW w:w="219" w:type="pct"/>
            <w:vMerge w:val="continue"/>
            <w:tcBorders>
              <w:tl2br w:val="nil"/>
              <w:tr2bl w:val="nil"/>
            </w:tcBorders>
            <w:noWrap w:val="0"/>
            <w:vAlign w:val="center"/>
          </w:tcPr>
          <w:p w14:paraId="343A81C0">
            <w:pPr>
              <w:jc w:val="center"/>
              <w:rPr>
                <w:rFonts w:hint="default" w:ascii="Times New Roman" w:hAnsi="Times New Roman" w:eastAsia="宋体" w:cs="Times New Roman"/>
                <w:b/>
                <w:snapToGrid w:val="0"/>
                <w:color w:val="auto"/>
                <w:sz w:val="18"/>
                <w:szCs w:val="18"/>
                <w:vertAlign w:val="baseline"/>
                <w:lang w:eastAsia="zh-CN"/>
              </w:rPr>
            </w:pPr>
          </w:p>
        </w:tc>
        <w:tc>
          <w:tcPr>
            <w:tcW w:w="370" w:type="pct"/>
            <w:tcBorders>
              <w:tl2br w:val="nil"/>
              <w:tr2bl w:val="nil"/>
            </w:tcBorders>
            <w:noWrap w:val="0"/>
            <w:vAlign w:val="center"/>
          </w:tcPr>
          <w:p w14:paraId="3B43504E">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400</w:t>
            </w:r>
          </w:p>
        </w:tc>
        <w:tc>
          <w:tcPr>
            <w:tcW w:w="1240" w:type="dxa"/>
            <w:tcBorders>
              <w:tl2br w:val="nil"/>
              <w:tr2bl w:val="nil"/>
            </w:tcBorders>
            <w:noWrap w:val="0"/>
            <w:vAlign w:val="center"/>
          </w:tcPr>
          <w:p w14:paraId="3A8B367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0.117 </w:t>
            </w:r>
          </w:p>
        </w:tc>
        <w:tc>
          <w:tcPr>
            <w:tcW w:w="252" w:type="pct"/>
            <w:vMerge w:val="continue"/>
            <w:tcBorders>
              <w:tl2br w:val="nil"/>
              <w:tr2bl w:val="nil"/>
            </w:tcBorders>
            <w:noWrap w:val="0"/>
            <w:vAlign w:val="center"/>
          </w:tcPr>
          <w:p w14:paraId="5C098A57">
            <w:pPr>
              <w:jc w:val="center"/>
              <w:rPr>
                <w:rFonts w:hint="default" w:ascii="Times New Roman" w:hAnsi="Times New Roman" w:eastAsia="宋体" w:cs="Times New Roman"/>
                <w:b/>
                <w:snapToGrid w:val="0"/>
                <w:color w:val="auto"/>
                <w:sz w:val="18"/>
                <w:szCs w:val="18"/>
                <w:vertAlign w:val="baseline"/>
                <w:lang w:val="en-US" w:eastAsia="zh-CN"/>
              </w:rPr>
            </w:pPr>
          </w:p>
        </w:tc>
        <w:tc>
          <w:tcPr>
            <w:tcW w:w="269" w:type="pct"/>
            <w:tcBorders>
              <w:tl2br w:val="nil"/>
              <w:tr2bl w:val="nil"/>
            </w:tcBorders>
            <w:noWrap w:val="0"/>
            <w:vAlign w:val="center"/>
          </w:tcPr>
          <w:p w14:paraId="7786D079">
            <w:pPr>
              <w:jc w:val="center"/>
              <w:rPr>
                <w:rFonts w:hint="default" w:ascii="Times New Roman" w:hAnsi="Times New Roman" w:eastAsia="宋体" w:cs="Times New Roman"/>
                <w:bCs/>
                <w:snapToGrid w:val="0"/>
                <w:color w:val="auto"/>
                <w:kern w:val="2"/>
                <w:sz w:val="18"/>
                <w:szCs w:val="18"/>
                <w:lang w:val="en-US" w:eastAsia="zh-CN" w:bidi="ar-SA"/>
              </w:rPr>
            </w:pPr>
            <w:r>
              <w:rPr>
                <w:rFonts w:hint="default" w:ascii="Times New Roman" w:hAnsi="Times New Roman" w:cs="Times New Roman"/>
                <w:snapToGrid w:val="0"/>
                <w:color w:val="auto"/>
                <w:kern w:val="0"/>
                <w:sz w:val="18"/>
                <w:szCs w:val="18"/>
                <w:lang w:val="en-US" w:eastAsia="zh-CN"/>
              </w:rPr>
              <w:t>25</w:t>
            </w:r>
          </w:p>
        </w:tc>
        <w:tc>
          <w:tcPr>
            <w:tcW w:w="370" w:type="pct"/>
            <w:tcBorders>
              <w:tl2br w:val="nil"/>
              <w:tr2bl w:val="nil"/>
            </w:tcBorders>
            <w:noWrap w:val="0"/>
            <w:vAlign w:val="center"/>
          </w:tcPr>
          <w:p w14:paraId="6B528799">
            <w:pPr>
              <w:jc w:val="center"/>
              <w:rPr>
                <w:rFonts w:hint="default" w:ascii="Times New Roman" w:hAnsi="Times New Roman" w:cs="Times New Roman"/>
                <w:snapToGrid w:val="0"/>
                <w:color w:val="auto"/>
                <w:kern w:val="0"/>
                <w:sz w:val="18"/>
                <w:szCs w:val="18"/>
                <w:lang w:val="en-US" w:eastAsia="zh-CN" w:bidi="ar-SA"/>
              </w:rPr>
            </w:pPr>
            <w:r>
              <w:rPr>
                <w:rFonts w:hint="default" w:ascii="Times New Roman" w:hAnsi="Times New Roman" w:cs="Times New Roman"/>
                <w:snapToGrid w:val="0"/>
                <w:color w:val="auto"/>
                <w:kern w:val="0"/>
                <w:sz w:val="18"/>
                <w:szCs w:val="18"/>
                <w:lang w:val="en-US" w:eastAsia="zh-CN"/>
              </w:rPr>
              <w:t>3</w:t>
            </w:r>
            <w:r>
              <w:rPr>
                <w:rFonts w:hint="default" w:ascii="Times New Roman" w:hAnsi="Times New Roman" w:cs="Times New Roman"/>
                <w:snapToGrid w:val="0"/>
                <w:color w:val="auto"/>
                <w:kern w:val="0"/>
                <w:sz w:val="18"/>
                <w:szCs w:val="18"/>
              </w:rPr>
              <w:t>00</w:t>
            </w:r>
          </w:p>
        </w:tc>
        <w:tc>
          <w:tcPr>
            <w:tcW w:w="848" w:type="dxa"/>
            <w:tcBorders>
              <w:tl2br w:val="nil"/>
              <w:tr2bl w:val="nil"/>
            </w:tcBorders>
            <w:noWrap w:val="0"/>
            <w:vAlign w:val="center"/>
          </w:tcPr>
          <w:p w14:paraId="677ED850">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0.087 </w:t>
            </w:r>
          </w:p>
        </w:tc>
        <w:tc>
          <w:tcPr>
            <w:tcW w:w="215" w:type="pct"/>
            <w:vMerge w:val="continue"/>
            <w:tcBorders>
              <w:tl2br w:val="nil"/>
              <w:tr2bl w:val="nil"/>
            </w:tcBorders>
            <w:noWrap w:val="0"/>
            <w:vAlign w:val="center"/>
          </w:tcPr>
          <w:p w14:paraId="65C1FCEC">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689" w:type="pct"/>
            <w:vMerge w:val="continue"/>
            <w:tcBorders>
              <w:tl2br w:val="nil"/>
              <w:tr2bl w:val="nil"/>
            </w:tcBorders>
            <w:noWrap w:val="0"/>
            <w:vAlign w:val="center"/>
          </w:tcPr>
          <w:p w14:paraId="134E3EB5">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337" w:type="pct"/>
            <w:tcBorders>
              <w:tl2br w:val="nil"/>
              <w:tr2bl w:val="nil"/>
            </w:tcBorders>
            <w:noWrap w:val="0"/>
            <w:vAlign w:val="center"/>
          </w:tcPr>
          <w:p w14:paraId="7EC22197">
            <w:pPr>
              <w:jc w:val="center"/>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20</w:t>
            </w:r>
          </w:p>
        </w:tc>
        <w:tc>
          <w:tcPr>
            <w:tcW w:w="829" w:type="dxa"/>
            <w:tcBorders>
              <w:tl2br w:val="nil"/>
              <w:tr2bl w:val="nil"/>
            </w:tcBorders>
            <w:noWrap w:val="0"/>
            <w:vAlign w:val="center"/>
          </w:tcPr>
          <w:p w14:paraId="51859CE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0.006 </w:t>
            </w:r>
          </w:p>
        </w:tc>
        <w:tc>
          <w:tcPr>
            <w:tcW w:w="236" w:type="pct"/>
            <w:vMerge w:val="continue"/>
            <w:tcBorders>
              <w:tl2br w:val="nil"/>
              <w:tr2bl w:val="nil"/>
            </w:tcBorders>
            <w:noWrap w:val="0"/>
            <w:vAlign w:val="center"/>
          </w:tcPr>
          <w:p w14:paraId="1999FE84">
            <w:pPr>
              <w:pStyle w:val="59"/>
              <w:jc w:val="center"/>
              <w:rPr>
                <w:rFonts w:hint="default" w:ascii="Times New Roman" w:hAnsi="Times New Roman" w:eastAsia="宋体" w:cs="Times New Roman"/>
                <w:color w:val="auto"/>
                <w:sz w:val="18"/>
                <w:szCs w:val="18"/>
              </w:rPr>
            </w:pPr>
          </w:p>
        </w:tc>
      </w:tr>
      <w:tr w14:paraId="188DB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354546D8">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eastAsia="zh-CN"/>
              </w:rPr>
            </w:pPr>
          </w:p>
        </w:tc>
        <w:tc>
          <w:tcPr>
            <w:tcW w:w="315" w:type="pct"/>
            <w:vMerge w:val="continue"/>
            <w:noWrap w:val="0"/>
            <w:vAlign w:val="center"/>
          </w:tcPr>
          <w:p w14:paraId="61BB4005">
            <w:pPr>
              <w:jc w:val="center"/>
              <w:rPr>
                <w:rFonts w:hint="default" w:ascii="Times New Roman" w:hAnsi="Times New Roman" w:eastAsia="宋体" w:cs="Times New Roman"/>
                <w:color w:val="auto"/>
                <w:kern w:val="2"/>
                <w:sz w:val="18"/>
                <w:szCs w:val="18"/>
                <w:lang w:val="en-US" w:eastAsia="zh-CN" w:bidi="ar-SA"/>
              </w:rPr>
            </w:pPr>
          </w:p>
        </w:tc>
        <w:tc>
          <w:tcPr>
            <w:tcW w:w="290" w:type="pct"/>
            <w:noWrap w:val="0"/>
            <w:vAlign w:val="center"/>
          </w:tcPr>
          <w:p w14:paraId="07A68A7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NH</w:t>
            </w:r>
            <w:r>
              <w:rPr>
                <w:rFonts w:hint="default" w:ascii="Times New Roman" w:hAnsi="Times New Roman" w:eastAsia="宋体" w:cs="Times New Roman"/>
                <w:i w:val="0"/>
                <w:iCs w:val="0"/>
                <w:color w:val="auto"/>
                <w:kern w:val="0"/>
                <w:sz w:val="18"/>
                <w:szCs w:val="18"/>
                <w:u w:val="none"/>
                <w:vertAlign w:val="sub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-N</w:t>
            </w:r>
          </w:p>
        </w:tc>
        <w:tc>
          <w:tcPr>
            <w:tcW w:w="219" w:type="pct"/>
            <w:vMerge w:val="continue"/>
            <w:noWrap w:val="0"/>
            <w:vAlign w:val="center"/>
          </w:tcPr>
          <w:p w14:paraId="6B2E8622">
            <w:pPr>
              <w:jc w:val="center"/>
              <w:rPr>
                <w:rFonts w:hint="default" w:ascii="Times New Roman" w:hAnsi="Times New Roman" w:eastAsia="宋体" w:cs="Times New Roman"/>
                <w:b/>
                <w:snapToGrid w:val="0"/>
                <w:color w:val="auto"/>
                <w:sz w:val="18"/>
                <w:szCs w:val="18"/>
                <w:vertAlign w:val="baseline"/>
                <w:lang w:eastAsia="zh-CN"/>
              </w:rPr>
            </w:pPr>
          </w:p>
        </w:tc>
        <w:tc>
          <w:tcPr>
            <w:tcW w:w="370" w:type="pct"/>
            <w:noWrap w:val="0"/>
            <w:vAlign w:val="center"/>
          </w:tcPr>
          <w:p w14:paraId="5C1E4CE5">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50</w:t>
            </w:r>
          </w:p>
        </w:tc>
        <w:tc>
          <w:tcPr>
            <w:tcW w:w="1240" w:type="dxa"/>
            <w:noWrap w:val="0"/>
            <w:vAlign w:val="center"/>
          </w:tcPr>
          <w:p w14:paraId="40F599F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0.015 </w:t>
            </w:r>
          </w:p>
        </w:tc>
        <w:tc>
          <w:tcPr>
            <w:tcW w:w="252" w:type="pct"/>
            <w:vMerge w:val="continue"/>
            <w:noWrap w:val="0"/>
            <w:vAlign w:val="center"/>
          </w:tcPr>
          <w:p w14:paraId="1C78D59A">
            <w:pPr>
              <w:jc w:val="center"/>
              <w:rPr>
                <w:rFonts w:hint="default" w:ascii="Times New Roman" w:hAnsi="Times New Roman" w:eastAsia="宋体" w:cs="Times New Roman"/>
                <w:b/>
                <w:snapToGrid w:val="0"/>
                <w:color w:val="auto"/>
                <w:sz w:val="18"/>
                <w:szCs w:val="18"/>
                <w:vertAlign w:val="baseline"/>
                <w:lang w:val="en-US" w:eastAsia="zh-CN"/>
              </w:rPr>
            </w:pPr>
          </w:p>
        </w:tc>
        <w:tc>
          <w:tcPr>
            <w:tcW w:w="269" w:type="pct"/>
            <w:noWrap w:val="0"/>
            <w:vAlign w:val="center"/>
          </w:tcPr>
          <w:p w14:paraId="0D1991D9">
            <w:pPr>
              <w:jc w:val="center"/>
              <w:rPr>
                <w:rFonts w:hint="default" w:ascii="Times New Roman" w:hAnsi="Times New Roman" w:eastAsia="宋体" w:cs="Times New Roman"/>
                <w:bCs/>
                <w:snapToGrid w:val="0"/>
                <w:color w:val="auto"/>
                <w:kern w:val="2"/>
                <w:sz w:val="18"/>
                <w:szCs w:val="18"/>
                <w:lang w:val="en-US" w:eastAsia="zh-CN" w:bidi="ar-SA"/>
              </w:rPr>
            </w:pPr>
            <w:r>
              <w:rPr>
                <w:rFonts w:hint="default" w:ascii="Times New Roman" w:hAnsi="Times New Roman" w:cs="Times New Roman"/>
                <w:snapToGrid w:val="0"/>
                <w:color w:val="auto"/>
                <w:kern w:val="0"/>
                <w:sz w:val="18"/>
                <w:szCs w:val="18"/>
              </w:rPr>
              <w:t>10</w:t>
            </w:r>
          </w:p>
        </w:tc>
        <w:tc>
          <w:tcPr>
            <w:tcW w:w="370" w:type="pct"/>
            <w:noWrap w:val="0"/>
            <w:vAlign w:val="center"/>
          </w:tcPr>
          <w:p w14:paraId="5427841D">
            <w:pPr>
              <w:jc w:val="center"/>
              <w:rPr>
                <w:rFonts w:hint="default" w:ascii="Times New Roman" w:hAnsi="Times New Roman" w:cs="Times New Roman"/>
                <w:snapToGrid w:val="0"/>
                <w:color w:val="auto"/>
                <w:kern w:val="0"/>
                <w:sz w:val="18"/>
                <w:szCs w:val="18"/>
                <w:lang w:val="en-US" w:eastAsia="zh-CN" w:bidi="ar-SA"/>
              </w:rPr>
            </w:pPr>
            <w:r>
              <w:rPr>
                <w:rFonts w:hint="default" w:ascii="Times New Roman" w:hAnsi="Times New Roman" w:cs="Times New Roman"/>
                <w:snapToGrid w:val="0"/>
                <w:color w:val="auto"/>
                <w:kern w:val="0"/>
                <w:sz w:val="18"/>
                <w:szCs w:val="18"/>
              </w:rPr>
              <w:t>45</w:t>
            </w:r>
          </w:p>
        </w:tc>
        <w:tc>
          <w:tcPr>
            <w:tcW w:w="848" w:type="dxa"/>
            <w:noWrap w:val="0"/>
            <w:vAlign w:val="center"/>
          </w:tcPr>
          <w:p w14:paraId="54543299">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0.013 </w:t>
            </w:r>
          </w:p>
        </w:tc>
        <w:tc>
          <w:tcPr>
            <w:tcW w:w="215" w:type="pct"/>
            <w:vMerge w:val="continue"/>
            <w:noWrap w:val="0"/>
            <w:vAlign w:val="center"/>
          </w:tcPr>
          <w:p w14:paraId="663EEB46">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689" w:type="pct"/>
            <w:vMerge w:val="continue"/>
            <w:noWrap w:val="0"/>
            <w:vAlign w:val="center"/>
          </w:tcPr>
          <w:p w14:paraId="64EFD55D">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337" w:type="pct"/>
            <w:noWrap w:val="0"/>
            <w:vAlign w:val="center"/>
          </w:tcPr>
          <w:p w14:paraId="302A345A">
            <w:pPr>
              <w:jc w:val="center"/>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8</w:t>
            </w:r>
          </w:p>
        </w:tc>
        <w:tc>
          <w:tcPr>
            <w:tcW w:w="829" w:type="dxa"/>
            <w:noWrap w:val="0"/>
            <w:vAlign w:val="center"/>
          </w:tcPr>
          <w:p w14:paraId="0CB4294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0.002 </w:t>
            </w:r>
          </w:p>
        </w:tc>
        <w:tc>
          <w:tcPr>
            <w:tcW w:w="236" w:type="pct"/>
            <w:vMerge w:val="continue"/>
            <w:noWrap w:val="0"/>
            <w:vAlign w:val="center"/>
          </w:tcPr>
          <w:p w14:paraId="3B1A578C">
            <w:pPr>
              <w:pStyle w:val="59"/>
              <w:jc w:val="center"/>
              <w:rPr>
                <w:rFonts w:hint="default" w:ascii="Times New Roman" w:hAnsi="Times New Roman" w:eastAsia="宋体" w:cs="Times New Roman"/>
                <w:color w:val="auto"/>
                <w:sz w:val="18"/>
                <w:szCs w:val="18"/>
              </w:rPr>
            </w:pPr>
          </w:p>
        </w:tc>
      </w:tr>
      <w:tr w14:paraId="59C48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55" w:type="pct"/>
            <w:vMerge w:val="continue"/>
            <w:noWrap w:val="0"/>
            <w:vAlign w:val="center"/>
          </w:tcPr>
          <w:p w14:paraId="7E3542BA">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b w:val="0"/>
                <w:bCs/>
                <w:snapToGrid w:val="0"/>
                <w:color w:val="auto"/>
                <w:sz w:val="18"/>
                <w:szCs w:val="18"/>
                <w:vertAlign w:val="baseline"/>
                <w:lang w:eastAsia="zh-CN"/>
              </w:rPr>
            </w:pPr>
          </w:p>
        </w:tc>
        <w:tc>
          <w:tcPr>
            <w:tcW w:w="315" w:type="pct"/>
            <w:vMerge w:val="continue"/>
            <w:noWrap w:val="0"/>
            <w:vAlign w:val="center"/>
          </w:tcPr>
          <w:p w14:paraId="25F9355A">
            <w:pPr>
              <w:jc w:val="center"/>
              <w:rPr>
                <w:rFonts w:hint="default" w:ascii="Times New Roman" w:hAnsi="Times New Roman" w:eastAsia="宋体" w:cs="Times New Roman"/>
                <w:color w:val="auto"/>
                <w:kern w:val="2"/>
                <w:sz w:val="18"/>
                <w:szCs w:val="18"/>
                <w:lang w:val="en-US" w:eastAsia="zh-CN" w:bidi="ar-SA"/>
              </w:rPr>
            </w:pPr>
          </w:p>
        </w:tc>
        <w:tc>
          <w:tcPr>
            <w:tcW w:w="290" w:type="pct"/>
            <w:noWrap w:val="0"/>
            <w:vAlign w:val="center"/>
          </w:tcPr>
          <w:p w14:paraId="5FE728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石油类</w:t>
            </w:r>
          </w:p>
        </w:tc>
        <w:tc>
          <w:tcPr>
            <w:tcW w:w="219" w:type="pct"/>
            <w:vMerge w:val="continue"/>
            <w:noWrap w:val="0"/>
            <w:vAlign w:val="center"/>
          </w:tcPr>
          <w:p w14:paraId="43DD3C1A">
            <w:pPr>
              <w:jc w:val="center"/>
              <w:rPr>
                <w:rFonts w:hint="default" w:ascii="Times New Roman" w:hAnsi="Times New Roman" w:eastAsia="宋体" w:cs="Times New Roman"/>
                <w:b/>
                <w:snapToGrid w:val="0"/>
                <w:color w:val="auto"/>
                <w:sz w:val="18"/>
                <w:szCs w:val="18"/>
                <w:vertAlign w:val="baseline"/>
                <w:lang w:eastAsia="zh-CN"/>
              </w:rPr>
            </w:pPr>
          </w:p>
        </w:tc>
        <w:tc>
          <w:tcPr>
            <w:tcW w:w="370" w:type="pct"/>
            <w:noWrap w:val="0"/>
            <w:vAlign w:val="center"/>
          </w:tcPr>
          <w:p w14:paraId="7A7E4D8D">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10</w:t>
            </w:r>
          </w:p>
        </w:tc>
        <w:tc>
          <w:tcPr>
            <w:tcW w:w="1240" w:type="dxa"/>
            <w:noWrap w:val="0"/>
            <w:vAlign w:val="center"/>
          </w:tcPr>
          <w:p w14:paraId="2695ABA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0.003 </w:t>
            </w:r>
          </w:p>
        </w:tc>
        <w:tc>
          <w:tcPr>
            <w:tcW w:w="252" w:type="pct"/>
            <w:vMerge w:val="continue"/>
            <w:noWrap w:val="0"/>
            <w:vAlign w:val="center"/>
          </w:tcPr>
          <w:p w14:paraId="68E50F22">
            <w:pPr>
              <w:jc w:val="center"/>
              <w:rPr>
                <w:rFonts w:hint="default" w:ascii="Times New Roman" w:hAnsi="Times New Roman" w:eastAsia="宋体" w:cs="Times New Roman"/>
                <w:b/>
                <w:snapToGrid w:val="0"/>
                <w:color w:val="auto"/>
                <w:sz w:val="18"/>
                <w:szCs w:val="18"/>
                <w:vertAlign w:val="baseline"/>
                <w:lang w:val="en-US" w:eastAsia="zh-CN"/>
              </w:rPr>
            </w:pPr>
          </w:p>
        </w:tc>
        <w:tc>
          <w:tcPr>
            <w:tcW w:w="269" w:type="pct"/>
            <w:noWrap w:val="0"/>
            <w:vAlign w:val="center"/>
          </w:tcPr>
          <w:p w14:paraId="2C3828E4">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snapToGrid w:val="0"/>
                <w:color w:val="auto"/>
                <w:kern w:val="0"/>
                <w:sz w:val="18"/>
                <w:szCs w:val="18"/>
                <w:lang w:val="en-US" w:eastAsia="zh-CN"/>
              </w:rPr>
              <w:t>0</w:t>
            </w:r>
          </w:p>
        </w:tc>
        <w:tc>
          <w:tcPr>
            <w:tcW w:w="1106" w:type="dxa"/>
            <w:noWrap w:val="0"/>
            <w:vAlign w:val="center"/>
          </w:tcPr>
          <w:p w14:paraId="49D90B93">
            <w:pPr>
              <w:jc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cs="Times New Roman"/>
                <w:color w:val="auto"/>
                <w:sz w:val="18"/>
                <w:szCs w:val="18"/>
                <w:lang w:val="en-US" w:eastAsia="zh-CN"/>
              </w:rPr>
              <w:t>10</w:t>
            </w:r>
          </w:p>
        </w:tc>
        <w:tc>
          <w:tcPr>
            <w:tcW w:w="848" w:type="dxa"/>
            <w:noWrap w:val="0"/>
            <w:vAlign w:val="center"/>
          </w:tcPr>
          <w:p w14:paraId="69B9D558">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0.003 </w:t>
            </w:r>
          </w:p>
        </w:tc>
        <w:tc>
          <w:tcPr>
            <w:tcW w:w="215" w:type="pct"/>
            <w:vMerge w:val="continue"/>
            <w:noWrap w:val="0"/>
            <w:vAlign w:val="center"/>
          </w:tcPr>
          <w:p w14:paraId="28BB53A5">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689" w:type="pct"/>
            <w:vMerge w:val="continue"/>
            <w:noWrap w:val="0"/>
            <w:vAlign w:val="center"/>
          </w:tcPr>
          <w:p w14:paraId="1278CEFC">
            <w:pPr>
              <w:jc w:val="center"/>
              <w:rPr>
                <w:rFonts w:hint="default" w:ascii="Times New Roman" w:hAnsi="Times New Roman" w:eastAsia="宋体" w:cs="Times New Roman"/>
                <w:b w:val="0"/>
                <w:bCs/>
                <w:snapToGrid w:val="0"/>
                <w:color w:val="auto"/>
                <w:sz w:val="18"/>
                <w:szCs w:val="18"/>
                <w:vertAlign w:val="baseline"/>
                <w:lang w:val="en-US" w:eastAsia="zh-CN"/>
              </w:rPr>
            </w:pPr>
          </w:p>
        </w:tc>
        <w:tc>
          <w:tcPr>
            <w:tcW w:w="337" w:type="pct"/>
            <w:noWrap w:val="0"/>
            <w:vAlign w:val="center"/>
          </w:tcPr>
          <w:p w14:paraId="05B2F497">
            <w:pPr>
              <w:jc w:val="center"/>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3</w:t>
            </w:r>
          </w:p>
        </w:tc>
        <w:tc>
          <w:tcPr>
            <w:tcW w:w="829" w:type="dxa"/>
            <w:noWrap w:val="0"/>
            <w:vAlign w:val="center"/>
          </w:tcPr>
          <w:p w14:paraId="1801BE7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0.001 </w:t>
            </w:r>
          </w:p>
        </w:tc>
        <w:tc>
          <w:tcPr>
            <w:tcW w:w="236" w:type="pct"/>
            <w:vMerge w:val="continue"/>
            <w:noWrap w:val="0"/>
            <w:vAlign w:val="center"/>
          </w:tcPr>
          <w:p w14:paraId="5762B886">
            <w:pPr>
              <w:pStyle w:val="59"/>
              <w:jc w:val="center"/>
              <w:rPr>
                <w:rFonts w:hint="default" w:ascii="Times New Roman" w:hAnsi="Times New Roman" w:eastAsia="宋体" w:cs="Times New Roman"/>
                <w:color w:val="auto"/>
                <w:sz w:val="18"/>
                <w:szCs w:val="18"/>
              </w:rPr>
            </w:pPr>
          </w:p>
        </w:tc>
      </w:tr>
    </w:tbl>
    <w:p w14:paraId="6D4F7EEB">
      <w:pPr>
        <w:pStyle w:val="65"/>
        <w:adjustRightInd w:val="0"/>
        <w:snapToGrid w:val="0"/>
        <w:spacing w:before="0" w:after="60" w:line="360" w:lineRule="auto"/>
        <w:rPr>
          <w:rFonts w:hint="default" w:ascii="Times New Roman" w:hAnsi="Times New Roman" w:eastAsia="宋体" w:cs="Times New Roman"/>
          <w:b/>
          <w:snapToGrid w:val="0"/>
          <w:color w:val="auto"/>
          <w:kern w:val="0"/>
          <w:szCs w:val="21"/>
          <w:lang w:eastAsia="zh-CN"/>
        </w:rPr>
      </w:pPr>
    </w:p>
    <w:p w14:paraId="2806CE90">
      <w:pPr>
        <w:pStyle w:val="65"/>
        <w:adjustRightInd w:val="0"/>
        <w:snapToGrid w:val="0"/>
        <w:spacing w:before="0" w:after="60" w:line="240" w:lineRule="auto"/>
        <w:rPr>
          <w:rFonts w:hint="default" w:ascii="Times New Roman" w:hAnsi="Times New Roman" w:eastAsia="宋体" w:cs="Times New Roman"/>
          <w:b/>
          <w:snapToGrid w:val="0"/>
          <w:color w:val="auto"/>
          <w:kern w:val="0"/>
          <w:szCs w:val="21"/>
          <w:lang w:eastAsia="zh-CN"/>
        </w:rPr>
      </w:pPr>
      <w:r>
        <w:rPr>
          <w:rFonts w:hint="default" w:ascii="Times New Roman" w:hAnsi="Times New Roman" w:eastAsia="宋体" w:cs="Times New Roman"/>
          <w:b/>
          <w:snapToGrid w:val="0"/>
          <w:color w:val="auto"/>
          <w:kern w:val="0"/>
          <w:szCs w:val="21"/>
          <w:lang w:eastAsia="zh-CN"/>
        </w:rPr>
        <w:t>表4-</w:t>
      </w:r>
      <w:r>
        <w:rPr>
          <w:rFonts w:hint="eastAsia" w:ascii="Times New Roman" w:hAnsi="Times New Roman" w:cs="Times New Roman"/>
          <w:b/>
          <w:snapToGrid w:val="0"/>
          <w:color w:val="auto"/>
          <w:kern w:val="0"/>
          <w:szCs w:val="21"/>
          <w:lang w:val="en-US" w:eastAsia="zh-CN"/>
        </w:rPr>
        <w:t>8</w:t>
      </w:r>
      <w:r>
        <w:rPr>
          <w:rFonts w:hint="default" w:ascii="Times New Roman" w:hAnsi="Times New Roman" w:eastAsia="宋体" w:cs="Times New Roman"/>
          <w:b/>
          <w:snapToGrid w:val="0"/>
          <w:color w:val="auto"/>
          <w:kern w:val="0"/>
          <w:szCs w:val="21"/>
          <w:lang w:eastAsia="zh-CN"/>
        </w:rPr>
        <w:t xml:space="preserve">  废水类别、污染物及污染治理设施信息表</w:t>
      </w:r>
    </w:p>
    <w:tbl>
      <w:tblPr>
        <w:tblStyle w:val="30"/>
        <w:tblW w:w="548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24"/>
        <w:gridCol w:w="1339"/>
        <w:gridCol w:w="1127"/>
        <w:gridCol w:w="1543"/>
        <w:gridCol w:w="1323"/>
        <w:gridCol w:w="1059"/>
        <w:gridCol w:w="933"/>
        <w:gridCol w:w="1212"/>
        <w:gridCol w:w="1061"/>
        <w:gridCol w:w="787"/>
        <w:gridCol w:w="707"/>
        <w:gridCol w:w="1010"/>
        <w:gridCol w:w="1663"/>
      </w:tblGrid>
      <w:tr w14:paraId="50B85D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 w:hRule="atLeast"/>
          <w:jc w:val="center"/>
        </w:trPr>
        <w:tc>
          <w:tcPr>
            <w:tcW w:w="408" w:type="pct"/>
            <w:vMerge w:val="restart"/>
            <w:noWrap w:val="0"/>
            <w:vAlign w:val="center"/>
          </w:tcPr>
          <w:p w14:paraId="7447CA8E">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序号</w:t>
            </w:r>
          </w:p>
        </w:tc>
        <w:tc>
          <w:tcPr>
            <w:tcW w:w="446" w:type="pct"/>
            <w:vMerge w:val="restart"/>
            <w:noWrap w:val="0"/>
            <w:vAlign w:val="center"/>
          </w:tcPr>
          <w:p w14:paraId="39DFE482">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废水类别</w:t>
            </w:r>
          </w:p>
        </w:tc>
        <w:tc>
          <w:tcPr>
            <w:tcW w:w="375" w:type="pct"/>
            <w:vMerge w:val="restart"/>
            <w:noWrap w:val="0"/>
            <w:vAlign w:val="center"/>
          </w:tcPr>
          <w:p w14:paraId="358DFD74">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污染物种类</w:t>
            </w:r>
          </w:p>
        </w:tc>
        <w:tc>
          <w:tcPr>
            <w:tcW w:w="956" w:type="pct"/>
            <w:gridSpan w:val="2"/>
            <w:noWrap w:val="0"/>
            <w:vAlign w:val="center"/>
          </w:tcPr>
          <w:p w14:paraId="13D2BFF3">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排放口地理坐标</w:t>
            </w:r>
          </w:p>
        </w:tc>
        <w:tc>
          <w:tcPr>
            <w:tcW w:w="353" w:type="pct"/>
            <w:vMerge w:val="restart"/>
            <w:noWrap w:val="0"/>
            <w:vAlign w:val="center"/>
          </w:tcPr>
          <w:p w14:paraId="5678A97E">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排放去向</w:t>
            </w:r>
          </w:p>
        </w:tc>
        <w:tc>
          <w:tcPr>
            <w:tcW w:w="311" w:type="pct"/>
            <w:vMerge w:val="restart"/>
            <w:noWrap w:val="0"/>
            <w:vAlign w:val="center"/>
          </w:tcPr>
          <w:p w14:paraId="3E11A83C">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排放规律</w:t>
            </w:r>
          </w:p>
        </w:tc>
        <w:tc>
          <w:tcPr>
            <w:tcW w:w="1020" w:type="pct"/>
            <w:gridSpan w:val="3"/>
            <w:noWrap w:val="0"/>
            <w:vAlign w:val="center"/>
          </w:tcPr>
          <w:p w14:paraId="4861960F">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污染治理设施</w:t>
            </w:r>
          </w:p>
        </w:tc>
        <w:tc>
          <w:tcPr>
            <w:tcW w:w="235" w:type="pct"/>
            <w:vMerge w:val="restart"/>
            <w:noWrap w:val="0"/>
            <w:vAlign w:val="center"/>
          </w:tcPr>
          <w:p w14:paraId="4AEE4D8C">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排放口</w:t>
            </w:r>
          </w:p>
          <w:p w14:paraId="52B1F52C">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vertAlign w:val="superscript"/>
                <w:lang w:val="en-US" w:eastAsia="zh-CN" w:bidi="ar-SA"/>
              </w:rPr>
            </w:pPr>
            <w:r>
              <w:rPr>
                <w:rFonts w:hint="default" w:ascii="Times New Roman" w:hAnsi="Times New Roman" w:eastAsia="宋体" w:cs="Times New Roman"/>
                <w:b/>
                <w:bCs/>
                <w:color w:val="auto"/>
                <w:kern w:val="0"/>
                <w:sz w:val="18"/>
                <w:szCs w:val="18"/>
                <w:lang w:val="en-US" w:eastAsia="zh-CN" w:bidi="ar-SA"/>
              </w:rPr>
              <w:t>编号</w:t>
            </w:r>
          </w:p>
        </w:tc>
        <w:tc>
          <w:tcPr>
            <w:tcW w:w="337" w:type="pct"/>
            <w:vMerge w:val="restart"/>
            <w:noWrap w:val="0"/>
            <w:vAlign w:val="center"/>
          </w:tcPr>
          <w:p w14:paraId="10A265E3">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排放口设置是否符合要求</w:t>
            </w:r>
          </w:p>
        </w:tc>
        <w:tc>
          <w:tcPr>
            <w:tcW w:w="554" w:type="pct"/>
            <w:vMerge w:val="restart"/>
            <w:noWrap w:val="0"/>
            <w:vAlign w:val="center"/>
          </w:tcPr>
          <w:p w14:paraId="5C5A2C5E">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排放口类型</w:t>
            </w:r>
          </w:p>
        </w:tc>
      </w:tr>
      <w:tr w14:paraId="10A40D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408" w:type="pct"/>
            <w:vMerge w:val="continue"/>
            <w:noWrap w:val="0"/>
            <w:vAlign w:val="center"/>
          </w:tcPr>
          <w:p w14:paraId="1F8D864A">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446" w:type="pct"/>
            <w:vMerge w:val="continue"/>
            <w:noWrap w:val="0"/>
            <w:vAlign w:val="center"/>
          </w:tcPr>
          <w:p w14:paraId="37195F68">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375" w:type="pct"/>
            <w:vMerge w:val="continue"/>
            <w:noWrap w:val="0"/>
            <w:vAlign w:val="center"/>
          </w:tcPr>
          <w:p w14:paraId="5E86E9C6">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514" w:type="pct"/>
            <w:noWrap w:val="0"/>
            <w:vAlign w:val="center"/>
          </w:tcPr>
          <w:p w14:paraId="761CE3A9">
            <w:pPr>
              <w:widowControl w:val="0"/>
              <w:adjustRightInd w:val="0"/>
              <w:snapToGrid w:val="0"/>
              <w:spacing w:beforeLines="0" w:afterLines="0" w:line="240" w:lineRule="auto"/>
              <w:jc w:val="center"/>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经度</w:t>
            </w:r>
          </w:p>
        </w:tc>
        <w:tc>
          <w:tcPr>
            <w:tcW w:w="441" w:type="pct"/>
            <w:noWrap w:val="0"/>
            <w:vAlign w:val="center"/>
          </w:tcPr>
          <w:p w14:paraId="39E4B9AA">
            <w:pPr>
              <w:widowControl w:val="0"/>
              <w:adjustRightInd w:val="0"/>
              <w:snapToGrid w:val="0"/>
              <w:spacing w:beforeLines="0" w:afterLines="0" w:line="240" w:lineRule="auto"/>
              <w:jc w:val="center"/>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纬度</w:t>
            </w:r>
          </w:p>
        </w:tc>
        <w:tc>
          <w:tcPr>
            <w:tcW w:w="353" w:type="pct"/>
            <w:vMerge w:val="continue"/>
            <w:noWrap w:val="0"/>
            <w:vAlign w:val="center"/>
          </w:tcPr>
          <w:p w14:paraId="1D490980">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311" w:type="pct"/>
            <w:vMerge w:val="continue"/>
            <w:noWrap w:val="0"/>
            <w:vAlign w:val="center"/>
          </w:tcPr>
          <w:p w14:paraId="3933E8FB">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404" w:type="pct"/>
            <w:noWrap w:val="0"/>
            <w:vAlign w:val="center"/>
          </w:tcPr>
          <w:p w14:paraId="6534E21C">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污染治理设施编号</w:t>
            </w:r>
          </w:p>
        </w:tc>
        <w:tc>
          <w:tcPr>
            <w:tcW w:w="353" w:type="pct"/>
            <w:noWrap w:val="0"/>
            <w:vAlign w:val="center"/>
          </w:tcPr>
          <w:p w14:paraId="793D0A8F">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污染治理设施名称</w:t>
            </w:r>
          </w:p>
        </w:tc>
        <w:tc>
          <w:tcPr>
            <w:tcW w:w="262" w:type="pct"/>
            <w:noWrap w:val="0"/>
            <w:vAlign w:val="center"/>
          </w:tcPr>
          <w:p w14:paraId="5585C440">
            <w:pPr>
              <w:widowControl w:val="0"/>
              <w:adjustRightInd w:val="0"/>
              <w:snapToGrid w:val="0"/>
              <w:spacing w:beforeLines="10" w:afterLines="10" w:line="259" w:lineRule="auto"/>
              <w:jc w:val="center"/>
              <w:textAlignment w:val="baseline"/>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bidi="ar-SA"/>
              </w:rPr>
              <w:t>污染治理设施工艺</w:t>
            </w:r>
          </w:p>
        </w:tc>
        <w:tc>
          <w:tcPr>
            <w:tcW w:w="235" w:type="pct"/>
            <w:vMerge w:val="continue"/>
            <w:noWrap w:val="0"/>
            <w:vAlign w:val="center"/>
          </w:tcPr>
          <w:p w14:paraId="63CB7916">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337" w:type="pct"/>
            <w:vMerge w:val="continue"/>
            <w:noWrap w:val="0"/>
            <w:vAlign w:val="center"/>
          </w:tcPr>
          <w:p w14:paraId="2D49A006">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c>
          <w:tcPr>
            <w:tcW w:w="554" w:type="pct"/>
            <w:vMerge w:val="continue"/>
            <w:noWrap w:val="0"/>
            <w:vAlign w:val="center"/>
          </w:tcPr>
          <w:p w14:paraId="6C3F74E7">
            <w:pPr>
              <w:widowControl w:val="0"/>
              <w:adjustRightInd w:val="0"/>
              <w:snapToGrid w:val="0"/>
              <w:spacing w:beforeLines="10" w:afterLines="10" w:line="259" w:lineRule="auto"/>
              <w:ind w:left="1100" w:hanging="460"/>
              <w:jc w:val="center"/>
              <w:textAlignment w:val="baseline"/>
              <w:rPr>
                <w:rFonts w:hint="default" w:ascii="Times New Roman" w:hAnsi="Times New Roman" w:eastAsia="宋体" w:cs="Times New Roman"/>
                <w:color w:val="auto"/>
                <w:kern w:val="0"/>
                <w:sz w:val="18"/>
                <w:szCs w:val="18"/>
                <w:lang w:val="en-US" w:eastAsia="zh-CN" w:bidi="ar-SA"/>
              </w:rPr>
            </w:pPr>
          </w:p>
        </w:tc>
      </w:tr>
      <w:tr w14:paraId="517B65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65" w:hRule="atLeast"/>
          <w:jc w:val="center"/>
        </w:trPr>
        <w:tc>
          <w:tcPr>
            <w:tcW w:w="408" w:type="pct"/>
            <w:noWrap w:val="0"/>
            <w:vAlign w:val="center"/>
          </w:tcPr>
          <w:p w14:paraId="02358EBE">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1</w:t>
            </w:r>
          </w:p>
        </w:tc>
        <w:tc>
          <w:tcPr>
            <w:tcW w:w="446" w:type="pct"/>
            <w:noWrap w:val="0"/>
            <w:vAlign w:val="center"/>
          </w:tcPr>
          <w:p w14:paraId="6F9E5D2D">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napToGrid w:val="0"/>
                <w:color w:val="auto"/>
                <w:kern w:val="0"/>
                <w:sz w:val="18"/>
                <w:szCs w:val="18"/>
                <w:lang w:val="en-US" w:eastAsia="zh-CN" w:bidi="ar-SA"/>
              </w:rPr>
              <w:t>生活污水、</w:t>
            </w:r>
            <w:r>
              <w:rPr>
                <w:rFonts w:hint="eastAsia" w:ascii="Times New Roman" w:hAnsi="Times New Roman" w:cs="Times New Roman"/>
                <w:snapToGrid w:val="0"/>
                <w:color w:val="auto"/>
                <w:kern w:val="0"/>
                <w:sz w:val="18"/>
                <w:szCs w:val="18"/>
                <w:lang w:val="en-US" w:eastAsia="zh-CN" w:bidi="ar-SA"/>
              </w:rPr>
              <w:t>地面清洁</w:t>
            </w:r>
            <w:r>
              <w:rPr>
                <w:rFonts w:hint="default" w:ascii="Times New Roman" w:hAnsi="Times New Roman" w:eastAsia="宋体" w:cs="Times New Roman"/>
                <w:snapToGrid w:val="0"/>
                <w:color w:val="auto"/>
                <w:kern w:val="0"/>
                <w:sz w:val="18"/>
                <w:szCs w:val="18"/>
                <w:lang w:val="en-US" w:eastAsia="zh-CN" w:bidi="ar-SA"/>
              </w:rPr>
              <w:t>废水</w:t>
            </w:r>
          </w:p>
        </w:tc>
        <w:tc>
          <w:tcPr>
            <w:tcW w:w="375" w:type="pct"/>
            <w:noWrap w:val="0"/>
            <w:vAlign w:val="center"/>
          </w:tcPr>
          <w:p w14:paraId="3B669BBE">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pH</w:t>
            </w:r>
          </w:p>
          <w:p w14:paraId="26EE00A1">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COD</w:t>
            </w:r>
          </w:p>
          <w:p w14:paraId="040EB2B6">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vertAlign w:val="subscript"/>
                <w:lang w:val="en-US" w:eastAsia="zh-CN" w:bidi="ar-SA"/>
              </w:rPr>
            </w:pPr>
            <w:r>
              <w:rPr>
                <w:rFonts w:hint="default" w:ascii="Times New Roman" w:hAnsi="Times New Roman" w:eastAsia="宋体" w:cs="Times New Roman"/>
                <w:color w:val="auto"/>
                <w:kern w:val="0"/>
                <w:sz w:val="18"/>
                <w:szCs w:val="18"/>
                <w:lang w:val="en-US" w:eastAsia="zh-CN" w:bidi="ar-SA"/>
              </w:rPr>
              <w:t>BOD</w:t>
            </w:r>
            <w:r>
              <w:rPr>
                <w:rFonts w:hint="default" w:ascii="Times New Roman" w:hAnsi="Times New Roman" w:eastAsia="宋体" w:cs="Times New Roman"/>
                <w:color w:val="auto"/>
                <w:kern w:val="0"/>
                <w:sz w:val="18"/>
                <w:szCs w:val="18"/>
                <w:vertAlign w:val="subscript"/>
                <w:lang w:val="en-US" w:eastAsia="zh-CN" w:bidi="ar-SA"/>
              </w:rPr>
              <w:t>5</w:t>
            </w:r>
          </w:p>
          <w:p w14:paraId="20953C63">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SS</w:t>
            </w:r>
          </w:p>
          <w:p w14:paraId="75281DD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p w14:paraId="76299E9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石油类</w:t>
            </w:r>
          </w:p>
        </w:tc>
        <w:tc>
          <w:tcPr>
            <w:tcW w:w="514" w:type="pct"/>
            <w:noWrap w:val="0"/>
            <w:vAlign w:val="center"/>
          </w:tcPr>
          <w:p w14:paraId="5E7D74F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106.296133783</w:t>
            </w:r>
          </w:p>
        </w:tc>
        <w:tc>
          <w:tcPr>
            <w:tcW w:w="441" w:type="pct"/>
            <w:noWrap w:val="0"/>
            <w:vAlign w:val="center"/>
          </w:tcPr>
          <w:p w14:paraId="5C22676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29.936807919</w:t>
            </w:r>
          </w:p>
        </w:tc>
        <w:tc>
          <w:tcPr>
            <w:tcW w:w="353" w:type="pct"/>
            <w:noWrap w:val="0"/>
            <w:vAlign w:val="center"/>
          </w:tcPr>
          <w:p w14:paraId="33CBD85F">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b w:val="0"/>
                <w:bCs/>
                <w:snapToGrid w:val="0"/>
                <w:color w:val="auto"/>
                <w:sz w:val="18"/>
                <w:szCs w:val="18"/>
                <w:vertAlign w:val="baseline"/>
                <w:lang w:val="en-US" w:eastAsia="zh-CN"/>
              </w:rPr>
              <w:t>南溪组团A区污水处理厂</w:t>
            </w:r>
          </w:p>
        </w:tc>
        <w:tc>
          <w:tcPr>
            <w:tcW w:w="311" w:type="pct"/>
            <w:noWrap w:val="0"/>
            <w:vAlign w:val="center"/>
          </w:tcPr>
          <w:p w14:paraId="5EE2B4A5">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间歇排放，流量不稳定、无规律</w:t>
            </w:r>
          </w:p>
        </w:tc>
        <w:tc>
          <w:tcPr>
            <w:tcW w:w="404" w:type="pct"/>
            <w:noWrap w:val="0"/>
            <w:vAlign w:val="center"/>
          </w:tcPr>
          <w:p w14:paraId="2EEA3E95">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TW001</w:t>
            </w:r>
          </w:p>
        </w:tc>
        <w:tc>
          <w:tcPr>
            <w:tcW w:w="353" w:type="pct"/>
            <w:noWrap w:val="0"/>
            <w:vAlign w:val="center"/>
          </w:tcPr>
          <w:p w14:paraId="79715BF8">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生化池</w:t>
            </w:r>
          </w:p>
        </w:tc>
        <w:tc>
          <w:tcPr>
            <w:tcW w:w="262" w:type="pct"/>
            <w:noWrap w:val="0"/>
            <w:vAlign w:val="center"/>
          </w:tcPr>
          <w:p w14:paraId="053B3E91">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厌氧</w:t>
            </w:r>
          </w:p>
        </w:tc>
        <w:tc>
          <w:tcPr>
            <w:tcW w:w="235" w:type="pct"/>
            <w:noWrap w:val="0"/>
            <w:vAlign w:val="center"/>
          </w:tcPr>
          <w:p w14:paraId="776FD392">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vertAlign w:val="superscript"/>
                <w:lang w:val="en-US" w:eastAsia="zh-CN" w:bidi="ar-SA"/>
              </w:rPr>
            </w:pPr>
            <w:r>
              <w:rPr>
                <w:rFonts w:hint="default" w:ascii="Times New Roman" w:hAnsi="Times New Roman" w:eastAsia="宋体" w:cs="Times New Roman"/>
                <w:color w:val="auto"/>
                <w:kern w:val="0"/>
                <w:sz w:val="18"/>
                <w:szCs w:val="18"/>
                <w:lang w:val="en-US" w:eastAsia="zh-CN" w:bidi="ar-SA"/>
              </w:rPr>
              <w:t>DW001</w:t>
            </w:r>
          </w:p>
        </w:tc>
        <w:tc>
          <w:tcPr>
            <w:tcW w:w="337" w:type="pct"/>
            <w:noWrap w:val="0"/>
            <w:vAlign w:val="center"/>
          </w:tcPr>
          <w:p w14:paraId="63299697">
            <w:pPr>
              <w:widowControl w:val="0"/>
              <w:adjustRightInd w:val="0"/>
              <w:snapToGrid w:val="0"/>
              <w:spacing w:beforeLines="10" w:afterLines="10" w:line="259" w:lineRule="auto"/>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符合</w:t>
            </w:r>
          </w:p>
        </w:tc>
        <w:tc>
          <w:tcPr>
            <w:tcW w:w="554" w:type="pct"/>
            <w:noWrap w:val="0"/>
            <w:vAlign w:val="center"/>
          </w:tcPr>
          <w:p w14:paraId="442E39A2">
            <w:pPr>
              <w:widowControl w:val="0"/>
              <w:adjustRightInd w:val="0"/>
              <w:snapToGrid w:val="0"/>
              <w:spacing w:beforeLines="10" w:afterLines="10" w:line="259"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b/>
                <w:color w:val="auto"/>
                <w:kern w:val="0"/>
                <w:sz w:val="18"/>
                <w:szCs w:val="18"/>
                <w:lang w:val="en-US" w:eastAsia="zh-CN" w:bidi="ar-SA"/>
              </w:rPr>
              <w:t xml:space="preserve">√ </w:t>
            </w:r>
            <w:r>
              <w:rPr>
                <w:rFonts w:hint="default" w:ascii="Times New Roman" w:hAnsi="Times New Roman" w:eastAsia="宋体" w:cs="Times New Roman"/>
                <w:color w:val="auto"/>
                <w:kern w:val="0"/>
                <w:sz w:val="18"/>
                <w:szCs w:val="18"/>
                <w:lang w:val="en-US" w:eastAsia="zh-CN" w:bidi="ar-SA"/>
              </w:rPr>
              <w:t>企业总排</w:t>
            </w:r>
          </w:p>
          <w:p w14:paraId="587E05E8">
            <w:pPr>
              <w:widowControl w:val="0"/>
              <w:adjustRightInd w:val="0"/>
              <w:snapToGrid w:val="0"/>
              <w:spacing w:beforeLines="10" w:afterLines="10" w:line="259"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□雨水排放</w:t>
            </w:r>
          </w:p>
          <w:p w14:paraId="40B3713C">
            <w:pPr>
              <w:widowControl w:val="0"/>
              <w:adjustRightInd w:val="0"/>
              <w:snapToGrid w:val="0"/>
              <w:spacing w:beforeLines="10" w:afterLines="10" w:line="259"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□清净下水排放</w:t>
            </w:r>
          </w:p>
          <w:p w14:paraId="09D0C8C0">
            <w:pPr>
              <w:widowControl w:val="0"/>
              <w:adjustRightInd w:val="0"/>
              <w:snapToGrid w:val="0"/>
              <w:spacing w:beforeLines="10" w:afterLines="10" w:line="259"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□温排水排放</w:t>
            </w:r>
          </w:p>
          <w:p w14:paraId="064E6550">
            <w:pPr>
              <w:widowControl w:val="0"/>
              <w:adjustRightInd w:val="0"/>
              <w:snapToGrid w:val="0"/>
              <w:spacing w:beforeLines="10" w:afterLines="10" w:line="259"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□车间或车间处理设施排放口</w:t>
            </w:r>
          </w:p>
        </w:tc>
      </w:tr>
    </w:tbl>
    <w:p w14:paraId="14919F6B">
      <w:pPr>
        <w:pStyle w:val="26"/>
        <w:outlineLvl w:val="0"/>
        <w:rPr>
          <w:rFonts w:hint="default" w:ascii="Times New Roman" w:hAnsi="Times New Roman"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8348"/>
      </w:tblGrid>
      <w:tr w14:paraId="428DC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7D4CD9F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4AC975B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04BF01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48F9DF2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7C4C1E3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3366968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noWrap w:val="0"/>
            <w:vAlign w:val="center"/>
          </w:tcPr>
          <w:p w14:paraId="0F6C8E84">
            <w:pPr>
              <w:adjustRightInd w:val="0"/>
              <w:snapToGrid w:val="0"/>
              <w:spacing w:line="360" w:lineRule="auto"/>
              <w:ind w:firstLine="382"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（2）生化池处理工艺、依托及达标可行性分析</w:t>
            </w:r>
          </w:p>
          <w:p w14:paraId="117E690B">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本项目营运期产生的</w:t>
            </w:r>
            <w:r>
              <w:rPr>
                <w:rFonts w:hint="eastAsia" w:ascii="Times New Roman" w:hAnsi="Times New Roman" w:cs="Times New Roman"/>
                <w:color w:val="auto"/>
                <w:sz w:val="21"/>
                <w:szCs w:val="21"/>
                <w:lang w:val="en-US" w:eastAsia="zh-CN"/>
              </w:rPr>
              <w:t>地面清洁废水与生活污水</w:t>
            </w:r>
            <w:r>
              <w:rPr>
                <w:rFonts w:hint="default" w:ascii="Times New Roman" w:hAnsi="Times New Roman" w:eastAsia="宋体" w:cs="Times New Roman"/>
                <w:color w:val="auto"/>
                <w:sz w:val="21"/>
                <w:szCs w:val="21"/>
                <w:lang w:val="en-US" w:eastAsia="zh-CN"/>
              </w:rPr>
              <w:t>一起排入</w:t>
            </w:r>
            <w:r>
              <w:rPr>
                <w:rFonts w:hint="default" w:ascii="Times New Roman" w:hAnsi="Times New Roman" w:eastAsia="宋体" w:cs="Times New Roman"/>
                <w:color w:val="auto"/>
                <w:sz w:val="21"/>
                <w:szCs w:val="21"/>
                <w:lang w:eastAsia="zh-CN"/>
              </w:rPr>
              <w:t>现有生化池</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 w:val="21"/>
                <w:szCs w:val="21"/>
                <w:lang w:eastAsia="zh-CN"/>
              </w:rPr>
              <w:t>生化池</w:t>
            </w:r>
            <w:r>
              <w:rPr>
                <w:rFonts w:hint="default" w:ascii="Times New Roman" w:hAnsi="Times New Roman" w:eastAsia="宋体" w:cs="Times New Roman"/>
                <w:color w:val="auto"/>
                <w:sz w:val="21"/>
                <w:szCs w:val="21"/>
                <w:lang w:val="en-US" w:eastAsia="zh-CN"/>
              </w:rPr>
              <w:t>位于</w:t>
            </w:r>
            <w:r>
              <w:rPr>
                <w:rFonts w:hint="eastAsia" w:ascii="Times New Roman" w:hAnsi="Times New Roman" w:cs="Times New Roman"/>
                <w:color w:val="auto"/>
                <w:szCs w:val="21"/>
                <w:lang w:val="en-US" w:eastAsia="zh-CN"/>
              </w:rPr>
              <w:t>东</w:t>
            </w:r>
            <w:r>
              <w:rPr>
                <w:rFonts w:hint="default" w:ascii="Times New Roman" w:hAnsi="Times New Roman" w:cs="Times New Roman"/>
                <w:color w:val="auto"/>
                <w:szCs w:val="21"/>
                <w:lang w:val="en-US" w:eastAsia="zh-CN"/>
              </w:rPr>
              <w:t>南侧，该</w:t>
            </w:r>
            <w:r>
              <w:rPr>
                <w:rFonts w:hint="default" w:ascii="Times New Roman" w:hAnsi="Times New Roman" w:eastAsia="宋体" w:cs="Times New Roman"/>
                <w:color w:val="auto"/>
                <w:szCs w:val="21"/>
                <w:lang w:val="en-US" w:eastAsia="zh-CN"/>
              </w:rPr>
              <w:t>生化池</w:t>
            </w:r>
            <w:r>
              <w:rPr>
                <w:rFonts w:hint="default" w:ascii="Times New Roman" w:hAnsi="Times New Roman" w:eastAsia="宋体" w:cs="Times New Roman"/>
                <w:color w:val="auto"/>
                <w:szCs w:val="21"/>
              </w:rPr>
              <w:t>设计处理能力为</w:t>
            </w:r>
            <w:r>
              <w:rPr>
                <w:rFonts w:hint="eastAsia" w:ascii="Times New Roman" w:hAnsi="Times New Roman" w:cs="Times New Roman"/>
                <w:color w:val="auto"/>
                <w:szCs w:val="21"/>
                <w:lang w:val="en-US" w:eastAsia="zh-CN"/>
              </w:rPr>
              <w:t>7</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/d，主要收集处理生活污水，</w:t>
            </w:r>
            <w:r>
              <w:rPr>
                <w:rFonts w:hint="default" w:ascii="Times New Roman" w:hAnsi="Times New Roman" w:eastAsia="宋体" w:cs="Times New Roman"/>
                <w:color w:val="auto"/>
                <w:szCs w:val="21"/>
                <w:lang w:eastAsia="zh-CN"/>
              </w:rPr>
              <w:t>目前</w:t>
            </w:r>
            <w:r>
              <w:rPr>
                <w:rFonts w:hint="default" w:ascii="Times New Roman" w:hAnsi="Times New Roman" w:eastAsia="宋体" w:cs="Times New Roman"/>
                <w:color w:val="auto"/>
                <w:sz w:val="21"/>
                <w:szCs w:val="21"/>
                <w:lang w:eastAsia="zh-CN"/>
              </w:rPr>
              <w:t>入驻企业较少，</w:t>
            </w:r>
            <w:r>
              <w:rPr>
                <w:rFonts w:hint="default" w:ascii="Times New Roman" w:hAnsi="Times New Roman" w:eastAsia="宋体" w:cs="Times New Roman"/>
                <w:color w:val="auto"/>
                <w:szCs w:val="21"/>
              </w:rPr>
              <w:t>该生化池剩余接纳能力</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r>
              <w:rPr>
                <w:rFonts w:hint="default" w:ascii="Times New Roman" w:hAnsi="Times New Roman" w:eastAsia="宋体" w:cs="Times New Roman"/>
                <w:color w:val="auto"/>
                <w:szCs w:val="21"/>
                <w:lang w:eastAsia="zh-CN"/>
              </w:rPr>
              <w:t>，剩余处理能力充足</w:t>
            </w:r>
            <w:r>
              <w:rPr>
                <w:rFonts w:hint="default" w:ascii="Times New Roman" w:hAnsi="Times New Roman" w:eastAsia="宋体" w:cs="Times New Roman"/>
                <w:color w:val="auto"/>
                <w:szCs w:val="21"/>
              </w:rPr>
              <w:t>，本项目新增污水量为</w:t>
            </w:r>
            <w:r>
              <w:rPr>
                <w:rFonts w:hint="eastAsia" w:ascii="Times New Roman" w:hAnsi="Times New Roman" w:cs="Times New Roman"/>
                <w:color w:val="auto"/>
                <w:szCs w:val="21"/>
                <w:lang w:val="en-US" w:eastAsia="zh-CN"/>
              </w:rPr>
              <w:t>0.972</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/d，小于其剩余处理能力，且本项目生活污水成分较简单，不会对生化池造成较大冲击，采取的措施为</w:t>
            </w:r>
            <w:r>
              <w:rPr>
                <w:rFonts w:hint="default" w:ascii="Times New Roman" w:hAnsi="Times New Roman" w:eastAsia="宋体" w:cs="Times New Roman"/>
                <w:color w:val="auto"/>
                <w:szCs w:val="21"/>
                <w:lang w:val="en-US" w:eastAsia="zh-CN"/>
              </w:rPr>
              <w:t>《排污许可证申请与核发技术规范 橡胶和塑料制品工业》（HJ1122--2020）中推荐的</w:t>
            </w:r>
            <w:r>
              <w:rPr>
                <w:rFonts w:hint="default" w:ascii="Times New Roman" w:hAnsi="Times New Roman" w:eastAsia="宋体" w:cs="Times New Roman"/>
                <w:color w:val="auto"/>
                <w:szCs w:val="21"/>
              </w:rPr>
              <w:t>技术</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因此本项目生活污水</w:t>
            </w:r>
            <w:r>
              <w:rPr>
                <w:rFonts w:hint="default" w:ascii="Times New Roman" w:hAnsi="Times New Roman" w:eastAsia="宋体" w:cs="Times New Roman"/>
                <w:color w:val="auto"/>
                <w:szCs w:val="21"/>
                <w:lang w:eastAsia="zh-CN"/>
              </w:rPr>
              <w:t>排入</w:t>
            </w:r>
            <w:r>
              <w:rPr>
                <w:rFonts w:hint="default" w:ascii="Times New Roman" w:hAnsi="Times New Roman" w:eastAsia="宋体" w:cs="Times New Roman"/>
                <w:color w:val="auto"/>
                <w:szCs w:val="21"/>
              </w:rPr>
              <w:t>该生化池处理可行。</w:t>
            </w:r>
          </w:p>
          <w:p w14:paraId="20EEC5AB">
            <w:pPr>
              <w:adjustRightInd w:val="0"/>
              <w:snapToGrid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（3）本项目废水进入污水处理厂可行性分析</w:t>
            </w:r>
          </w:p>
          <w:p w14:paraId="62779CB7">
            <w:pPr>
              <w:spacing w:line="360" w:lineRule="auto"/>
              <w:ind w:firstLine="420" w:firstLineChars="200"/>
              <w:rPr>
                <w:rFonts w:ascii="Times New Roman" w:hAnsi="Times New Roman" w:cs="Times New Roman"/>
                <w:bCs/>
                <w:color w:val="auto"/>
                <w:sz w:val="21"/>
                <w:szCs w:val="21"/>
              </w:rPr>
            </w:pPr>
            <w:r>
              <w:rPr>
                <w:rFonts w:ascii="Times New Roman" w:hAnsi="Times New Roman" w:cs="Times New Roman"/>
                <w:bCs/>
                <w:color w:val="auto"/>
                <w:sz w:val="21"/>
                <w:szCs w:val="21"/>
              </w:rPr>
              <w:t>南溪组团A区污水处理厂处理规模2万m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/d，采用A/O处理工艺，主要对园区投产企业的生活污水、生产废水及</w:t>
            </w:r>
            <w:r>
              <w:rPr>
                <w:rFonts w:hint="eastAsia" w:cs="Times New Roman"/>
                <w:bCs/>
                <w:color w:val="auto"/>
                <w:sz w:val="21"/>
                <w:szCs w:val="21"/>
                <w:lang w:eastAsia="zh-CN"/>
              </w:rPr>
              <w:t>公共设施</w:t>
            </w:r>
            <w:r>
              <w:rPr>
                <w:rFonts w:ascii="Times New Roman" w:hAnsi="Times New Roman" w:cs="Times New Roman"/>
                <w:bCs/>
                <w:color w:val="auto"/>
                <w:sz w:val="21"/>
                <w:szCs w:val="21"/>
              </w:rPr>
              <w:t>、交通设施等产生的生活污水进行处理，设计出水水质满足《城镇污水处理厂污染物排放标准》（</w:t>
            </w:r>
            <w:r>
              <w:rPr>
                <w:rFonts w:hint="eastAsia" w:cs="Times New Roman"/>
                <w:bCs/>
                <w:color w:val="auto"/>
                <w:sz w:val="21"/>
                <w:szCs w:val="21"/>
                <w:lang w:eastAsia="zh-CN"/>
              </w:rPr>
              <w:t>GB 1891</w:t>
            </w:r>
            <w:r>
              <w:rPr>
                <w:rFonts w:ascii="Times New Roman" w:hAnsi="Times New Roman" w:cs="Times New Roman"/>
                <w:bCs/>
                <w:color w:val="auto"/>
                <w:sz w:val="21"/>
                <w:szCs w:val="21"/>
              </w:rPr>
              <w:t>8-2002）中一级标准的B级标准。污水处理厂于2014年8月开工建设，2017年8月进行了调试，目前园区污水管完善，所有企业均能进入园区污水处理厂。根据园区污水处理厂运行记录，目前园区污水剩余处理能力约7000~7500m</w:t>
            </w:r>
            <w:r>
              <w:rPr>
                <w:rFonts w:ascii="Times New Roman" w:hAnsi="Times New Roman" w:cs="Times New Roman"/>
                <w:bCs/>
                <w:color w:val="auto"/>
                <w:sz w:val="21"/>
                <w:szCs w:val="21"/>
                <w:vertAlign w:val="superscript"/>
              </w:rPr>
              <w:t>3</w:t>
            </w:r>
            <w:r>
              <w:rPr>
                <w:rFonts w:ascii="Times New Roman" w:hAnsi="Times New Roman" w:cs="Times New Roman"/>
                <w:bCs/>
                <w:color w:val="auto"/>
                <w:sz w:val="21"/>
                <w:szCs w:val="21"/>
              </w:rPr>
              <w:t>/d。</w:t>
            </w:r>
          </w:p>
          <w:p w14:paraId="107BADE6">
            <w:pPr>
              <w:spacing w:line="360" w:lineRule="auto"/>
              <w:ind w:firstLine="420" w:firstLineChars="200"/>
              <w:rPr>
                <w:rFonts w:hint="default" w:ascii="Times New Roman" w:hAnsi="Times New Roman" w:eastAsia="宋体" w:cs="Times New Roman"/>
                <w:color w:val="auto"/>
                <w:kern w:val="0"/>
                <w:sz w:val="21"/>
                <w:szCs w:val="21"/>
              </w:rPr>
            </w:pPr>
            <w:r>
              <w:rPr>
                <w:rFonts w:ascii="Times New Roman" w:hAnsi="Times New Roman" w:cs="Times New Roman"/>
                <w:bCs/>
                <w:color w:val="auto"/>
                <w:sz w:val="21"/>
                <w:szCs w:val="21"/>
              </w:rPr>
              <w:t>本项目属于园区污水处理厂收水范围内且项目周边污水管网已完善，本项目营运期生产废水产生量较小，主要以非持久性有机污染物为主，水质成分较简单，污染物浓度低，不会对污水处理厂造成冲击负荷，废水经园区处理厂深度处理后排放是可行的</w:t>
            </w:r>
            <w:r>
              <w:rPr>
                <w:rFonts w:hint="eastAsia" w:ascii="Times New Roman" w:hAnsi="Times New Roman" w:cs="Times New Roman"/>
                <w:bCs/>
                <w:color w:val="auto"/>
                <w:sz w:val="21"/>
                <w:szCs w:val="21"/>
                <w:lang w:eastAsia="zh-CN"/>
              </w:rPr>
              <w:t>，且</w:t>
            </w:r>
            <w:r>
              <w:rPr>
                <w:rFonts w:hint="default" w:ascii="Times New Roman" w:hAnsi="Times New Roman" w:eastAsia="宋体" w:cs="Times New Roman"/>
                <w:color w:val="auto"/>
                <w:kern w:val="0"/>
                <w:sz w:val="21"/>
                <w:szCs w:val="21"/>
              </w:rPr>
              <w:t>根据调查，</w:t>
            </w:r>
            <w:r>
              <w:rPr>
                <w:rFonts w:hint="eastAsia" w:ascii="Times New Roman" w:hAnsi="Times New Roman" w:cs="Times New Roman"/>
                <w:color w:val="auto"/>
                <w:kern w:val="0"/>
                <w:sz w:val="21"/>
                <w:szCs w:val="21"/>
                <w:lang w:eastAsia="zh-CN"/>
              </w:rPr>
              <w:t>南溪组团A区污水处理厂</w:t>
            </w:r>
            <w:r>
              <w:rPr>
                <w:rFonts w:hint="default" w:ascii="Times New Roman" w:hAnsi="Times New Roman" w:eastAsia="宋体" w:cs="Times New Roman"/>
                <w:color w:val="auto"/>
                <w:kern w:val="0"/>
                <w:sz w:val="21"/>
                <w:szCs w:val="21"/>
              </w:rPr>
              <w:t>自运行以来，污水处理设施运行良好，目前尚有充足的富余处理能力，可接受项目排入的污水量。</w:t>
            </w:r>
          </w:p>
          <w:p w14:paraId="5FBCD32A">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由此可见，本项目采取以上废水污染防治措施后，将有效减轻对地表水环境的影响，对水环境影响较小。</w:t>
            </w:r>
          </w:p>
          <w:p w14:paraId="13C30E67">
            <w:pPr>
              <w:numPr>
                <w:ilvl w:val="0"/>
                <w:numId w:val="1"/>
              </w:numPr>
              <w:adjustRightInd w:val="0"/>
              <w:snapToGrid w:val="0"/>
              <w:spacing w:line="360" w:lineRule="auto"/>
              <w:ind w:left="0" w:leftChars="0"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监测要求</w:t>
            </w:r>
          </w:p>
          <w:p w14:paraId="7E332D73">
            <w:pPr>
              <w:numPr>
                <w:ilvl w:val="0"/>
                <w:numId w:val="0"/>
              </w:numPr>
              <w:adjustRightInd w:val="0"/>
              <w:snapToGrid w:val="0"/>
              <w:spacing w:line="360" w:lineRule="auto"/>
              <w:ind w:firstLine="380" w:firstLineChars="200"/>
              <w:rPr>
                <w:rFonts w:hint="default" w:ascii="Times New Roman" w:hAnsi="Times New Roman" w:eastAsia="宋体" w:cs="Times New Roman"/>
                <w:b w:val="0"/>
                <w:bCs w:val="0"/>
                <w:color w:val="auto"/>
                <w:spacing w:val="-10"/>
                <w:szCs w:val="21"/>
              </w:rPr>
            </w:pPr>
            <w:r>
              <w:rPr>
                <w:rFonts w:hint="default" w:ascii="Times New Roman" w:hAnsi="Times New Roman" w:eastAsia="宋体" w:cs="Times New Roman"/>
                <w:b w:val="0"/>
                <w:bCs w:val="0"/>
                <w:color w:val="auto"/>
                <w:spacing w:val="-10"/>
                <w:szCs w:val="21"/>
              </w:rPr>
              <w:t>根据《排污许可证申请与核发技术规范 橡胶和塑料制品工业》（HJ1122-</w:t>
            </w:r>
            <w:r>
              <w:rPr>
                <w:rFonts w:hint="default" w:ascii="Times New Roman" w:hAnsi="Times New Roman" w:eastAsia="宋体" w:cs="Times New Roman"/>
                <w:b w:val="0"/>
                <w:bCs w:val="0"/>
                <w:color w:val="auto"/>
                <w:spacing w:val="-10"/>
                <w:szCs w:val="21"/>
                <w:lang w:val="en-US" w:eastAsia="zh-CN"/>
              </w:rPr>
              <w:t>-</w:t>
            </w:r>
            <w:r>
              <w:rPr>
                <w:rFonts w:hint="default" w:ascii="Times New Roman" w:hAnsi="Times New Roman" w:eastAsia="宋体" w:cs="Times New Roman"/>
                <w:b w:val="0"/>
                <w:bCs w:val="0"/>
                <w:color w:val="auto"/>
                <w:spacing w:val="-10"/>
                <w:szCs w:val="21"/>
              </w:rPr>
              <w:t>2020）可知，其废水自行监测主要针对重点管理、简化管理项目</w:t>
            </w:r>
            <w:r>
              <w:rPr>
                <w:rFonts w:hint="default" w:ascii="Times New Roman" w:hAnsi="Times New Roman" w:eastAsia="宋体" w:cs="Times New Roman"/>
                <w:b w:val="0"/>
                <w:bCs w:val="0"/>
                <w:color w:val="auto"/>
                <w:spacing w:val="-10"/>
                <w:szCs w:val="21"/>
                <w:lang w:eastAsia="zh-CN"/>
              </w:rPr>
              <w:t>，</w:t>
            </w:r>
            <w:r>
              <w:rPr>
                <w:rFonts w:hint="default" w:ascii="Times New Roman" w:hAnsi="Times New Roman" w:eastAsia="宋体" w:cs="Times New Roman"/>
                <w:b w:val="0"/>
                <w:bCs w:val="0"/>
                <w:color w:val="auto"/>
                <w:spacing w:val="-10"/>
                <w:szCs w:val="21"/>
              </w:rPr>
              <w:t>对照《固定污染源排污许可分类管理名录》</w:t>
            </w:r>
            <w:r>
              <w:rPr>
                <w:rFonts w:hint="default" w:ascii="Times New Roman" w:hAnsi="Times New Roman" w:eastAsia="宋体" w:cs="Times New Roman"/>
                <w:b w:val="0"/>
                <w:bCs w:val="0"/>
                <w:color w:val="auto"/>
                <w:spacing w:val="-10"/>
                <w:szCs w:val="21"/>
                <w:lang w:eastAsia="zh-CN"/>
              </w:rPr>
              <w:t>（</w:t>
            </w:r>
            <w:r>
              <w:rPr>
                <w:rFonts w:hint="default" w:ascii="Times New Roman" w:hAnsi="Times New Roman" w:eastAsia="宋体" w:cs="Times New Roman"/>
                <w:b w:val="0"/>
                <w:bCs w:val="0"/>
                <w:color w:val="auto"/>
                <w:spacing w:val="-10"/>
                <w:szCs w:val="21"/>
              </w:rPr>
              <w:t>2019年版</w:t>
            </w:r>
            <w:r>
              <w:rPr>
                <w:rFonts w:hint="default" w:ascii="Times New Roman" w:hAnsi="Times New Roman" w:eastAsia="宋体" w:cs="Times New Roman"/>
                <w:b w:val="0"/>
                <w:bCs w:val="0"/>
                <w:color w:val="auto"/>
                <w:spacing w:val="-10"/>
                <w:szCs w:val="21"/>
                <w:lang w:eastAsia="zh-CN"/>
              </w:rPr>
              <w:t>）</w:t>
            </w:r>
            <w:r>
              <w:rPr>
                <w:rFonts w:hint="default" w:ascii="Times New Roman" w:hAnsi="Times New Roman" w:eastAsia="宋体" w:cs="Times New Roman"/>
                <w:b w:val="0"/>
                <w:bCs w:val="0"/>
                <w:color w:val="auto"/>
                <w:spacing w:val="-10"/>
                <w:szCs w:val="21"/>
              </w:rPr>
              <w:t>，本项目排污许可分类属于登记管理，故本项目废水应根据《排污单位自行监测技术指南总则》</w:t>
            </w:r>
            <w:r>
              <w:rPr>
                <w:rFonts w:hint="eastAsia" w:ascii="Times New Roman" w:hAnsi="Times New Roman" w:cs="Times New Roman"/>
                <w:b w:val="0"/>
                <w:bCs w:val="0"/>
                <w:color w:val="auto"/>
                <w:spacing w:val="-10"/>
                <w:szCs w:val="21"/>
                <w:lang w:eastAsia="zh-CN"/>
              </w:rPr>
              <w:t>（</w:t>
            </w:r>
            <w:r>
              <w:rPr>
                <w:rFonts w:hint="default" w:ascii="Times New Roman" w:hAnsi="Times New Roman" w:eastAsia="宋体" w:cs="Times New Roman"/>
                <w:b w:val="0"/>
                <w:bCs w:val="0"/>
                <w:color w:val="auto"/>
                <w:spacing w:val="-10"/>
                <w:szCs w:val="21"/>
              </w:rPr>
              <w:t>HJ819-2017</w:t>
            </w:r>
            <w:r>
              <w:rPr>
                <w:rFonts w:hint="eastAsia" w:cs="Times New Roman"/>
                <w:b w:val="0"/>
                <w:bCs w:val="0"/>
                <w:color w:val="auto"/>
                <w:spacing w:val="-10"/>
                <w:szCs w:val="21"/>
                <w:lang w:eastAsia="zh-CN"/>
              </w:rPr>
              <w:t>）</w:t>
            </w:r>
            <w:r>
              <w:rPr>
                <w:rFonts w:hint="default" w:ascii="Times New Roman" w:hAnsi="Times New Roman" w:eastAsia="宋体" w:cs="Times New Roman"/>
                <w:b w:val="0"/>
                <w:bCs w:val="0"/>
                <w:color w:val="auto"/>
                <w:spacing w:val="-10"/>
                <w:szCs w:val="21"/>
              </w:rPr>
              <w:t xml:space="preserve"> 进行监测，具体监测情况见下表。</w:t>
            </w:r>
          </w:p>
          <w:p w14:paraId="45C06AA3">
            <w:pPr>
              <w:adjustRightInd w:val="0"/>
              <w:snapToGrid w:val="0"/>
              <w:ind w:firstLine="422"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w:t>
            </w:r>
            <w:r>
              <w:rPr>
                <w:rFonts w:hint="default" w:ascii="Times New Roman" w:hAnsi="Times New Roman" w:eastAsia="宋体" w:cs="Times New Roman"/>
                <w:b/>
                <w:color w:val="auto"/>
                <w:lang w:val="en-US" w:eastAsia="zh-CN"/>
              </w:rPr>
              <w:t>-</w:t>
            </w:r>
            <w:r>
              <w:rPr>
                <w:rFonts w:hint="eastAsia" w:ascii="Times New Roman" w:hAnsi="Times New Roman" w:cs="Times New Roman"/>
                <w:b/>
                <w:color w:val="auto"/>
                <w:lang w:val="en-US" w:eastAsia="zh-CN"/>
              </w:rPr>
              <w:t>9</w:t>
            </w:r>
            <w:r>
              <w:rPr>
                <w:rFonts w:hint="default" w:ascii="Times New Roman" w:hAnsi="Times New Roman" w:eastAsia="宋体" w:cs="Times New Roman"/>
                <w:b/>
                <w:color w:val="auto"/>
              </w:rPr>
              <w:t xml:space="preserve">  本项目废</w:t>
            </w:r>
            <w:r>
              <w:rPr>
                <w:rFonts w:hint="default" w:ascii="Times New Roman" w:hAnsi="Times New Roman" w:eastAsia="宋体" w:cs="Times New Roman"/>
                <w:b/>
                <w:color w:val="auto"/>
                <w:lang w:eastAsia="zh-CN"/>
              </w:rPr>
              <w:t>水</w:t>
            </w:r>
            <w:r>
              <w:rPr>
                <w:rFonts w:hint="default" w:ascii="Times New Roman" w:hAnsi="Times New Roman" w:eastAsia="宋体" w:cs="Times New Roman"/>
                <w:b/>
                <w:color w:val="auto"/>
              </w:rPr>
              <w:t>自行监测情况一览表</w:t>
            </w:r>
          </w:p>
          <w:tbl>
            <w:tblPr>
              <w:tblStyle w:val="30"/>
              <w:tblW w:w="81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44"/>
              <w:gridCol w:w="1763"/>
              <w:gridCol w:w="993"/>
              <w:gridCol w:w="3402"/>
            </w:tblGrid>
            <w:tr w14:paraId="4FDA6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944" w:type="dxa"/>
                  <w:noWrap w:val="0"/>
                  <w:vAlign w:val="center"/>
                </w:tcPr>
                <w:p w14:paraId="75FFC4B0">
                  <w:pPr>
                    <w:adjustRightInd w:val="0"/>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1763" w:type="dxa"/>
                  <w:noWrap w:val="0"/>
                  <w:vAlign w:val="center"/>
                </w:tcPr>
                <w:p w14:paraId="73099824">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监测指标</w:t>
                  </w:r>
                </w:p>
              </w:tc>
              <w:tc>
                <w:tcPr>
                  <w:tcW w:w="993" w:type="dxa"/>
                  <w:noWrap w:val="0"/>
                  <w:vAlign w:val="center"/>
                </w:tcPr>
                <w:p w14:paraId="532BDBD9">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监测频次</w:t>
                  </w:r>
                </w:p>
              </w:tc>
              <w:tc>
                <w:tcPr>
                  <w:tcW w:w="3402" w:type="dxa"/>
                  <w:noWrap w:val="0"/>
                  <w:vAlign w:val="center"/>
                </w:tcPr>
                <w:p w14:paraId="1EAB1D3F">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执行标准</w:t>
                  </w:r>
                </w:p>
              </w:tc>
            </w:tr>
            <w:tr w14:paraId="41169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1944" w:type="dxa"/>
                  <w:noWrap w:val="0"/>
                  <w:vAlign w:val="center"/>
                </w:tcPr>
                <w:p w14:paraId="06C2433D">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生化池进出口</w:t>
                  </w:r>
                </w:p>
              </w:tc>
              <w:tc>
                <w:tcPr>
                  <w:tcW w:w="1763" w:type="dxa"/>
                  <w:noWrap w:val="0"/>
                  <w:vAlign w:val="center"/>
                </w:tcPr>
                <w:p w14:paraId="282BA3C3">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pH、</w:t>
                  </w:r>
                  <w:r>
                    <w:rPr>
                      <w:rFonts w:hint="default" w:ascii="Times New Roman" w:hAnsi="Times New Roman" w:eastAsia="宋体" w:cs="Times New Roman"/>
                      <w:color w:val="auto"/>
                      <w:sz w:val="18"/>
                      <w:szCs w:val="18"/>
                    </w:rPr>
                    <w:t>COD</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BOD</w:t>
                  </w:r>
                  <w:r>
                    <w:rPr>
                      <w:rFonts w:hint="default" w:ascii="Times New Roman" w:hAnsi="Times New Roman" w:eastAsia="宋体" w:cs="Times New Roman"/>
                      <w:color w:val="auto"/>
                      <w:sz w:val="18"/>
                      <w:szCs w:val="18"/>
                      <w:vertAlign w:val="subscript"/>
                    </w:rPr>
                    <w:t>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SS</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r>
                    <w:rPr>
                      <w:rFonts w:hint="default" w:ascii="Times New Roman" w:hAnsi="Times New Roman" w:eastAsia="宋体" w:cs="Times New Roman"/>
                      <w:color w:val="auto"/>
                      <w:sz w:val="18"/>
                      <w:szCs w:val="18"/>
                      <w:lang w:eastAsia="zh-CN"/>
                    </w:rPr>
                    <w:t>、石油类</w:t>
                  </w:r>
                </w:p>
              </w:tc>
              <w:tc>
                <w:tcPr>
                  <w:tcW w:w="993" w:type="dxa"/>
                  <w:noWrap w:val="0"/>
                  <w:vAlign w:val="center"/>
                </w:tcPr>
                <w:p w14:paraId="7142B85C">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验收时监测一次</w:t>
                  </w:r>
                </w:p>
              </w:tc>
              <w:tc>
                <w:tcPr>
                  <w:tcW w:w="3402" w:type="dxa"/>
                  <w:noWrap w:val="0"/>
                  <w:vAlign w:val="center"/>
                </w:tcPr>
                <w:p w14:paraId="34EDD67A">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《污水综合排放标准》（</w:t>
                  </w:r>
                  <w:r>
                    <w:rPr>
                      <w:rFonts w:hint="eastAsia" w:cs="Times New Roman"/>
                      <w:color w:val="auto"/>
                      <w:sz w:val="18"/>
                      <w:szCs w:val="18"/>
                      <w:lang w:val="en-US" w:eastAsia="zh-CN"/>
                    </w:rPr>
                    <w:t>GB 8978</w:t>
                  </w:r>
                  <w:r>
                    <w:rPr>
                      <w:rFonts w:hint="default" w:ascii="Times New Roman" w:hAnsi="Times New Roman" w:eastAsia="宋体" w:cs="Times New Roman"/>
                      <w:color w:val="auto"/>
                      <w:sz w:val="18"/>
                      <w:szCs w:val="18"/>
                      <w:lang w:val="en-US" w:eastAsia="zh-CN"/>
                    </w:rPr>
                    <w:t>-1996）三级标准</w:t>
                  </w:r>
                </w:p>
              </w:tc>
            </w:tr>
          </w:tbl>
          <w:p w14:paraId="30A463A5">
            <w:pPr>
              <w:adjustRightInd w:val="0"/>
              <w:snapToGrid w:val="0"/>
              <w:spacing w:line="360" w:lineRule="auto"/>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rPr>
              <w:t>4.4噪声环境影响及保护措施</w:t>
            </w:r>
          </w:p>
          <w:p w14:paraId="255D5CD2">
            <w:pPr>
              <w:adjustRightInd w:val="0"/>
              <w:snapToGrid w:val="0"/>
              <w:spacing w:line="360" w:lineRule="auto"/>
              <w:ind w:firstLine="380" w:firstLineChars="200"/>
              <w:rPr>
                <w:rFonts w:hint="default" w:ascii="Times New Roman" w:hAnsi="Times New Roman" w:eastAsia="宋体" w:cs="Times New Roman"/>
                <w:bCs/>
                <w:color w:val="auto"/>
                <w:spacing w:val="-10"/>
                <w:szCs w:val="21"/>
                <w:lang w:eastAsia="zh-CN"/>
              </w:rPr>
            </w:pPr>
            <w:r>
              <w:rPr>
                <w:rFonts w:hint="default" w:ascii="Times New Roman" w:hAnsi="Times New Roman" w:cs="Times New Roman"/>
                <w:bCs/>
                <w:color w:val="auto"/>
                <w:spacing w:val="-10"/>
                <w:szCs w:val="21"/>
              </w:rPr>
              <w:t>本项目营运期噪声主要来源于</w:t>
            </w:r>
            <w:r>
              <w:rPr>
                <w:rFonts w:hint="default" w:ascii="Times New Roman" w:hAnsi="Times New Roman" w:eastAsia="宋体" w:cs="Times New Roman"/>
                <w:color w:val="auto"/>
                <w:sz w:val="21"/>
                <w:szCs w:val="21"/>
                <w:lang w:val="en-US" w:eastAsia="zh-CN"/>
              </w:rPr>
              <w:t>注塑机、空压机</w:t>
            </w:r>
            <w:r>
              <w:rPr>
                <w:rFonts w:hint="default" w:ascii="Times New Roman" w:hAnsi="Times New Roman" w:cs="Times New Roman"/>
                <w:bCs/>
                <w:color w:val="auto"/>
                <w:spacing w:val="-10"/>
                <w:szCs w:val="21"/>
              </w:rPr>
              <w:t>等，其噪声值为</w:t>
            </w:r>
            <w:r>
              <w:rPr>
                <w:rFonts w:hint="eastAsia" w:ascii="Times New Roman" w:hAnsi="Times New Roman" w:cs="Times New Roman"/>
                <w:bCs/>
                <w:color w:val="auto"/>
                <w:spacing w:val="-10"/>
                <w:szCs w:val="21"/>
                <w:lang w:val="en-US" w:eastAsia="zh-CN"/>
              </w:rPr>
              <w:t>7</w:t>
            </w:r>
            <w:r>
              <w:rPr>
                <w:rFonts w:hint="default" w:ascii="Times New Roman" w:hAnsi="Times New Roman" w:cs="Times New Roman"/>
                <w:bCs/>
                <w:color w:val="auto"/>
                <w:spacing w:val="-10"/>
                <w:szCs w:val="21"/>
              </w:rPr>
              <w:t>5~</w:t>
            </w:r>
            <w:r>
              <w:rPr>
                <w:rFonts w:hint="default" w:ascii="Times New Roman" w:hAnsi="Times New Roman" w:cs="Times New Roman"/>
                <w:bCs/>
                <w:color w:val="auto"/>
                <w:spacing w:val="-10"/>
                <w:szCs w:val="21"/>
                <w:lang w:val="en-US" w:eastAsia="zh-CN"/>
              </w:rPr>
              <w:t>90</w:t>
            </w:r>
            <w:r>
              <w:rPr>
                <w:rFonts w:hint="default" w:ascii="Times New Roman" w:hAnsi="Times New Roman" w:cs="Times New Roman"/>
                <w:bCs/>
                <w:color w:val="auto"/>
                <w:spacing w:val="-10"/>
                <w:szCs w:val="21"/>
              </w:rPr>
              <w:t>dB（A）。本项目在选取设备时拟选用低噪声设备，并在车间内进行合理布置，主要生产设备均布置在厂房内，并对设备采取基础减振、消声等降噪措施，最后进行厂房隔声，降噪效果约15~25（dB（A）），噪声污染源源强核算结果及相关参数一览表见下表</w:t>
            </w:r>
            <w:r>
              <w:rPr>
                <w:rFonts w:hint="default" w:ascii="Times New Roman" w:hAnsi="Times New Roman" w:cs="Times New Roman"/>
                <w:bCs/>
                <w:color w:val="auto"/>
                <w:spacing w:val="-10"/>
                <w:szCs w:val="21"/>
                <w:lang w:eastAsia="zh-CN"/>
              </w:rPr>
              <w:t>。</w:t>
            </w:r>
          </w:p>
          <w:p w14:paraId="7C93E628">
            <w:pPr>
              <w:adjustRightInd w:val="0"/>
              <w:snapToGrid w:val="0"/>
              <w:spacing w:line="360" w:lineRule="auto"/>
              <w:ind w:firstLine="422" w:firstLineChars="200"/>
              <w:rPr>
                <w:rFonts w:hint="default" w:ascii="Times New Roman" w:hAnsi="Times New Roman" w:eastAsia="宋体" w:cs="Times New Roman"/>
                <w:b/>
                <w:bCs/>
                <w:color w:val="auto"/>
                <w:spacing w:val="0"/>
                <w:position w:val="0"/>
                <w:szCs w:val="21"/>
              </w:rPr>
            </w:pPr>
            <w:r>
              <w:rPr>
                <w:rFonts w:hint="default" w:ascii="Times New Roman" w:hAnsi="Times New Roman" w:eastAsia="宋体" w:cs="Times New Roman"/>
                <w:b/>
                <w:bCs w:val="0"/>
                <w:color w:val="auto"/>
                <w:spacing w:val="0"/>
                <w:position w:val="0"/>
                <w:szCs w:val="21"/>
                <w:lang w:val="en-US" w:eastAsia="zh-CN"/>
              </w:rPr>
              <w:t>（1）</w:t>
            </w:r>
            <w:r>
              <w:rPr>
                <w:rFonts w:hint="default" w:ascii="Times New Roman" w:hAnsi="Times New Roman" w:eastAsia="宋体" w:cs="Times New Roman"/>
                <w:b/>
                <w:bCs w:val="0"/>
                <w:color w:val="auto"/>
                <w:spacing w:val="0"/>
                <w:position w:val="0"/>
                <w:szCs w:val="21"/>
              </w:rPr>
              <w:t>厂界</w:t>
            </w:r>
            <w:r>
              <w:rPr>
                <w:rFonts w:hint="default" w:ascii="Times New Roman" w:hAnsi="Times New Roman" w:eastAsia="宋体" w:cs="Times New Roman"/>
                <w:b/>
                <w:bCs/>
                <w:color w:val="auto"/>
                <w:spacing w:val="0"/>
                <w:position w:val="0"/>
                <w:szCs w:val="21"/>
              </w:rPr>
              <w:t>噪声预测</w:t>
            </w:r>
          </w:p>
          <w:p w14:paraId="05DC59C6">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①预测模式</w:t>
            </w:r>
          </w:p>
          <w:p w14:paraId="4CD8E4F7">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根据《环境影响评价技术导则声环境》（HJ2.4－20</w:t>
            </w:r>
            <w:r>
              <w:rPr>
                <w:rFonts w:hint="default" w:ascii="Times New Roman" w:hAnsi="Times New Roman" w:eastAsia="宋体" w:cs="Times New Roman"/>
                <w:color w:val="auto"/>
                <w:szCs w:val="21"/>
                <w:lang w:val="en-US" w:eastAsia="zh-CN"/>
              </w:rPr>
              <w:t>21</w:t>
            </w:r>
            <w:r>
              <w:rPr>
                <w:rFonts w:hint="default" w:ascii="Times New Roman" w:hAnsi="Times New Roman" w:eastAsia="宋体" w:cs="Times New Roman"/>
                <w:color w:val="auto"/>
                <w:szCs w:val="21"/>
              </w:rPr>
              <w:t>）中推荐的以下公式，对项目的声环境影响进行预测。</w:t>
            </w:r>
          </w:p>
          <w:p w14:paraId="1B0FCF01">
            <w:pPr>
              <w:adjustRightInd w:val="0"/>
              <w:snapToGrid w:val="0"/>
              <w:spacing w:line="360" w:lineRule="auto"/>
              <w:ind w:firstLine="422" w:firstLineChars="200"/>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color w:val="auto"/>
                <w:sz w:val="21"/>
                <w:szCs w:val="21"/>
              </w:rPr>
              <w:t>①室内声源等效室外声源声功率级计算方法</w:t>
            </w:r>
          </w:p>
          <w:p w14:paraId="2F57FC8A">
            <w:pPr>
              <w:widowControl w:val="0"/>
              <w:adjustRightInd w:val="0"/>
              <w:snapToGrid w:val="0"/>
              <w:spacing w:line="360" w:lineRule="auto"/>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A.某一室内声源靠近围护结构处的倍频带声压级或A声级</w:t>
            </w:r>
          </w:p>
          <w:p w14:paraId="71C00A15">
            <w:pPr>
              <w:spacing w:line="360" w:lineRule="auto"/>
              <w:ind w:firstLine="420"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object>
                <v:shape id="_x0000_i1026" o:spt="75" type="#_x0000_t75" style="height:33.5pt;width:137.25pt;" o:ole="t" filled="f" o:preferrelative="t" stroked="f" coordsize="21600,21600">
                  <v:path/>
                  <v:fill on="f" focussize="0,0"/>
                  <v:stroke on="f"/>
                  <v:imagedata r:id="rId18" o:title=""/>
                  <o:lock v:ext="edit" aspectratio="t"/>
                  <w10:wrap type="none"/>
                  <w10:anchorlock/>
                </v:shape>
                <o:OLEObject Type="Embed" ProgID="Equations" ShapeID="_x0000_i1026" DrawAspect="Content" ObjectID="_1468075726" r:id="rId17">
                  <o:LockedField>false</o:LockedField>
                </o:OLEObject>
              </w:object>
            </w:r>
            <w:r>
              <w:rPr>
                <w:rFonts w:hint="default" w:ascii="Times New Roman" w:hAnsi="Times New Roman" w:eastAsia="宋体" w:cs="Times New Roman"/>
                <w:bCs/>
                <w:color w:val="auto"/>
                <w:sz w:val="21"/>
                <w:szCs w:val="21"/>
              </w:rPr>
              <w:t xml:space="preserve">  </w:t>
            </w:r>
          </w:p>
          <w:p w14:paraId="18762F5B">
            <w:pPr>
              <w:adjustRightInd w:val="0"/>
              <w:snapToGrid w:val="0"/>
              <w:spacing w:line="36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式中：L</w:t>
            </w:r>
            <w:r>
              <w:rPr>
                <w:rFonts w:hint="default" w:ascii="Times New Roman" w:hAnsi="Times New Roman" w:eastAsia="宋体" w:cs="Times New Roman"/>
                <w:bCs/>
                <w:color w:val="auto"/>
                <w:sz w:val="21"/>
                <w:szCs w:val="21"/>
                <w:vertAlign w:val="subscript"/>
              </w:rPr>
              <w:t>p1</w:t>
            </w:r>
            <w:r>
              <w:rPr>
                <w:rFonts w:hint="default" w:ascii="Times New Roman" w:hAnsi="Times New Roman" w:eastAsia="宋体" w:cs="Times New Roman"/>
                <w:bCs/>
                <w:color w:val="auto"/>
                <w:sz w:val="21"/>
                <w:szCs w:val="21"/>
              </w:rPr>
              <w:t>——室内倍频带声压级，</w:t>
            </w:r>
            <w:r>
              <w:rPr>
                <w:rFonts w:hint="default" w:ascii="Times New Roman" w:hAnsi="Times New Roman" w:eastAsia="宋体" w:cs="Times New Roman"/>
                <w:color w:val="auto"/>
                <w:sz w:val="21"/>
                <w:szCs w:val="21"/>
              </w:rPr>
              <w:t>dB；</w:t>
            </w:r>
            <w:r>
              <w:rPr>
                <w:rFonts w:hint="default" w:ascii="Times New Roman" w:hAnsi="Times New Roman" w:eastAsia="宋体" w:cs="Times New Roman"/>
                <w:bCs/>
                <w:color w:val="auto"/>
                <w:sz w:val="21"/>
                <w:szCs w:val="21"/>
              </w:rPr>
              <w:t>L</w:t>
            </w:r>
            <w:r>
              <w:rPr>
                <w:rFonts w:hint="default" w:ascii="Times New Roman" w:hAnsi="Times New Roman" w:eastAsia="宋体" w:cs="Times New Roman"/>
                <w:bCs/>
                <w:color w:val="auto"/>
                <w:sz w:val="21"/>
                <w:szCs w:val="21"/>
                <w:vertAlign w:val="subscript"/>
              </w:rPr>
              <w:t>W</w:t>
            </w:r>
            <w:r>
              <w:rPr>
                <w:rFonts w:hint="default" w:ascii="Times New Roman" w:hAnsi="Times New Roman" w:eastAsia="宋体" w:cs="Times New Roman"/>
                <w:bCs/>
                <w:color w:val="auto"/>
                <w:sz w:val="21"/>
                <w:szCs w:val="21"/>
              </w:rPr>
              <w:t>——倍频带声功率级，</w:t>
            </w:r>
            <w:r>
              <w:rPr>
                <w:rFonts w:hint="default" w:ascii="Times New Roman" w:hAnsi="Times New Roman" w:eastAsia="宋体" w:cs="Times New Roman"/>
                <w:color w:val="auto"/>
                <w:sz w:val="21"/>
                <w:szCs w:val="21"/>
              </w:rPr>
              <w:t xml:space="preserve">dB；   </w:t>
            </w:r>
          </w:p>
          <w:p w14:paraId="51B9FF84">
            <w:pPr>
              <w:adjustRightInd w:val="0"/>
              <w:snapToGrid w:val="0"/>
              <w:spacing w:line="360" w:lineRule="auto"/>
              <w:ind w:firstLine="630" w:firstLineChars="3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Q——指向性因数：通常对无指向性声源，当声源放在房间中心时，Q=1；当放在一面墙的中心时，Q=2；当放在两面墙夹角处时，Q=4；当放在三面墙夹角处时，Q=8；</w:t>
            </w:r>
          </w:p>
          <w:p w14:paraId="6BDAAE8F">
            <w:pPr>
              <w:adjustRightInd w:val="0"/>
              <w:snapToGrid w:val="0"/>
              <w:spacing w:line="360" w:lineRule="auto"/>
              <w:ind w:firstLine="630" w:firstLineChars="30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R</w:t>
            </w:r>
            <w:r>
              <w:rPr>
                <w:rFonts w:hint="default" w:ascii="Times New Roman" w:hAnsi="Times New Roman" w:eastAsia="宋体" w:cs="Times New Roman"/>
                <w:bCs/>
                <w:color w:val="auto"/>
                <w:sz w:val="21"/>
                <w:szCs w:val="21"/>
              </w:rPr>
              <w:t>——房间常数，R=Sα/（1-α），S为房间内表面面积，㎡，α为平均吸声系数；</w:t>
            </w:r>
          </w:p>
          <w:p w14:paraId="367A42C1">
            <w:pPr>
              <w:adjustRightInd w:val="0"/>
              <w:snapToGrid w:val="0"/>
              <w:spacing w:line="360" w:lineRule="auto"/>
              <w:ind w:firstLine="630" w:firstLineChars="300"/>
              <w:outlineLvl w:val="0"/>
              <w:rPr>
                <w:rFonts w:hint="default" w:ascii="Times New Roman" w:hAnsi="Times New Roman" w:eastAsia="宋体" w:cs="Times New Roman"/>
                <w:bCs/>
                <w:color w:val="auto"/>
                <w:kern w:val="24"/>
                <w:sz w:val="21"/>
                <w:szCs w:val="21"/>
              </w:rPr>
            </w:pPr>
            <w:r>
              <w:rPr>
                <w:rFonts w:hint="default" w:ascii="Times New Roman" w:hAnsi="Times New Roman" w:eastAsia="宋体" w:cs="Times New Roman"/>
                <w:bCs/>
                <w:color w:val="auto"/>
                <w:sz w:val="21"/>
                <w:szCs w:val="21"/>
              </w:rPr>
              <w:t>r——声源到靠近围护结构某点处的距离，m。</w:t>
            </w:r>
          </w:p>
          <w:p w14:paraId="54248955">
            <w:pPr>
              <w:adjustRightInd w:val="0"/>
              <w:snapToGrid w:val="0"/>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所有室内声源在围护结构处产生的i倍频带叠加声压级</w:t>
            </w:r>
          </w:p>
          <w:p w14:paraId="6311F496">
            <w:pPr>
              <w:adjustRightInd w:val="0"/>
              <w:snapToGrid w:val="0"/>
              <w:spacing w:before="360" w:beforeLines="15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object>
                <v:shape id="_x0000_i1027" o:spt="75" type="#_x0000_t75" style="height:37.65pt;width:133.1pt;" o:ole="t" filled="f" o:preferrelative="t" stroked="f" coordsize="21600,21600">
                  <v:path/>
                  <v:fill on="f" focussize="0,0"/>
                  <v:stroke on="f"/>
                  <v:imagedata r:id="rId20" o:title=""/>
                  <o:lock v:ext="edit" aspectratio="t"/>
                  <w10:wrap type="none"/>
                  <w10:anchorlock/>
                </v:shape>
                <o:OLEObject Type="Embed" ProgID="Equations" ShapeID="_x0000_i1027" DrawAspect="Content" ObjectID="_1468075727" r:id="rId19">
                  <o:LockedField>false</o:LockedField>
                </o:OLEObject>
              </w:object>
            </w:r>
          </w:p>
          <w:p w14:paraId="53B21AFB">
            <w:pPr>
              <w:adjustRightInd w:val="0"/>
              <w:snapToGrid w:val="0"/>
              <w:spacing w:line="36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式中：L</w:t>
            </w:r>
            <w:r>
              <w:rPr>
                <w:rFonts w:hint="default" w:ascii="Times New Roman" w:hAnsi="Times New Roman" w:eastAsia="宋体" w:cs="Times New Roman"/>
                <w:bCs/>
                <w:color w:val="auto"/>
                <w:sz w:val="21"/>
                <w:szCs w:val="21"/>
                <w:vertAlign w:val="subscript"/>
              </w:rPr>
              <w:t>p1i</w:t>
            </w:r>
            <w:r>
              <w:rPr>
                <w:rFonts w:hint="default" w:ascii="Times New Roman" w:hAnsi="Times New Roman" w:eastAsia="宋体" w:cs="Times New Roman"/>
                <w:bCs/>
                <w:color w:val="auto"/>
                <w:sz w:val="21"/>
                <w:szCs w:val="21"/>
              </w:rPr>
              <w:t>（T）——靠近围护结构处室内N个声源i倍频带的叠加声压级，</w:t>
            </w:r>
            <w:r>
              <w:rPr>
                <w:rFonts w:hint="default" w:ascii="Times New Roman" w:hAnsi="Times New Roman" w:eastAsia="宋体" w:cs="Times New Roman"/>
                <w:color w:val="auto"/>
                <w:sz w:val="21"/>
                <w:szCs w:val="21"/>
              </w:rPr>
              <w:t>dB；</w:t>
            </w:r>
          </w:p>
          <w:p w14:paraId="6666B62E">
            <w:pPr>
              <w:adjustRightInd w:val="0"/>
              <w:snapToGrid w:val="0"/>
              <w:spacing w:line="360" w:lineRule="auto"/>
              <w:ind w:firstLine="630" w:firstLineChars="3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L</w:t>
            </w:r>
            <w:r>
              <w:rPr>
                <w:rFonts w:hint="default" w:ascii="Times New Roman" w:hAnsi="Times New Roman" w:eastAsia="宋体" w:cs="Times New Roman"/>
                <w:bCs/>
                <w:color w:val="auto"/>
                <w:sz w:val="21"/>
                <w:szCs w:val="21"/>
                <w:vertAlign w:val="subscript"/>
              </w:rPr>
              <w:t>p1ij</w:t>
            </w:r>
            <w:r>
              <w:rPr>
                <w:rFonts w:hint="default" w:ascii="Times New Roman" w:hAnsi="Times New Roman" w:eastAsia="宋体" w:cs="Times New Roman"/>
                <w:bCs/>
                <w:color w:val="auto"/>
                <w:sz w:val="21"/>
                <w:szCs w:val="21"/>
              </w:rPr>
              <w:t>——室内j声源i倍频带的声压级，</w:t>
            </w:r>
            <w:r>
              <w:rPr>
                <w:rFonts w:hint="default" w:ascii="Times New Roman" w:hAnsi="Times New Roman" w:eastAsia="宋体" w:cs="Times New Roman"/>
                <w:color w:val="auto"/>
                <w:sz w:val="21"/>
                <w:szCs w:val="21"/>
              </w:rPr>
              <w:t>dB；</w:t>
            </w:r>
          </w:p>
          <w:p w14:paraId="71172AA7">
            <w:pPr>
              <w:adjustRightInd w:val="0"/>
              <w:snapToGrid w:val="0"/>
              <w:spacing w:line="360" w:lineRule="auto"/>
              <w:ind w:firstLine="630" w:firstLineChars="3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N——室内声源总数。</w:t>
            </w:r>
          </w:p>
          <w:p w14:paraId="1854E3FD">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C</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按下式计算出</w:t>
            </w:r>
            <w:r>
              <w:rPr>
                <w:rFonts w:hint="default" w:ascii="Times New Roman" w:hAnsi="Times New Roman" w:eastAsia="宋体" w:cs="Times New Roman"/>
                <w:color w:val="auto"/>
                <w:sz w:val="21"/>
                <w:szCs w:val="21"/>
              </w:rPr>
              <w:t>靠近室外围护结构处的声压级</w:t>
            </w:r>
          </w:p>
          <w:p w14:paraId="0A4CE53B">
            <w:pPr>
              <w:adjustRightInd w:val="0"/>
              <w:snapToGrid w:val="0"/>
              <w:spacing w:before="120" w:beforeLines="50" w:after="120" w:afterLines="5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8" o:spt="75" type="#_x0000_t75" style="height:19.25pt;width:135.6pt;" o:ole="t" filled="f" o:preferrelative="t" stroked="f" coordsize="21600,21600">
                  <v:path/>
                  <v:fill on="f" focussize="0,0"/>
                  <v:stroke on="f"/>
                  <v:imagedata r:id="rId22" o:title=""/>
                  <o:lock v:ext="edit" aspectratio="t"/>
                  <w10:wrap type="none"/>
                  <w10:anchorlock/>
                </v:shape>
                <o:OLEObject Type="Embed" ProgID="Equations" ShapeID="_x0000_i1028" DrawAspect="Content" ObjectID="_1468075728" r:id="rId21">
                  <o:LockedField>false</o:LockedField>
                </o:OLEObject>
              </w:object>
            </w:r>
          </w:p>
          <w:p w14:paraId="691D55A5">
            <w:pPr>
              <w:adjustRightInd w:val="0"/>
              <w:snapToGrid w:val="0"/>
              <w:spacing w:line="36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式中：L</w:t>
            </w:r>
            <w:r>
              <w:rPr>
                <w:rFonts w:hint="default" w:ascii="Times New Roman" w:hAnsi="Times New Roman" w:eastAsia="宋体" w:cs="Times New Roman"/>
                <w:bCs/>
                <w:color w:val="auto"/>
                <w:sz w:val="21"/>
                <w:szCs w:val="21"/>
                <w:vertAlign w:val="subscript"/>
              </w:rPr>
              <w:t>p2i</w:t>
            </w:r>
            <w:r>
              <w:rPr>
                <w:rFonts w:hint="default" w:ascii="Times New Roman" w:hAnsi="Times New Roman" w:eastAsia="宋体" w:cs="Times New Roman"/>
                <w:bCs/>
                <w:color w:val="auto"/>
                <w:sz w:val="21"/>
                <w:szCs w:val="21"/>
              </w:rPr>
              <w:t>（T）——靠近围护结构处室外N个声源i倍频带的叠加声压级，</w:t>
            </w:r>
            <w:r>
              <w:rPr>
                <w:rFonts w:hint="default" w:ascii="Times New Roman" w:hAnsi="Times New Roman" w:eastAsia="宋体" w:cs="Times New Roman"/>
                <w:color w:val="auto"/>
                <w:sz w:val="21"/>
                <w:szCs w:val="21"/>
              </w:rPr>
              <w:t>dB；</w:t>
            </w:r>
          </w:p>
          <w:p w14:paraId="033DB1E7">
            <w:pPr>
              <w:adjustRightInd w:val="0"/>
              <w:snapToGrid w:val="0"/>
              <w:spacing w:line="360" w:lineRule="auto"/>
              <w:ind w:firstLine="630" w:firstLineChars="3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TL</w:t>
            </w:r>
            <w:r>
              <w:rPr>
                <w:rFonts w:hint="default" w:ascii="Times New Roman" w:hAnsi="Times New Roman" w:eastAsia="宋体" w:cs="Times New Roman"/>
                <w:bCs/>
                <w:color w:val="auto"/>
                <w:sz w:val="21"/>
                <w:szCs w:val="21"/>
                <w:vertAlign w:val="subscript"/>
              </w:rPr>
              <w:t>i</w:t>
            </w:r>
            <w:r>
              <w:rPr>
                <w:rFonts w:hint="default" w:ascii="Times New Roman" w:hAnsi="Times New Roman" w:eastAsia="宋体" w:cs="Times New Roman"/>
                <w:bCs/>
                <w:color w:val="auto"/>
                <w:sz w:val="21"/>
                <w:szCs w:val="21"/>
              </w:rPr>
              <w:t>——围护结构i倍频带的隔声量，</w:t>
            </w:r>
            <w:r>
              <w:rPr>
                <w:rFonts w:hint="default" w:ascii="Times New Roman" w:hAnsi="Times New Roman" w:eastAsia="宋体" w:cs="Times New Roman"/>
                <w:color w:val="auto"/>
                <w:sz w:val="21"/>
                <w:szCs w:val="21"/>
              </w:rPr>
              <w:t>dB。</w:t>
            </w:r>
          </w:p>
          <w:p w14:paraId="10FCA30D">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D</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按下式将室外声源的声压级和透过面积换算成等效的室外声源，计算出</w:t>
            </w:r>
            <w:r>
              <w:rPr>
                <w:rFonts w:hint="default" w:ascii="Times New Roman" w:hAnsi="Times New Roman" w:eastAsia="宋体" w:cs="Times New Roman"/>
                <w:color w:val="auto"/>
                <w:sz w:val="21"/>
                <w:szCs w:val="21"/>
              </w:rPr>
              <w:t>中心位置位于透声面积（S）处的等效声源的倍频带声功率级</w:t>
            </w:r>
          </w:p>
          <w:p w14:paraId="4C1DC02C">
            <w:pPr>
              <w:adjustRightInd w:val="0"/>
              <w:snapToGrid w:val="0"/>
              <w:spacing w:before="240" w:beforeLines="100" w:after="120" w:afterLines="50"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9" o:spt="75" type="#_x0000_t75" style="height:19.25pt;width:102.1pt;" o:ole="t" filled="f" o:preferrelative="t" stroked="f" coordsize="21600,21600">
                  <v:path/>
                  <v:fill on="f" focussize="0,0"/>
                  <v:stroke on="f"/>
                  <v:imagedata r:id="rId24" o:title=""/>
                  <o:lock v:ext="edit" aspectratio="t"/>
                  <w10:wrap type="none"/>
                  <w10:anchorlock/>
                </v:shape>
                <o:OLEObject Type="Embed" ProgID="Equations" ShapeID="_x0000_i1029" DrawAspect="Content" ObjectID="_1468075729" r:id="rId23">
                  <o:LockedField>false</o:LockedField>
                </o:OLEObject>
              </w:object>
            </w:r>
          </w:p>
          <w:p w14:paraId="20BF9521">
            <w:pPr>
              <w:adjustRightInd w:val="0"/>
              <w:snapToGrid w:val="0"/>
              <w:spacing w:line="360" w:lineRule="auto"/>
              <w:ind w:firstLine="413" w:firstLineChars="196"/>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②</w:t>
            </w:r>
            <w:r>
              <w:rPr>
                <w:rFonts w:hint="default" w:ascii="Times New Roman" w:hAnsi="Times New Roman" w:eastAsia="宋体" w:cs="Times New Roman"/>
                <w:b/>
                <w:bCs/>
                <w:color w:val="auto"/>
                <w:sz w:val="21"/>
                <w:szCs w:val="21"/>
              </w:rPr>
              <w:t>室外声源预测</w:t>
            </w:r>
            <w:r>
              <w:rPr>
                <w:rFonts w:hint="default" w:ascii="Times New Roman" w:hAnsi="Times New Roman" w:eastAsia="宋体" w:cs="Times New Roman"/>
                <w:b/>
                <w:color w:val="auto"/>
                <w:sz w:val="21"/>
                <w:szCs w:val="21"/>
              </w:rPr>
              <w:t>模式</w:t>
            </w:r>
          </w:p>
          <w:p w14:paraId="6AF8F791">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结合项目平面布置情况和外环境关系，项目周边主要为工业企业，本次噪声预测只考虑几何发散衰减，其室外声源预测方法计算预测点处的A声级如下所示：</w:t>
            </w:r>
          </w:p>
          <w:p w14:paraId="0D27CB92">
            <w:pPr>
              <w:adjustRightInd w:val="0"/>
              <w:snapToGrid w:val="0"/>
              <w:spacing w:line="360" w:lineRule="auto"/>
              <w:ind w:firstLine="0" w:firstLineChars="0"/>
              <w:jc w:val="center"/>
              <w:rPr>
                <w:rFonts w:hint="default" w:ascii="Times New Roman" w:hAnsi="Times New Roman" w:eastAsia="宋体" w:cs="Times New Roman"/>
                <w:color w:val="auto"/>
                <w:position w:val="-14"/>
                <w:sz w:val="21"/>
                <w:szCs w:val="21"/>
              </w:rPr>
            </w:pPr>
            <w:r>
              <w:rPr>
                <w:rFonts w:hint="default" w:ascii="Times New Roman" w:hAnsi="Times New Roman" w:eastAsia="宋体" w:cs="Times New Roman"/>
                <w:color w:val="auto"/>
                <w:position w:val="-12"/>
                <w:sz w:val="21"/>
                <w:szCs w:val="21"/>
              </w:rPr>
              <w:object>
                <v:shape id="_x0000_i1030" o:spt="75" type="#_x0000_t75" style="height:18pt;width:97.4pt;" o:ole="t" filled="f" o:preferrelative="t" stroked="f" coordsize="21600,21600">
                  <v:path/>
                  <v:fill on="f" focussize="0,0"/>
                  <v:stroke on="f"/>
                  <v:imagedata r:id="rId26" o:title=""/>
                  <o:lock v:ext="edit" aspectratio="t"/>
                  <w10:wrap type="none"/>
                  <w10:anchorlock/>
                </v:shape>
                <o:OLEObject Type="Embed" ProgID="Equation.3" ShapeID="_x0000_i1030" DrawAspect="Content" ObjectID="_1468075730" r:id="rId25">
                  <o:LockedField>false</o:LockedField>
                </o:OLEObject>
              </w:object>
            </w:r>
          </w:p>
          <w:p w14:paraId="0B2B0655">
            <w:pPr>
              <w:spacing w:line="360" w:lineRule="auto"/>
              <w:ind w:firstLine="531" w:firstLineChars="2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position w:val="-10"/>
                <w:sz w:val="21"/>
                <w:szCs w:val="21"/>
              </w:rPr>
              <w:object>
                <v:shape id="_x0000_i1031" o:spt="75" type="#_x0000_t75" style="height:17.7pt;width:28.25pt;" o:ole="t" filled="f" o:preferrelative="t" stroked="f" coordsize="21600,21600">
                  <v:path/>
                  <v:fill on="f" focussize="0,0"/>
                  <v:stroke on="f"/>
                  <v:imagedata r:id="rId28" o:title=""/>
                  <o:lock v:ext="edit" aspectratio="t"/>
                  <w10:wrap type="none"/>
                  <w10:anchorlock/>
                </v:shape>
                <o:OLEObject Type="Embed" ProgID="Equation.3" ShapeID="_x0000_i1031" DrawAspect="Content" ObjectID="_1468075731" r:id="rId27">
                  <o:LockedField>false</o:LockedField>
                </o:OLEObject>
              </w:object>
            </w:r>
            <w:r>
              <w:rPr>
                <w:rFonts w:hint="default" w:ascii="Times New Roman" w:hAnsi="Times New Roman" w:eastAsia="宋体" w:cs="Times New Roman"/>
                <w:color w:val="auto"/>
                <w:sz w:val="21"/>
                <w:szCs w:val="21"/>
              </w:rPr>
              <w:t>—距离声源r处的A声级，dB（A）；</w:t>
            </w:r>
          </w:p>
          <w:p w14:paraId="72594687">
            <w:pPr>
              <w:tabs>
                <w:tab w:val="left" w:pos="6259"/>
              </w:tabs>
              <w:spacing w:line="360" w:lineRule="auto"/>
              <w:ind w:firstLine="1260" w:firstLineChars="600"/>
              <w:rPr>
                <w:rFonts w:hint="default" w:ascii="Times New Roman" w:hAnsi="Times New Roman" w:eastAsia="宋体" w:cs="Times New Roman"/>
                <w:color w:val="auto"/>
                <w:position w:val="-12"/>
                <w:sz w:val="21"/>
                <w:szCs w:val="21"/>
              </w:rPr>
            </w:pPr>
            <w:r>
              <w:rPr>
                <w:rFonts w:hint="default" w:ascii="Times New Roman" w:hAnsi="Times New Roman" w:eastAsia="宋体" w:cs="Times New Roman"/>
                <w:color w:val="auto"/>
                <w:position w:val="-12"/>
                <w:sz w:val="21"/>
                <w:szCs w:val="21"/>
              </w:rPr>
              <w:object>
                <v:shape id="_x0000_i1032" o:spt="75" type="#_x0000_t75" style="height:18.75pt;width:31.15pt;" o:ole="t" filled="f" o:preferrelative="t" stroked="f" coordsize="21600,21600">
                  <v:path/>
                  <v:fill on="f" focussize="0,0"/>
                  <v:stroke on="f"/>
                  <v:imagedata r:id="rId30" o:title=""/>
                  <o:lock v:ext="edit" aspectratio="t"/>
                  <w10:wrap type="none"/>
                  <w10:anchorlock/>
                </v:shape>
                <o:OLEObject Type="Embed" ProgID="Equation.3" ShapeID="_x0000_i1032" DrawAspect="Content" ObjectID="_1468075732" r:id="rId29">
                  <o:LockedField>false</o:LockedField>
                </o:OLEObject>
              </w:object>
            </w:r>
            <w:r>
              <w:rPr>
                <w:rFonts w:hint="default" w:ascii="Times New Roman" w:hAnsi="Times New Roman" w:eastAsia="宋体" w:cs="Times New Roman"/>
                <w:color w:val="auto"/>
                <w:sz w:val="21"/>
                <w:szCs w:val="21"/>
              </w:rPr>
              <w:t>—距离声源r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处的A声级，dB（A）；</w:t>
            </w:r>
          </w:p>
          <w:p w14:paraId="296ECEB4">
            <w:pPr>
              <w:tabs>
                <w:tab w:val="left" w:pos="6259"/>
              </w:tabs>
              <w:spacing w:line="360" w:lineRule="auto"/>
              <w:ind w:firstLine="840" w:firstLineChars="4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33" o:spt="75" type="#_x0000_t75" style="height:19pt;width:20.4pt;" o:ole="t" filled="f" o:preferrelative="t" stroked="f" coordsize="21600,21600">
                  <v:path/>
                  <v:fill on="f" focussize="0,0"/>
                  <v:stroke on="f"/>
                  <v:imagedata r:id="rId32" o:title=""/>
                  <o:lock v:ext="edit" aspectratio="t"/>
                  <w10:wrap type="none"/>
                  <w10:anchorlock/>
                </v:shape>
                <o:OLEObject Type="Embed" ProgID="Equation.3" ShapeID="_x0000_i1033" DrawAspect="Content" ObjectID="_1468075733" r:id="rId31">
                  <o:LockedField>false</o:LockedField>
                </o:OLEObject>
              </w:object>
            </w:r>
            <w:r>
              <w:rPr>
                <w:rFonts w:hint="default" w:ascii="Times New Roman" w:hAnsi="Times New Roman" w:eastAsia="宋体" w:cs="Times New Roman"/>
                <w:color w:val="auto"/>
                <w:sz w:val="21"/>
                <w:szCs w:val="21"/>
              </w:rPr>
              <w:t>—几何发散引起的倍频带衰减，dB，计算公式见（HJ2.4－2021）附录A；</w:t>
            </w:r>
          </w:p>
          <w:p w14:paraId="5631B47B">
            <w:pPr>
              <w:adjustRightInd w:val="0"/>
              <w:snapToGrid w:val="0"/>
              <w:spacing w:line="360" w:lineRule="auto"/>
              <w:ind w:firstLine="422"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3 \* GB3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③</w:t>
            </w:r>
            <w:r>
              <w:rPr>
                <w:rFonts w:hint="default" w:ascii="Times New Roman" w:hAnsi="Times New Roman" w:eastAsia="宋体" w:cs="Times New Roman"/>
                <w:b/>
                <w:bCs/>
                <w:color w:val="auto"/>
                <w:sz w:val="21"/>
                <w:szCs w:val="21"/>
              </w:rPr>
              <w:fldChar w:fldCharType="end"/>
            </w:r>
            <w:r>
              <w:rPr>
                <w:rFonts w:hint="default" w:ascii="Times New Roman" w:hAnsi="Times New Roman" w:eastAsia="宋体" w:cs="Times New Roman"/>
                <w:b/>
                <w:bCs/>
                <w:color w:val="auto"/>
                <w:sz w:val="21"/>
                <w:szCs w:val="21"/>
              </w:rPr>
              <w:t>计算结果：</w:t>
            </w:r>
            <w:r>
              <w:rPr>
                <w:rFonts w:hint="default" w:ascii="Times New Roman" w:hAnsi="Times New Roman" w:eastAsia="宋体" w:cs="Times New Roman"/>
                <w:bCs/>
                <w:color w:val="auto"/>
                <w:sz w:val="21"/>
                <w:szCs w:val="21"/>
              </w:rPr>
              <w:t>多个室外声源对预测点的贡献值（</w:t>
            </w:r>
            <w:r>
              <w:rPr>
                <w:rFonts w:hint="default" w:ascii="Times New Roman" w:hAnsi="Times New Roman" w:eastAsia="宋体" w:cs="Times New Roman"/>
                <w:bCs/>
                <w:i/>
                <w:iCs/>
                <w:color w:val="auto"/>
                <w:sz w:val="21"/>
                <w:szCs w:val="21"/>
              </w:rPr>
              <w:t>L</w:t>
            </w:r>
            <w:r>
              <w:rPr>
                <w:rFonts w:hint="default" w:ascii="Times New Roman" w:hAnsi="Times New Roman" w:eastAsia="宋体" w:cs="Times New Roman"/>
                <w:bCs/>
                <w:color w:val="auto"/>
                <w:sz w:val="21"/>
                <w:szCs w:val="21"/>
                <w:vertAlign w:val="subscript"/>
              </w:rPr>
              <w:t>eqg</w:t>
            </w:r>
            <w:r>
              <w:rPr>
                <w:rFonts w:hint="default" w:ascii="Times New Roman" w:hAnsi="Times New Roman" w:eastAsia="宋体" w:cs="Times New Roman"/>
                <w:bCs/>
                <w:color w:val="auto"/>
                <w:sz w:val="21"/>
                <w:szCs w:val="21"/>
              </w:rPr>
              <w:t>）</w:t>
            </w:r>
          </w:p>
          <w:p w14:paraId="5C2F2AB8">
            <w:pPr>
              <w:spacing w:before="120" w:beforeLines="50" w:after="240" w:afterLines="100" w:line="360" w:lineRule="auto"/>
              <w:ind w:firstLine="531" w:firstLineChars="2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4"/>
                <w:sz w:val="21"/>
                <w:szCs w:val="21"/>
              </w:rPr>
              <w:object>
                <v:shape id="_x0000_i1034" o:spt="75" type="#_x0000_t75" style="height:40.75pt;width:205.15pt;" o:ole="t" filled="f" o:preferrelative="t" stroked="f" coordsize="21600,21600">
                  <v:path/>
                  <v:fill on="f" focussize="0,0"/>
                  <v:stroke on="f"/>
                  <v:imagedata r:id="rId34" o:title=""/>
                  <o:lock v:ext="edit" aspectratio="t"/>
                  <w10:wrap type="none"/>
                  <w10:anchorlock/>
                </v:shape>
                <o:OLEObject Type="Embed" ProgID="Equation.3" ShapeID="_x0000_i1034" DrawAspect="Content" ObjectID="_1468075734" r:id="rId33">
                  <o:LockedField>false</o:LockedField>
                </o:OLEObject>
              </w:object>
            </w:r>
          </w:p>
          <w:p w14:paraId="6DC787C9">
            <w:pPr>
              <w:spacing w:line="360" w:lineRule="auto"/>
              <w:ind w:firstLine="531" w:firstLineChars="2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bCs/>
                <w:i/>
                <w:iCs/>
                <w:color w:val="auto"/>
                <w:sz w:val="21"/>
                <w:szCs w:val="21"/>
              </w:rPr>
              <w:t>L</w:t>
            </w:r>
            <w:r>
              <w:rPr>
                <w:rFonts w:hint="default" w:ascii="Times New Roman" w:hAnsi="Times New Roman" w:eastAsia="宋体" w:cs="Times New Roman"/>
                <w:bCs/>
                <w:color w:val="auto"/>
                <w:sz w:val="21"/>
                <w:szCs w:val="21"/>
                <w:vertAlign w:val="subscript"/>
              </w:rPr>
              <w:t>eqg——</w:t>
            </w:r>
            <w:r>
              <w:rPr>
                <w:rFonts w:hint="default" w:ascii="Times New Roman" w:hAnsi="Times New Roman" w:eastAsia="宋体" w:cs="Times New Roman"/>
                <w:bCs/>
                <w:color w:val="auto"/>
                <w:sz w:val="21"/>
                <w:szCs w:val="21"/>
              </w:rPr>
              <w:t>建设项目声源在预测点产生的噪声贡献值，dB；</w:t>
            </w:r>
          </w:p>
          <w:p w14:paraId="1E988FC4">
            <w:pPr>
              <w:spacing w:line="360" w:lineRule="auto"/>
              <w:ind w:firstLine="1157" w:firstLineChars="55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4"/>
                <w:sz w:val="21"/>
                <w:szCs w:val="21"/>
              </w:rPr>
              <w:object>
                <v:shape id="_x0000_i1035" o:spt="75" type="#_x0000_t75" style="height:19pt;width:12.3pt;" o:ole="t" filled="f" o:preferrelative="t" stroked="f" coordsize="21600,21600">
                  <v:path/>
                  <v:fill on="f" focussize="0,0"/>
                  <v:stroke on="f"/>
                  <v:imagedata r:id="rId36" o:title=""/>
                  <o:lock v:ext="edit" aspectratio="t"/>
                  <w10:wrap type="none"/>
                  <w10:anchorlock/>
                </v:shape>
                <o:OLEObject Type="Embed" ProgID="Equation.3" ShapeID="_x0000_i1035" DrawAspect="Content" ObjectID="_1468075735" r:id="rId35">
                  <o:LockedField>false</o:LockedField>
                </o:OLEObject>
              </w:object>
            </w:r>
            <w:r>
              <w:rPr>
                <w:rFonts w:hint="default" w:ascii="Times New Roman" w:hAnsi="Times New Roman" w:eastAsia="宋体" w:cs="Times New Roman"/>
                <w:color w:val="auto"/>
                <w:sz w:val="21"/>
                <w:szCs w:val="21"/>
              </w:rPr>
              <w:t>—在T时间内j声源工作时间，s；</w:t>
            </w:r>
          </w:p>
          <w:p w14:paraId="68B04BDF">
            <w:pPr>
              <w:spacing w:line="360" w:lineRule="auto"/>
              <w:ind w:firstLine="1157" w:firstLineChars="55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2"/>
                <w:sz w:val="21"/>
                <w:szCs w:val="21"/>
              </w:rPr>
              <w:object>
                <v:shape id="_x0000_i1036" o:spt="75" type="#_x0000_t75" style="height:19pt;width:11.55pt;" o:ole="t" filled="f" o:preferrelative="t" stroked="f" coordsize="21600,21600">
                  <v:path/>
                  <v:fill on="f" focussize="0,0"/>
                  <v:stroke on="f"/>
                  <v:imagedata r:id="rId38" o:title=""/>
                  <o:lock v:ext="edit" aspectratio="t"/>
                  <w10:wrap type="none"/>
                  <w10:anchorlock/>
                </v:shape>
                <o:OLEObject Type="Embed" ProgID="Equation.3" ShapeID="_x0000_i1036" DrawAspect="Content" ObjectID="_1468075736" r:id="rId37">
                  <o:LockedField>false</o:LockedField>
                </o:OLEObject>
              </w:object>
            </w:r>
            <w:r>
              <w:rPr>
                <w:rFonts w:hint="default" w:ascii="Times New Roman" w:hAnsi="Times New Roman" w:eastAsia="宋体" w:cs="Times New Roman"/>
                <w:color w:val="auto"/>
                <w:sz w:val="21"/>
                <w:szCs w:val="21"/>
              </w:rPr>
              <w:t>—在T时间内i声源工作时间，s；</w:t>
            </w:r>
          </w:p>
          <w:p w14:paraId="143DE471">
            <w:pPr>
              <w:spacing w:line="360" w:lineRule="auto"/>
              <w:ind w:firstLine="1157" w:firstLineChars="55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T—用于计算等效声级的时间，s；</w:t>
            </w:r>
          </w:p>
          <w:p w14:paraId="052BDAB6">
            <w:pPr>
              <w:spacing w:line="360" w:lineRule="auto"/>
              <w:ind w:firstLine="1157" w:firstLineChars="55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N—室外声源个数；</w:t>
            </w:r>
          </w:p>
          <w:p w14:paraId="03BB29A6">
            <w:pPr>
              <w:spacing w:line="360" w:lineRule="auto"/>
              <w:ind w:firstLine="1157" w:firstLineChars="551"/>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M—等效室外声源个数。</w:t>
            </w:r>
          </w:p>
          <w:p w14:paraId="7ABC06F4">
            <w:pPr>
              <w:spacing w:line="360" w:lineRule="auto"/>
              <w:ind w:firstLine="542" w:firstLineChars="257"/>
              <w:rPr>
                <w:rFonts w:hint="default" w:ascii="Times New Roman" w:hAnsi="Times New Roman" w:cs="Times New Roman"/>
                <w:b/>
                <w:color w:val="auto"/>
                <w:szCs w:val="21"/>
              </w:rPr>
            </w:pPr>
            <w:r>
              <w:rPr>
                <w:rFonts w:hint="default" w:ascii="Times New Roman" w:hAnsi="Times New Roman" w:cs="Times New Roman"/>
                <w:b/>
                <w:color w:val="auto"/>
                <w:szCs w:val="21"/>
              </w:rPr>
              <w:t>②计算结果</w:t>
            </w:r>
          </w:p>
          <w:p w14:paraId="01A489BF">
            <w:pPr>
              <w:pStyle w:val="26"/>
              <w:adjustRightInd w:val="0"/>
              <w:snapToGrid w:val="0"/>
              <w:spacing w:before="0" w:beforeAutospacing="0" w:after="0" w:afterAutospacing="0" w:line="360" w:lineRule="auto"/>
              <w:ind w:firstLine="420" w:firstLineChars="200"/>
              <w:outlineLvl w:val="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按上述预测模式，其噪声污染源源强及相关参数一览表、噪声设备与室内边界距离及建筑物外距离见下表</w:t>
            </w:r>
            <w:r>
              <w:rPr>
                <w:rFonts w:hint="eastAsia" w:ascii="Times New Roman" w:hAnsi="Times New Roman" w:cs="Times New Roman"/>
                <w:bCs/>
                <w:color w:val="auto"/>
                <w:kern w:val="2"/>
                <w:sz w:val="21"/>
                <w:szCs w:val="21"/>
                <w:lang w:eastAsia="zh-CN"/>
              </w:rPr>
              <w:t>（由于本项目东、南、西侧紧邻其他项目厂房，因此本次评价的噪声预测仅针对项目北侧进行）</w:t>
            </w:r>
            <w:r>
              <w:rPr>
                <w:rFonts w:hint="default" w:ascii="Times New Roman" w:hAnsi="Times New Roman" w:cs="Times New Roman"/>
                <w:bCs/>
                <w:color w:val="auto"/>
                <w:kern w:val="2"/>
                <w:sz w:val="21"/>
                <w:szCs w:val="21"/>
              </w:rPr>
              <w:t>。</w:t>
            </w:r>
          </w:p>
          <w:p w14:paraId="2CCBAB9C">
            <w:pPr>
              <w:pStyle w:val="6"/>
              <w:rPr>
                <w:rFonts w:hint="default" w:ascii="Times New Roman" w:hAnsi="Times New Roman" w:eastAsia="宋体" w:cs="Times New Roman"/>
                <w:color w:val="auto"/>
                <w:szCs w:val="21"/>
              </w:rPr>
            </w:pPr>
          </w:p>
          <w:p w14:paraId="76CA370C">
            <w:pPr>
              <w:rPr>
                <w:rFonts w:hint="default" w:ascii="Times New Roman" w:hAnsi="Times New Roman" w:eastAsia="宋体" w:cs="Times New Roman"/>
                <w:color w:val="auto"/>
                <w:szCs w:val="21"/>
              </w:rPr>
            </w:pPr>
          </w:p>
          <w:p w14:paraId="74903A96">
            <w:pPr>
              <w:rPr>
                <w:rFonts w:hint="default" w:ascii="Times New Roman" w:hAnsi="Times New Roman" w:eastAsia="宋体" w:cs="Times New Roman"/>
                <w:color w:val="auto"/>
                <w:szCs w:val="21"/>
              </w:rPr>
            </w:pPr>
          </w:p>
          <w:p w14:paraId="14EAA196">
            <w:pPr>
              <w:rPr>
                <w:rFonts w:hint="default" w:ascii="Times New Roman" w:hAnsi="Times New Roman" w:eastAsia="宋体" w:cs="Times New Roman"/>
                <w:color w:val="auto"/>
                <w:szCs w:val="21"/>
              </w:rPr>
            </w:pPr>
          </w:p>
          <w:p w14:paraId="32F280FE">
            <w:pPr>
              <w:rPr>
                <w:rFonts w:hint="default" w:ascii="Times New Roman" w:hAnsi="Times New Roman" w:eastAsia="宋体" w:cs="Times New Roman"/>
                <w:color w:val="auto"/>
                <w:szCs w:val="21"/>
              </w:rPr>
            </w:pPr>
          </w:p>
          <w:p w14:paraId="45E21711">
            <w:pPr>
              <w:pStyle w:val="54"/>
              <w:rPr>
                <w:rFonts w:hint="default" w:ascii="Times New Roman" w:hAnsi="Times New Roman" w:eastAsia="宋体" w:cs="Times New Roman"/>
                <w:color w:val="auto"/>
                <w:szCs w:val="21"/>
              </w:rPr>
            </w:pPr>
          </w:p>
          <w:p w14:paraId="07B0EFCF">
            <w:pPr>
              <w:pStyle w:val="54"/>
              <w:rPr>
                <w:rFonts w:hint="default" w:ascii="Times New Roman" w:hAnsi="Times New Roman" w:eastAsia="宋体" w:cs="Times New Roman"/>
                <w:color w:val="auto"/>
                <w:szCs w:val="21"/>
              </w:rPr>
            </w:pPr>
          </w:p>
          <w:p w14:paraId="4179809E">
            <w:pPr>
              <w:pStyle w:val="54"/>
              <w:rPr>
                <w:rFonts w:hint="default" w:ascii="Times New Roman" w:hAnsi="Times New Roman" w:eastAsia="宋体" w:cs="Times New Roman"/>
                <w:color w:val="auto"/>
                <w:szCs w:val="21"/>
              </w:rPr>
            </w:pPr>
          </w:p>
          <w:p w14:paraId="71658E33">
            <w:pPr>
              <w:topLinePunct/>
              <w:adjustRightInd w:val="0"/>
              <w:snapToGrid w:val="0"/>
              <w:spacing w:line="360" w:lineRule="auto"/>
              <w:jc w:val="left"/>
              <w:rPr>
                <w:rFonts w:hint="default" w:ascii="Times New Roman" w:hAnsi="Times New Roman" w:cs="Times New Roman"/>
                <w:color w:val="auto"/>
                <w:szCs w:val="21"/>
              </w:rPr>
            </w:pPr>
          </w:p>
        </w:tc>
      </w:tr>
    </w:tbl>
    <w:p w14:paraId="3E379DFA">
      <w:pPr>
        <w:pStyle w:val="26"/>
        <w:outlineLvl w:val="0"/>
        <w:rPr>
          <w:rFonts w:hint="default" w:ascii="Times New Roman" w:hAnsi="Times New Roman"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BD76187">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1</w:t>
      </w:r>
      <w:r>
        <w:rPr>
          <w:rFonts w:hint="eastAsia" w:ascii="Times New Roman" w:hAnsi="Times New Roman" w:cs="Times New Roman"/>
          <w:b/>
          <w:color w:val="auto"/>
          <w:szCs w:val="21"/>
          <w:lang w:val="en-US" w:eastAsia="zh-CN"/>
        </w:rPr>
        <w:t>0</w:t>
      </w:r>
      <w:r>
        <w:rPr>
          <w:rFonts w:hint="default" w:ascii="Times New Roman" w:hAnsi="Times New Roman" w:cs="Times New Roman"/>
          <w:b/>
          <w:color w:val="auto"/>
          <w:szCs w:val="21"/>
        </w:rPr>
        <w:t xml:space="preserve">  工业</w:t>
      </w:r>
      <w:r>
        <w:rPr>
          <w:rFonts w:hint="default" w:ascii="Times New Roman" w:hAnsi="Times New Roman" w:cs="Times New Roman"/>
          <w:b/>
          <w:color w:val="auto"/>
          <w:szCs w:val="21"/>
          <w:lang w:val="en-US" w:eastAsia="zh-CN"/>
        </w:rPr>
        <w:t>企业</w:t>
      </w:r>
      <w:r>
        <w:rPr>
          <w:rFonts w:hint="default" w:ascii="Times New Roman" w:hAnsi="Times New Roman" w:cs="Times New Roman"/>
          <w:b/>
          <w:color w:val="auto"/>
          <w:szCs w:val="21"/>
        </w:rPr>
        <w:t xml:space="preserve">噪声源强调查清单（室外声源） </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56"/>
        <w:gridCol w:w="1125"/>
        <w:gridCol w:w="1327"/>
        <w:gridCol w:w="1240"/>
        <w:gridCol w:w="1356"/>
        <w:gridCol w:w="2610"/>
        <w:gridCol w:w="3837"/>
        <w:gridCol w:w="1101"/>
      </w:tblGrid>
      <w:tr w14:paraId="1E6A8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6" w:type="dxa"/>
            <w:vMerge w:val="restart"/>
            <w:tcBorders>
              <w:tl2br w:val="nil"/>
              <w:tr2bl w:val="nil"/>
            </w:tcBorders>
            <w:noWrap w:val="0"/>
            <w:vAlign w:val="center"/>
          </w:tcPr>
          <w:p w14:paraId="7D5DC17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设备名称</w:t>
            </w:r>
          </w:p>
        </w:tc>
        <w:tc>
          <w:tcPr>
            <w:tcW w:w="1125" w:type="dxa"/>
            <w:vMerge w:val="restart"/>
            <w:tcBorders>
              <w:tl2br w:val="nil"/>
              <w:tr2bl w:val="nil"/>
            </w:tcBorders>
            <w:noWrap w:val="0"/>
            <w:vAlign w:val="center"/>
          </w:tcPr>
          <w:p w14:paraId="2579E1B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型号</w:t>
            </w:r>
          </w:p>
        </w:tc>
        <w:tc>
          <w:tcPr>
            <w:tcW w:w="3923" w:type="dxa"/>
            <w:gridSpan w:val="3"/>
            <w:tcBorders>
              <w:tl2br w:val="nil"/>
              <w:tr2bl w:val="nil"/>
            </w:tcBorders>
            <w:noWrap w:val="0"/>
            <w:vAlign w:val="center"/>
          </w:tcPr>
          <w:p w14:paraId="0484B3DB">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空间相对位置</w:t>
            </w:r>
          </w:p>
        </w:tc>
        <w:tc>
          <w:tcPr>
            <w:tcW w:w="2610" w:type="dxa"/>
            <w:vMerge w:val="restart"/>
            <w:tcBorders>
              <w:tl2br w:val="nil"/>
              <w:tr2bl w:val="nil"/>
            </w:tcBorders>
            <w:noWrap w:val="0"/>
            <w:vAlign w:val="center"/>
          </w:tcPr>
          <w:p w14:paraId="05C7B37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声源源强dB（A）</w:t>
            </w:r>
          </w:p>
        </w:tc>
        <w:tc>
          <w:tcPr>
            <w:tcW w:w="3837" w:type="dxa"/>
            <w:vMerge w:val="restart"/>
            <w:tcBorders>
              <w:tl2br w:val="nil"/>
              <w:tr2bl w:val="nil"/>
            </w:tcBorders>
            <w:noWrap w:val="0"/>
            <w:vAlign w:val="center"/>
          </w:tcPr>
          <w:p w14:paraId="223921E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声源控制措施</w:t>
            </w:r>
          </w:p>
        </w:tc>
        <w:tc>
          <w:tcPr>
            <w:tcW w:w="1101" w:type="dxa"/>
            <w:vMerge w:val="restart"/>
            <w:tcBorders>
              <w:tl2br w:val="nil"/>
              <w:tr2bl w:val="nil"/>
            </w:tcBorders>
            <w:noWrap w:val="0"/>
            <w:vAlign w:val="center"/>
          </w:tcPr>
          <w:p w14:paraId="4F97E35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运行时段</w:t>
            </w:r>
          </w:p>
        </w:tc>
      </w:tr>
      <w:tr w14:paraId="4B093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6" w:type="dxa"/>
            <w:vMerge w:val="continue"/>
            <w:tcBorders>
              <w:tl2br w:val="nil"/>
              <w:tr2bl w:val="nil"/>
            </w:tcBorders>
            <w:noWrap w:val="0"/>
            <w:vAlign w:val="center"/>
          </w:tcPr>
          <w:p w14:paraId="15CED1F0">
            <w:pPr>
              <w:spacing w:line="276" w:lineRule="auto"/>
              <w:jc w:val="center"/>
              <w:rPr>
                <w:rFonts w:hint="default" w:ascii="Times New Roman" w:hAnsi="Times New Roman" w:cs="Times New Roman"/>
                <w:color w:val="auto"/>
                <w:sz w:val="18"/>
                <w:szCs w:val="18"/>
              </w:rPr>
            </w:pPr>
          </w:p>
        </w:tc>
        <w:tc>
          <w:tcPr>
            <w:tcW w:w="1125" w:type="dxa"/>
            <w:vMerge w:val="continue"/>
            <w:tcBorders>
              <w:tl2br w:val="nil"/>
              <w:tr2bl w:val="nil"/>
            </w:tcBorders>
            <w:noWrap w:val="0"/>
            <w:vAlign w:val="center"/>
          </w:tcPr>
          <w:p w14:paraId="57FA1629">
            <w:pPr>
              <w:spacing w:line="276" w:lineRule="auto"/>
              <w:jc w:val="center"/>
              <w:rPr>
                <w:rFonts w:hint="default" w:ascii="Times New Roman" w:hAnsi="Times New Roman" w:cs="Times New Roman"/>
                <w:color w:val="auto"/>
                <w:sz w:val="18"/>
                <w:szCs w:val="18"/>
              </w:rPr>
            </w:pPr>
          </w:p>
        </w:tc>
        <w:tc>
          <w:tcPr>
            <w:tcW w:w="1327" w:type="dxa"/>
            <w:tcBorders>
              <w:tl2br w:val="nil"/>
              <w:tr2bl w:val="nil"/>
            </w:tcBorders>
            <w:noWrap w:val="0"/>
            <w:vAlign w:val="center"/>
          </w:tcPr>
          <w:p w14:paraId="3F2309FF">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w:t>
            </w:r>
          </w:p>
        </w:tc>
        <w:tc>
          <w:tcPr>
            <w:tcW w:w="1240" w:type="dxa"/>
            <w:tcBorders>
              <w:tl2br w:val="nil"/>
              <w:tr2bl w:val="nil"/>
            </w:tcBorders>
            <w:noWrap w:val="0"/>
            <w:vAlign w:val="center"/>
          </w:tcPr>
          <w:p w14:paraId="32D08AC1">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w:t>
            </w:r>
          </w:p>
        </w:tc>
        <w:tc>
          <w:tcPr>
            <w:tcW w:w="1356" w:type="dxa"/>
            <w:tcBorders>
              <w:tl2br w:val="nil"/>
              <w:tr2bl w:val="nil"/>
            </w:tcBorders>
            <w:noWrap w:val="0"/>
            <w:vAlign w:val="center"/>
          </w:tcPr>
          <w:p w14:paraId="527FAF5D">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Z</w:t>
            </w:r>
          </w:p>
        </w:tc>
        <w:tc>
          <w:tcPr>
            <w:tcW w:w="2610" w:type="dxa"/>
            <w:vMerge w:val="continue"/>
            <w:tcBorders>
              <w:tl2br w:val="nil"/>
              <w:tr2bl w:val="nil"/>
            </w:tcBorders>
            <w:noWrap w:val="0"/>
            <w:vAlign w:val="center"/>
          </w:tcPr>
          <w:p w14:paraId="50AFA533">
            <w:pPr>
              <w:spacing w:line="276" w:lineRule="auto"/>
              <w:jc w:val="center"/>
              <w:rPr>
                <w:rFonts w:hint="default" w:ascii="Times New Roman" w:hAnsi="Times New Roman" w:cs="Times New Roman"/>
                <w:color w:val="auto"/>
                <w:sz w:val="18"/>
                <w:szCs w:val="18"/>
              </w:rPr>
            </w:pPr>
          </w:p>
        </w:tc>
        <w:tc>
          <w:tcPr>
            <w:tcW w:w="3837" w:type="dxa"/>
            <w:vMerge w:val="continue"/>
            <w:tcBorders>
              <w:tl2br w:val="nil"/>
              <w:tr2bl w:val="nil"/>
            </w:tcBorders>
            <w:noWrap w:val="0"/>
            <w:vAlign w:val="center"/>
          </w:tcPr>
          <w:p w14:paraId="3796916A">
            <w:pPr>
              <w:spacing w:line="276" w:lineRule="auto"/>
              <w:jc w:val="center"/>
              <w:rPr>
                <w:rFonts w:hint="default" w:ascii="Times New Roman" w:hAnsi="Times New Roman" w:cs="Times New Roman"/>
                <w:color w:val="auto"/>
                <w:sz w:val="18"/>
                <w:szCs w:val="18"/>
              </w:rPr>
            </w:pPr>
          </w:p>
        </w:tc>
        <w:tc>
          <w:tcPr>
            <w:tcW w:w="1101" w:type="dxa"/>
            <w:vMerge w:val="continue"/>
            <w:tcBorders>
              <w:tl2br w:val="nil"/>
              <w:tr2bl w:val="nil"/>
            </w:tcBorders>
            <w:noWrap w:val="0"/>
            <w:vAlign w:val="center"/>
          </w:tcPr>
          <w:p w14:paraId="71EE7EC6">
            <w:pPr>
              <w:spacing w:line="276" w:lineRule="auto"/>
              <w:jc w:val="center"/>
              <w:rPr>
                <w:rFonts w:hint="default" w:ascii="Times New Roman" w:hAnsi="Times New Roman" w:cs="Times New Roman"/>
                <w:color w:val="auto"/>
                <w:sz w:val="18"/>
                <w:szCs w:val="18"/>
              </w:rPr>
            </w:pPr>
          </w:p>
        </w:tc>
      </w:tr>
      <w:tr w14:paraId="50830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6" w:type="dxa"/>
            <w:tcBorders>
              <w:tl2br w:val="nil"/>
              <w:tr2bl w:val="nil"/>
            </w:tcBorders>
            <w:noWrap w:val="0"/>
            <w:vAlign w:val="center"/>
          </w:tcPr>
          <w:p w14:paraId="331562E4">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冷却塔</w:t>
            </w:r>
          </w:p>
        </w:tc>
        <w:tc>
          <w:tcPr>
            <w:tcW w:w="1125" w:type="dxa"/>
            <w:tcBorders>
              <w:tl2br w:val="nil"/>
              <w:tr2bl w:val="nil"/>
            </w:tcBorders>
            <w:noWrap w:val="0"/>
            <w:vAlign w:val="center"/>
          </w:tcPr>
          <w:p w14:paraId="02554D48">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rPr>
              <w:t>t/h</w:t>
            </w:r>
          </w:p>
        </w:tc>
        <w:tc>
          <w:tcPr>
            <w:tcW w:w="1327" w:type="dxa"/>
            <w:tcBorders>
              <w:tl2br w:val="nil"/>
              <w:tr2bl w:val="nil"/>
            </w:tcBorders>
            <w:noWrap w:val="0"/>
            <w:vAlign w:val="center"/>
          </w:tcPr>
          <w:p w14:paraId="24275C5D">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1240" w:type="dxa"/>
            <w:tcBorders>
              <w:tl2br w:val="nil"/>
              <w:tr2bl w:val="nil"/>
            </w:tcBorders>
            <w:noWrap w:val="0"/>
            <w:vAlign w:val="center"/>
          </w:tcPr>
          <w:p w14:paraId="1BB7D30B">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1356" w:type="dxa"/>
            <w:tcBorders>
              <w:tl2br w:val="nil"/>
              <w:tr2bl w:val="nil"/>
            </w:tcBorders>
            <w:noWrap w:val="0"/>
            <w:vAlign w:val="center"/>
          </w:tcPr>
          <w:p w14:paraId="2433F111">
            <w:pPr>
              <w:widowControl/>
              <w:spacing w:line="276"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2610" w:type="dxa"/>
            <w:tcBorders>
              <w:tl2br w:val="nil"/>
              <w:tr2bl w:val="nil"/>
            </w:tcBorders>
            <w:noWrap w:val="0"/>
            <w:vAlign w:val="center"/>
          </w:tcPr>
          <w:p w14:paraId="7192A14B">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8</w:t>
            </w:r>
            <w:r>
              <w:rPr>
                <w:rFonts w:hint="default" w:ascii="Times New Roman" w:hAnsi="Times New Roman" w:cs="Times New Roman"/>
                <w:color w:val="auto"/>
                <w:sz w:val="18"/>
                <w:szCs w:val="18"/>
                <w:lang w:val="en-US" w:eastAsia="zh-CN"/>
              </w:rPr>
              <w:t>5</w:t>
            </w:r>
          </w:p>
        </w:tc>
        <w:tc>
          <w:tcPr>
            <w:tcW w:w="3837" w:type="dxa"/>
            <w:vMerge w:val="restart"/>
            <w:tcBorders>
              <w:tl2br w:val="nil"/>
              <w:tr2bl w:val="nil"/>
            </w:tcBorders>
            <w:noWrap w:val="0"/>
            <w:vAlign w:val="center"/>
          </w:tcPr>
          <w:p w14:paraId="07D4CC0B">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基础减振，设置隔音罩，降噪效果25dB（A）</w:t>
            </w:r>
          </w:p>
        </w:tc>
        <w:tc>
          <w:tcPr>
            <w:tcW w:w="1101" w:type="dxa"/>
            <w:vMerge w:val="restart"/>
            <w:tcBorders>
              <w:tl2br w:val="nil"/>
              <w:tr2bl w:val="nil"/>
            </w:tcBorders>
            <w:noWrap w:val="0"/>
            <w:vAlign w:val="center"/>
          </w:tcPr>
          <w:p w14:paraId="60757A9E">
            <w:pPr>
              <w:widowControl/>
              <w:spacing w:line="276" w:lineRule="auto"/>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昼间</w:t>
            </w:r>
            <w:r>
              <w:rPr>
                <w:rFonts w:hint="eastAsia" w:ascii="Times New Roman" w:hAnsi="Times New Roman" w:cs="Times New Roman"/>
                <w:color w:val="auto"/>
                <w:sz w:val="18"/>
                <w:szCs w:val="18"/>
                <w:lang w:eastAsia="zh-CN"/>
              </w:rPr>
              <w:t>、夜间</w:t>
            </w:r>
          </w:p>
        </w:tc>
      </w:tr>
      <w:tr w14:paraId="0F602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56" w:type="dxa"/>
            <w:tcBorders>
              <w:tl2br w:val="nil"/>
              <w:tr2bl w:val="nil"/>
            </w:tcBorders>
            <w:noWrap w:val="0"/>
            <w:vAlign w:val="center"/>
          </w:tcPr>
          <w:p w14:paraId="35DEA41D">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风机</w:t>
            </w:r>
          </w:p>
        </w:tc>
        <w:tc>
          <w:tcPr>
            <w:tcW w:w="1125" w:type="dxa"/>
            <w:tcBorders>
              <w:tl2br w:val="nil"/>
              <w:tr2bl w:val="nil"/>
            </w:tcBorders>
            <w:noWrap w:val="0"/>
            <w:vAlign w:val="center"/>
          </w:tcPr>
          <w:p w14:paraId="400E1830">
            <w:pPr>
              <w:widowControl/>
              <w:spacing w:line="276"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16</w:t>
            </w:r>
            <w:r>
              <w:rPr>
                <w:rFonts w:hint="default" w:ascii="Times New Roman" w:hAnsi="Times New Roman" w:cs="Times New Roman"/>
                <w:color w:val="auto"/>
                <w:sz w:val="18"/>
                <w:szCs w:val="18"/>
              </w:rPr>
              <w:t>000m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327" w:type="dxa"/>
            <w:tcBorders>
              <w:tl2br w:val="nil"/>
              <w:tr2bl w:val="nil"/>
            </w:tcBorders>
            <w:noWrap w:val="0"/>
            <w:vAlign w:val="center"/>
          </w:tcPr>
          <w:p w14:paraId="6DD7146E">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40" w:type="dxa"/>
            <w:tcBorders>
              <w:tl2br w:val="nil"/>
              <w:tr2bl w:val="nil"/>
            </w:tcBorders>
            <w:noWrap w:val="0"/>
            <w:vAlign w:val="center"/>
          </w:tcPr>
          <w:p w14:paraId="29C7F2E8">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1356" w:type="dxa"/>
            <w:tcBorders>
              <w:tl2br w:val="nil"/>
              <w:tr2bl w:val="nil"/>
            </w:tcBorders>
            <w:noWrap w:val="0"/>
            <w:vAlign w:val="center"/>
          </w:tcPr>
          <w:p w14:paraId="02744615">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2610" w:type="dxa"/>
            <w:tcBorders>
              <w:tl2br w:val="nil"/>
              <w:tr2bl w:val="nil"/>
            </w:tcBorders>
            <w:noWrap w:val="0"/>
            <w:vAlign w:val="center"/>
          </w:tcPr>
          <w:p w14:paraId="004592B6">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8</w:t>
            </w:r>
            <w:r>
              <w:rPr>
                <w:rFonts w:hint="default" w:ascii="Times New Roman" w:hAnsi="Times New Roman" w:cs="Times New Roman"/>
                <w:color w:val="auto"/>
                <w:sz w:val="18"/>
                <w:szCs w:val="18"/>
                <w:lang w:val="en-US" w:eastAsia="zh-CN"/>
              </w:rPr>
              <w:t>5</w:t>
            </w:r>
          </w:p>
        </w:tc>
        <w:tc>
          <w:tcPr>
            <w:tcW w:w="3837" w:type="dxa"/>
            <w:vMerge w:val="continue"/>
            <w:tcBorders>
              <w:tl2br w:val="nil"/>
              <w:tr2bl w:val="nil"/>
            </w:tcBorders>
            <w:noWrap w:val="0"/>
            <w:vAlign w:val="center"/>
          </w:tcPr>
          <w:p w14:paraId="4862411A">
            <w:pPr>
              <w:widowControl/>
              <w:spacing w:line="276" w:lineRule="auto"/>
              <w:jc w:val="center"/>
              <w:rPr>
                <w:rFonts w:hint="default" w:ascii="Times New Roman" w:hAnsi="Times New Roman" w:cs="Times New Roman"/>
                <w:color w:val="auto"/>
                <w:sz w:val="18"/>
                <w:szCs w:val="18"/>
              </w:rPr>
            </w:pPr>
          </w:p>
        </w:tc>
        <w:tc>
          <w:tcPr>
            <w:tcW w:w="1101" w:type="dxa"/>
            <w:vMerge w:val="continue"/>
            <w:tcBorders>
              <w:tl2br w:val="nil"/>
              <w:tr2bl w:val="nil"/>
            </w:tcBorders>
            <w:noWrap w:val="0"/>
            <w:vAlign w:val="center"/>
          </w:tcPr>
          <w:p w14:paraId="142169B4">
            <w:pPr>
              <w:widowControl/>
              <w:spacing w:line="276" w:lineRule="auto"/>
              <w:jc w:val="center"/>
              <w:rPr>
                <w:rFonts w:hint="default" w:ascii="Times New Roman" w:hAnsi="Times New Roman" w:cs="Times New Roman"/>
                <w:color w:val="auto"/>
                <w:sz w:val="18"/>
                <w:szCs w:val="18"/>
              </w:rPr>
            </w:pPr>
          </w:p>
        </w:tc>
      </w:tr>
    </w:tbl>
    <w:p w14:paraId="6F8D23D6">
      <w:pPr>
        <w:pStyle w:val="26"/>
        <w:adjustRightInd w:val="0"/>
        <w:snapToGrid w:val="0"/>
        <w:spacing w:before="0" w:beforeAutospacing="0" w:after="0" w:afterAutospacing="0" w:line="360" w:lineRule="auto"/>
        <w:jc w:val="center"/>
        <w:outlineLvl w:val="0"/>
        <w:rPr>
          <w:rFonts w:hint="default" w:ascii="Times New Roman" w:hAnsi="Times New Roman" w:cs="Times New Roman"/>
          <w:b/>
          <w:color w:val="auto"/>
          <w:sz w:val="21"/>
          <w:szCs w:val="21"/>
        </w:rPr>
      </w:pPr>
    </w:p>
    <w:p w14:paraId="7AFCDA3E">
      <w:pPr>
        <w:pStyle w:val="26"/>
        <w:adjustRightInd w:val="0"/>
        <w:snapToGrid w:val="0"/>
        <w:spacing w:before="0" w:beforeAutospacing="0" w:after="0" w:afterAutospacing="0" w:line="360" w:lineRule="auto"/>
        <w:jc w:val="center"/>
        <w:outlineLvl w:val="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1</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 xml:space="preserve"> </w:t>
      </w:r>
      <w:r>
        <w:rPr>
          <w:rFonts w:hint="default" w:ascii="Times New Roman" w:hAnsi="Times New Roman" w:cs="Times New Roman"/>
          <w:b/>
          <w:snapToGrid w:val="0"/>
          <w:color w:val="auto"/>
          <w:sz w:val="21"/>
          <w:szCs w:val="21"/>
        </w:rPr>
        <w:t xml:space="preserve"> </w:t>
      </w:r>
      <w:r>
        <w:rPr>
          <w:rFonts w:hint="default" w:ascii="Times New Roman" w:hAnsi="Times New Roman" w:cs="Times New Roman"/>
          <w:b/>
          <w:color w:val="auto"/>
          <w:sz w:val="21"/>
          <w:szCs w:val="21"/>
        </w:rPr>
        <w:t>工业</w:t>
      </w:r>
      <w:r>
        <w:rPr>
          <w:rFonts w:hint="default" w:ascii="Times New Roman" w:hAnsi="Times New Roman" w:cs="Times New Roman"/>
          <w:b/>
          <w:color w:val="auto"/>
          <w:sz w:val="21"/>
          <w:szCs w:val="21"/>
          <w:lang w:val="en-US" w:eastAsia="zh-CN"/>
        </w:rPr>
        <w:t>企业</w:t>
      </w:r>
      <w:r>
        <w:rPr>
          <w:rFonts w:hint="default" w:ascii="Times New Roman" w:hAnsi="Times New Roman" w:cs="Times New Roman"/>
          <w:b/>
          <w:color w:val="auto"/>
          <w:sz w:val="21"/>
          <w:szCs w:val="21"/>
        </w:rPr>
        <w:t>噪声源强调查清单（室内声源）</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739"/>
        <w:gridCol w:w="1493"/>
        <w:gridCol w:w="777"/>
        <w:gridCol w:w="1296"/>
        <w:gridCol w:w="490"/>
        <w:gridCol w:w="450"/>
        <w:gridCol w:w="505"/>
        <w:gridCol w:w="461"/>
        <w:gridCol w:w="447"/>
        <w:gridCol w:w="448"/>
        <w:gridCol w:w="473"/>
        <w:gridCol w:w="448"/>
        <w:gridCol w:w="447"/>
        <w:gridCol w:w="421"/>
        <w:gridCol w:w="448"/>
        <w:gridCol w:w="618"/>
        <w:gridCol w:w="750"/>
        <w:gridCol w:w="408"/>
        <w:gridCol w:w="460"/>
        <w:gridCol w:w="421"/>
        <w:gridCol w:w="403"/>
        <w:gridCol w:w="648"/>
      </w:tblGrid>
      <w:tr w14:paraId="7EE03C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1" w:type="dxa"/>
            <w:vMerge w:val="restart"/>
            <w:tcBorders>
              <w:tl2br w:val="nil"/>
              <w:tr2bl w:val="nil"/>
            </w:tcBorders>
            <w:noWrap w:val="0"/>
            <w:vAlign w:val="center"/>
          </w:tcPr>
          <w:p w14:paraId="0368534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建筑物名称</w:t>
            </w:r>
          </w:p>
        </w:tc>
        <w:tc>
          <w:tcPr>
            <w:tcW w:w="739" w:type="dxa"/>
            <w:vMerge w:val="restart"/>
            <w:tcBorders>
              <w:tl2br w:val="nil"/>
              <w:tr2bl w:val="nil"/>
            </w:tcBorders>
            <w:noWrap w:val="0"/>
            <w:vAlign w:val="center"/>
          </w:tcPr>
          <w:p w14:paraId="385FF5E9">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设备名称</w:t>
            </w:r>
          </w:p>
        </w:tc>
        <w:tc>
          <w:tcPr>
            <w:tcW w:w="1493" w:type="dxa"/>
            <w:vMerge w:val="restart"/>
            <w:tcBorders>
              <w:tl2br w:val="nil"/>
              <w:tr2bl w:val="nil"/>
            </w:tcBorders>
            <w:noWrap w:val="0"/>
            <w:vAlign w:val="center"/>
          </w:tcPr>
          <w:p w14:paraId="6FA8BF08">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型号</w:t>
            </w:r>
          </w:p>
        </w:tc>
        <w:tc>
          <w:tcPr>
            <w:tcW w:w="777" w:type="dxa"/>
            <w:vMerge w:val="restart"/>
            <w:tcBorders>
              <w:tl2br w:val="nil"/>
              <w:tr2bl w:val="nil"/>
            </w:tcBorders>
            <w:noWrap w:val="0"/>
            <w:vAlign w:val="center"/>
          </w:tcPr>
          <w:p w14:paraId="0CB98118">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声源源强dB（A）</w:t>
            </w:r>
          </w:p>
        </w:tc>
        <w:tc>
          <w:tcPr>
            <w:tcW w:w="1296" w:type="dxa"/>
            <w:vMerge w:val="restart"/>
            <w:tcBorders>
              <w:tl2br w:val="nil"/>
              <w:tr2bl w:val="nil"/>
            </w:tcBorders>
            <w:noWrap w:val="0"/>
            <w:vAlign w:val="center"/>
          </w:tcPr>
          <w:p w14:paraId="47EE44EB">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声源控制措施</w:t>
            </w:r>
          </w:p>
        </w:tc>
        <w:tc>
          <w:tcPr>
            <w:tcW w:w="1445" w:type="dxa"/>
            <w:gridSpan w:val="3"/>
            <w:tcBorders>
              <w:tl2br w:val="nil"/>
              <w:tr2bl w:val="nil"/>
            </w:tcBorders>
            <w:noWrap w:val="0"/>
            <w:vAlign w:val="center"/>
          </w:tcPr>
          <w:p w14:paraId="6E9DE91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空间相对位置</w:t>
            </w:r>
          </w:p>
        </w:tc>
        <w:tc>
          <w:tcPr>
            <w:tcW w:w="1829" w:type="dxa"/>
            <w:gridSpan w:val="4"/>
            <w:tcBorders>
              <w:tl2br w:val="nil"/>
              <w:tr2bl w:val="nil"/>
            </w:tcBorders>
            <w:noWrap w:val="0"/>
            <w:vAlign w:val="center"/>
          </w:tcPr>
          <w:p w14:paraId="22A03C4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距室内边界距离/m</w:t>
            </w:r>
          </w:p>
        </w:tc>
        <w:tc>
          <w:tcPr>
            <w:tcW w:w="1764" w:type="dxa"/>
            <w:gridSpan w:val="4"/>
            <w:tcBorders>
              <w:tl2br w:val="nil"/>
              <w:tr2bl w:val="nil"/>
            </w:tcBorders>
            <w:noWrap w:val="0"/>
            <w:vAlign w:val="center"/>
          </w:tcPr>
          <w:p w14:paraId="59E46FAF">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室内边界声级/dB(A)</w:t>
            </w:r>
          </w:p>
        </w:tc>
        <w:tc>
          <w:tcPr>
            <w:tcW w:w="618" w:type="dxa"/>
            <w:vMerge w:val="restart"/>
            <w:tcBorders>
              <w:tl2br w:val="nil"/>
              <w:tr2bl w:val="nil"/>
            </w:tcBorders>
            <w:noWrap w:val="0"/>
            <w:vAlign w:val="center"/>
          </w:tcPr>
          <w:p w14:paraId="5DD969AB">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w:t>
            </w:r>
          </w:p>
          <w:p w14:paraId="5F82651F">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时段</w:t>
            </w:r>
          </w:p>
        </w:tc>
        <w:tc>
          <w:tcPr>
            <w:tcW w:w="750" w:type="dxa"/>
            <w:vMerge w:val="restart"/>
            <w:tcBorders>
              <w:tl2br w:val="nil"/>
              <w:tr2bl w:val="nil"/>
            </w:tcBorders>
            <w:noWrap w:val="0"/>
            <w:vAlign w:val="center"/>
          </w:tcPr>
          <w:p w14:paraId="16A34F13">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建筑物插入损失dB(A)</w:t>
            </w:r>
          </w:p>
        </w:tc>
        <w:tc>
          <w:tcPr>
            <w:tcW w:w="2340" w:type="dxa"/>
            <w:gridSpan w:val="5"/>
            <w:tcBorders>
              <w:tl2br w:val="nil"/>
              <w:tr2bl w:val="nil"/>
            </w:tcBorders>
            <w:noWrap w:val="0"/>
            <w:vAlign w:val="center"/>
          </w:tcPr>
          <w:p w14:paraId="033750C8">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建筑物外噪声</w:t>
            </w:r>
          </w:p>
        </w:tc>
      </w:tr>
      <w:tr w14:paraId="2DA9AE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0C90CE7C">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0CB669A8">
            <w:pPr>
              <w:spacing w:line="276" w:lineRule="auto"/>
              <w:jc w:val="center"/>
              <w:rPr>
                <w:rFonts w:hint="default" w:ascii="Times New Roman" w:hAnsi="Times New Roman" w:cs="Times New Roman"/>
                <w:color w:val="auto"/>
                <w:sz w:val="18"/>
                <w:szCs w:val="18"/>
              </w:rPr>
            </w:pPr>
          </w:p>
        </w:tc>
        <w:tc>
          <w:tcPr>
            <w:tcW w:w="1493" w:type="dxa"/>
            <w:vMerge w:val="continue"/>
            <w:tcBorders>
              <w:tl2br w:val="nil"/>
              <w:tr2bl w:val="nil"/>
            </w:tcBorders>
            <w:noWrap w:val="0"/>
            <w:vAlign w:val="center"/>
          </w:tcPr>
          <w:p w14:paraId="7AAF8400">
            <w:pPr>
              <w:spacing w:line="276" w:lineRule="auto"/>
              <w:jc w:val="center"/>
              <w:rPr>
                <w:rFonts w:hint="default" w:ascii="Times New Roman" w:hAnsi="Times New Roman" w:cs="Times New Roman"/>
                <w:color w:val="auto"/>
                <w:sz w:val="18"/>
                <w:szCs w:val="18"/>
              </w:rPr>
            </w:pPr>
          </w:p>
        </w:tc>
        <w:tc>
          <w:tcPr>
            <w:tcW w:w="777" w:type="dxa"/>
            <w:vMerge w:val="continue"/>
            <w:tcBorders>
              <w:tl2br w:val="nil"/>
              <w:tr2bl w:val="nil"/>
            </w:tcBorders>
            <w:noWrap w:val="0"/>
            <w:vAlign w:val="center"/>
          </w:tcPr>
          <w:p w14:paraId="1BBEC901">
            <w:pPr>
              <w:spacing w:line="276" w:lineRule="auto"/>
              <w:jc w:val="center"/>
              <w:rPr>
                <w:rFonts w:hint="default" w:ascii="Times New Roman" w:hAnsi="Times New Roman" w:cs="Times New Roman"/>
                <w:color w:val="auto"/>
                <w:sz w:val="18"/>
                <w:szCs w:val="18"/>
              </w:rPr>
            </w:pPr>
          </w:p>
        </w:tc>
        <w:tc>
          <w:tcPr>
            <w:tcW w:w="1296" w:type="dxa"/>
            <w:vMerge w:val="continue"/>
            <w:tcBorders>
              <w:tl2br w:val="nil"/>
              <w:tr2bl w:val="nil"/>
            </w:tcBorders>
            <w:noWrap w:val="0"/>
            <w:vAlign w:val="center"/>
          </w:tcPr>
          <w:p w14:paraId="5A80B95C">
            <w:pPr>
              <w:spacing w:line="276" w:lineRule="auto"/>
              <w:jc w:val="center"/>
              <w:rPr>
                <w:rFonts w:hint="default" w:ascii="Times New Roman" w:hAnsi="Times New Roman" w:cs="Times New Roman"/>
                <w:color w:val="auto"/>
                <w:sz w:val="18"/>
                <w:szCs w:val="18"/>
              </w:rPr>
            </w:pPr>
          </w:p>
        </w:tc>
        <w:tc>
          <w:tcPr>
            <w:tcW w:w="490" w:type="dxa"/>
            <w:vMerge w:val="restart"/>
            <w:tcBorders>
              <w:tl2br w:val="nil"/>
              <w:tr2bl w:val="nil"/>
            </w:tcBorders>
            <w:noWrap w:val="0"/>
            <w:vAlign w:val="center"/>
          </w:tcPr>
          <w:p w14:paraId="32AB4503">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w:t>
            </w:r>
          </w:p>
        </w:tc>
        <w:tc>
          <w:tcPr>
            <w:tcW w:w="450" w:type="dxa"/>
            <w:vMerge w:val="restart"/>
            <w:tcBorders>
              <w:tl2br w:val="nil"/>
              <w:tr2bl w:val="nil"/>
            </w:tcBorders>
            <w:noWrap w:val="0"/>
            <w:vAlign w:val="center"/>
          </w:tcPr>
          <w:p w14:paraId="5D498A4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w:t>
            </w:r>
          </w:p>
        </w:tc>
        <w:tc>
          <w:tcPr>
            <w:tcW w:w="505" w:type="dxa"/>
            <w:vMerge w:val="restart"/>
            <w:tcBorders>
              <w:tl2br w:val="nil"/>
              <w:tr2bl w:val="nil"/>
            </w:tcBorders>
            <w:noWrap w:val="0"/>
            <w:vAlign w:val="center"/>
          </w:tcPr>
          <w:p w14:paraId="26C2D8E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Z</w:t>
            </w:r>
          </w:p>
        </w:tc>
        <w:tc>
          <w:tcPr>
            <w:tcW w:w="461" w:type="dxa"/>
            <w:vMerge w:val="restart"/>
            <w:tcBorders>
              <w:tl2br w:val="nil"/>
              <w:tr2bl w:val="nil"/>
            </w:tcBorders>
            <w:noWrap w:val="0"/>
            <w:vAlign w:val="center"/>
          </w:tcPr>
          <w:p w14:paraId="1B4398A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w:t>
            </w:r>
          </w:p>
        </w:tc>
        <w:tc>
          <w:tcPr>
            <w:tcW w:w="447" w:type="dxa"/>
            <w:vMerge w:val="restart"/>
            <w:tcBorders>
              <w:tl2br w:val="nil"/>
              <w:tr2bl w:val="nil"/>
            </w:tcBorders>
            <w:noWrap w:val="0"/>
            <w:vAlign w:val="center"/>
          </w:tcPr>
          <w:p w14:paraId="2C54DF8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w:t>
            </w:r>
          </w:p>
        </w:tc>
        <w:tc>
          <w:tcPr>
            <w:tcW w:w="448" w:type="dxa"/>
            <w:vMerge w:val="restart"/>
            <w:tcBorders>
              <w:tl2br w:val="nil"/>
              <w:tr2bl w:val="nil"/>
            </w:tcBorders>
            <w:noWrap w:val="0"/>
            <w:vAlign w:val="center"/>
          </w:tcPr>
          <w:p w14:paraId="3FF6673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w:t>
            </w:r>
          </w:p>
        </w:tc>
        <w:tc>
          <w:tcPr>
            <w:tcW w:w="473" w:type="dxa"/>
            <w:vMerge w:val="restart"/>
            <w:tcBorders>
              <w:tl2br w:val="nil"/>
              <w:tr2bl w:val="nil"/>
            </w:tcBorders>
            <w:noWrap w:val="0"/>
            <w:vAlign w:val="center"/>
          </w:tcPr>
          <w:p w14:paraId="24472AE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w:t>
            </w:r>
          </w:p>
        </w:tc>
        <w:tc>
          <w:tcPr>
            <w:tcW w:w="448" w:type="dxa"/>
            <w:vMerge w:val="restart"/>
            <w:tcBorders>
              <w:tl2br w:val="nil"/>
              <w:tr2bl w:val="nil"/>
            </w:tcBorders>
            <w:noWrap w:val="0"/>
            <w:vAlign w:val="center"/>
          </w:tcPr>
          <w:p w14:paraId="5324B76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w:t>
            </w:r>
          </w:p>
        </w:tc>
        <w:tc>
          <w:tcPr>
            <w:tcW w:w="447" w:type="dxa"/>
            <w:vMerge w:val="restart"/>
            <w:tcBorders>
              <w:tl2br w:val="nil"/>
              <w:tr2bl w:val="nil"/>
            </w:tcBorders>
            <w:noWrap w:val="0"/>
            <w:vAlign w:val="center"/>
          </w:tcPr>
          <w:p w14:paraId="2F0ABEE2">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w:t>
            </w:r>
          </w:p>
        </w:tc>
        <w:tc>
          <w:tcPr>
            <w:tcW w:w="421" w:type="dxa"/>
            <w:vMerge w:val="restart"/>
            <w:tcBorders>
              <w:tl2br w:val="nil"/>
              <w:tr2bl w:val="nil"/>
            </w:tcBorders>
            <w:noWrap w:val="0"/>
            <w:vAlign w:val="center"/>
          </w:tcPr>
          <w:p w14:paraId="79D581F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w:t>
            </w:r>
          </w:p>
        </w:tc>
        <w:tc>
          <w:tcPr>
            <w:tcW w:w="448" w:type="dxa"/>
            <w:vMerge w:val="restart"/>
            <w:tcBorders>
              <w:tl2br w:val="nil"/>
              <w:tr2bl w:val="nil"/>
            </w:tcBorders>
            <w:noWrap w:val="0"/>
            <w:vAlign w:val="center"/>
          </w:tcPr>
          <w:p w14:paraId="07ECF536">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w:t>
            </w:r>
          </w:p>
        </w:tc>
        <w:tc>
          <w:tcPr>
            <w:tcW w:w="618" w:type="dxa"/>
            <w:vMerge w:val="continue"/>
            <w:tcBorders>
              <w:tl2br w:val="nil"/>
              <w:tr2bl w:val="nil"/>
            </w:tcBorders>
            <w:noWrap w:val="0"/>
            <w:vAlign w:val="center"/>
          </w:tcPr>
          <w:p w14:paraId="35765A9E">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4575AAE9">
            <w:pPr>
              <w:spacing w:line="276" w:lineRule="auto"/>
              <w:jc w:val="center"/>
              <w:rPr>
                <w:rFonts w:hint="default" w:ascii="Times New Roman" w:hAnsi="Times New Roman" w:cs="Times New Roman"/>
                <w:color w:val="auto"/>
                <w:sz w:val="18"/>
                <w:szCs w:val="18"/>
              </w:rPr>
            </w:pPr>
          </w:p>
        </w:tc>
        <w:tc>
          <w:tcPr>
            <w:tcW w:w="1692" w:type="dxa"/>
            <w:gridSpan w:val="4"/>
            <w:tcBorders>
              <w:tl2br w:val="nil"/>
              <w:tr2bl w:val="nil"/>
            </w:tcBorders>
            <w:noWrap w:val="0"/>
            <w:vAlign w:val="center"/>
          </w:tcPr>
          <w:p w14:paraId="5D322193">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声压级/dB(A)</w:t>
            </w:r>
          </w:p>
        </w:tc>
        <w:tc>
          <w:tcPr>
            <w:tcW w:w="648" w:type="dxa"/>
            <w:vMerge w:val="restart"/>
            <w:tcBorders>
              <w:tl2br w:val="nil"/>
              <w:tr2bl w:val="nil"/>
            </w:tcBorders>
            <w:noWrap w:val="0"/>
            <w:vAlign w:val="center"/>
          </w:tcPr>
          <w:p w14:paraId="6500377A">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建筑物外距离</w:t>
            </w:r>
          </w:p>
        </w:tc>
      </w:tr>
      <w:tr w14:paraId="62566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01" w:type="dxa"/>
            <w:vMerge w:val="continue"/>
            <w:tcBorders>
              <w:tl2br w:val="nil"/>
              <w:tr2bl w:val="nil"/>
            </w:tcBorders>
            <w:noWrap w:val="0"/>
            <w:vAlign w:val="center"/>
          </w:tcPr>
          <w:p w14:paraId="7A0473FE">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3839F45A">
            <w:pPr>
              <w:spacing w:line="276" w:lineRule="auto"/>
              <w:jc w:val="center"/>
              <w:rPr>
                <w:rFonts w:hint="default" w:ascii="Times New Roman" w:hAnsi="Times New Roman" w:cs="Times New Roman"/>
                <w:color w:val="auto"/>
                <w:sz w:val="18"/>
                <w:szCs w:val="18"/>
              </w:rPr>
            </w:pPr>
          </w:p>
        </w:tc>
        <w:tc>
          <w:tcPr>
            <w:tcW w:w="1493" w:type="dxa"/>
            <w:vMerge w:val="continue"/>
            <w:tcBorders>
              <w:tl2br w:val="nil"/>
              <w:tr2bl w:val="nil"/>
            </w:tcBorders>
            <w:noWrap w:val="0"/>
            <w:vAlign w:val="center"/>
          </w:tcPr>
          <w:p w14:paraId="204EF5A0">
            <w:pPr>
              <w:spacing w:line="276" w:lineRule="auto"/>
              <w:jc w:val="center"/>
              <w:rPr>
                <w:rFonts w:hint="default" w:ascii="Times New Roman" w:hAnsi="Times New Roman" w:cs="Times New Roman"/>
                <w:color w:val="auto"/>
                <w:sz w:val="18"/>
                <w:szCs w:val="18"/>
              </w:rPr>
            </w:pPr>
          </w:p>
        </w:tc>
        <w:tc>
          <w:tcPr>
            <w:tcW w:w="777" w:type="dxa"/>
            <w:vMerge w:val="continue"/>
            <w:tcBorders>
              <w:tl2br w:val="nil"/>
              <w:tr2bl w:val="nil"/>
            </w:tcBorders>
            <w:noWrap w:val="0"/>
            <w:vAlign w:val="center"/>
          </w:tcPr>
          <w:p w14:paraId="58FC955A">
            <w:pPr>
              <w:spacing w:line="276" w:lineRule="auto"/>
              <w:jc w:val="center"/>
              <w:rPr>
                <w:rFonts w:hint="default" w:ascii="Times New Roman" w:hAnsi="Times New Roman" w:cs="Times New Roman"/>
                <w:color w:val="auto"/>
                <w:sz w:val="18"/>
                <w:szCs w:val="18"/>
              </w:rPr>
            </w:pPr>
          </w:p>
        </w:tc>
        <w:tc>
          <w:tcPr>
            <w:tcW w:w="1296" w:type="dxa"/>
            <w:vMerge w:val="continue"/>
            <w:tcBorders>
              <w:tl2br w:val="nil"/>
              <w:tr2bl w:val="nil"/>
            </w:tcBorders>
            <w:noWrap w:val="0"/>
            <w:vAlign w:val="center"/>
          </w:tcPr>
          <w:p w14:paraId="09D74C23">
            <w:pPr>
              <w:spacing w:line="276" w:lineRule="auto"/>
              <w:jc w:val="center"/>
              <w:rPr>
                <w:rFonts w:hint="default" w:ascii="Times New Roman" w:hAnsi="Times New Roman" w:cs="Times New Roman"/>
                <w:color w:val="auto"/>
                <w:sz w:val="18"/>
                <w:szCs w:val="18"/>
              </w:rPr>
            </w:pPr>
          </w:p>
        </w:tc>
        <w:tc>
          <w:tcPr>
            <w:tcW w:w="490" w:type="dxa"/>
            <w:vMerge w:val="continue"/>
            <w:tcBorders>
              <w:tl2br w:val="nil"/>
              <w:tr2bl w:val="nil"/>
            </w:tcBorders>
            <w:noWrap w:val="0"/>
            <w:vAlign w:val="center"/>
          </w:tcPr>
          <w:p w14:paraId="1068AE55">
            <w:pPr>
              <w:spacing w:line="276" w:lineRule="auto"/>
              <w:jc w:val="center"/>
              <w:rPr>
                <w:rFonts w:hint="default" w:ascii="Times New Roman" w:hAnsi="Times New Roman" w:cs="Times New Roman"/>
                <w:color w:val="auto"/>
                <w:sz w:val="18"/>
                <w:szCs w:val="18"/>
              </w:rPr>
            </w:pPr>
          </w:p>
        </w:tc>
        <w:tc>
          <w:tcPr>
            <w:tcW w:w="450" w:type="dxa"/>
            <w:vMerge w:val="continue"/>
            <w:tcBorders>
              <w:tl2br w:val="nil"/>
              <w:tr2bl w:val="nil"/>
            </w:tcBorders>
            <w:noWrap w:val="0"/>
            <w:vAlign w:val="center"/>
          </w:tcPr>
          <w:p w14:paraId="76EE2AAE">
            <w:pPr>
              <w:spacing w:line="276" w:lineRule="auto"/>
              <w:jc w:val="center"/>
              <w:rPr>
                <w:rFonts w:hint="default" w:ascii="Times New Roman" w:hAnsi="Times New Roman" w:cs="Times New Roman"/>
                <w:color w:val="auto"/>
                <w:sz w:val="18"/>
                <w:szCs w:val="18"/>
              </w:rPr>
            </w:pPr>
          </w:p>
        </w:tc>
        <w:tc>
          <w:tcPr>
            <w:tcW w:w="505" w:type="dxa"/>
            <w:vMerge w:val="continue"/>
            <w:tcBorders>
              <w:tl2br w:val="nil"/>
              <w:tr2bl w:val="nil"/>
            </w:tcBorders>
            <w:noWrap w:val="0"/>
            <w:vAlign w:val="center"/>
          </w:tcPr>
          <w:p w14:paraId="35B6518A">
            <w:pPr>
              <w:spacing w:line="276" w:lineRule="auto"/>
              <w:jc w:val="center"/>
              <w:rPr>
                <w:rFonts w:hint="default" w:ascii="Times New Roman" w:hAnsi="Times New Roman" w:cs="Times New Roman"/>
                <w:color w:val="auto"/>
                <w:sz w:val="18"/>
                <w:szCs w:val="18"/>
              </w:rPr>
            </w:pPr>
          </w:p>
        </w:tc>
        <w:tc>
          <w:tcPr>
            <w:tcW w:w="461" w:type="dxa"/>
            <w:vMerge w:val="continue"/>
            <w:tcBorders>
              <w:tl2br w:val="nil"/>
              <w:tr2bl w:val="nil"/>
            </w:tcBorders>
            <w:noWrap w:val="0"/>
            <w:vAlign w:val="center"/>
          </w:tcPr>
          <w:p w14:paraId="23BB258E">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3BB29D23">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39EAD367">
            <w:pPr>
              <w:spacing w:line="276" w:lineRule="auto"/>
              <w:jc w:val="center"/>
              <w:rPr>
                <w:rFonts w:hint="default" w:ascii="Times New Roman" w:hAnsi="Times New Roman" w:cs="Times New Roman"/>
                <w:color w:val="auto"/>
                <w:sz w:val="18"/>
                <w:szCs w:val="18"/>
              </w:rPr>
            </w:pPr>
          </w:p>
        </w:tc>
        <w:tc>
          <w:tcPr>
            <w:tcW w:w="473" w:type="dxa"/>
            <w:vMerge w:val="continue"/>
            <w:tcBorders>
              <w:tl2br w:val="nil"/>
              <w:tr2bl w:val="nil"/>
            </w:tcBorders>
            <w:noWrap w:val="0"/>
            <w:vAlign w:val="center"/>
          </w:tcPr>
          <w:p w14:paraId="6FF47438">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137C0FE6">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40507159">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5F48176">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6E149DE7">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39EA6DED">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0C3F67CC">
            <w:pPr>
              <w:spacing w:line="276" w:lineRule="auto"/>
              <w:jc w:val="center"/>
              <w:rPr>
                <w:rFonts w:hint="default" w:ascii="Times New Roman" w:hAnsi="Times New Roman" w:cs="Times New Roman"/>
                <w:color w:val="auto"/>
                <w:sz w:val="18"/>
                <w:szCs w:val="18"/>
              </w:rPr>
            </w:pPr>
          </w:p>
        </w:tc>
        <w:tc>
          <w:tcPr>
            <w:tcW w:w="408" w:type="dxa"/>
            <w:tcBorders>
              <w:tl2br w:val="nil"/>
              <w:tr2bl w:val="nil"/>
            </w:tcBorders>
            <w:noWrap w:val="0"/>
            <w:vAlign w:val="center"/>
          </w:tcPr>
          <w:p w14:paraId="4EB7D6CA">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w:t>
            </w:r>
          </w:p>
        </w:tc>
        <w:tc>
          <w:tcPr>
            <w:tcW w:w="460" w:type="dxa"/>
            <w:tcBorders>
              <w:tl2br w:val="nil"/>
              <w:tr2bl w:val="nil"/>
            </w:tcBorders>
            <w:noWrap w:val="0"/>
            <w:vAlign w:val="center"/>
          </w:tcPr>
          <w:p w14:paraId="7215FE16">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w:t>
            </w:r>
          </w:p>
        </w:tc>
        <w:tc>
          <w:tcPr>
            <w:tcW w:w="421" w:type="dxa"/>
            <w:tcBorders>
              <w:tl2br w:val="nil"/>
              <w:tr2bl w:val="nil"/>
            </w:tcBorders>
            <w:noWrap w:val="0"/>
            <w:vAlign w:val="center"/>
          </w:tcPr>
          <w:p w14:paraId="4102A1A2">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w:t>
            </w:r>
          </w:p>
        </w:tc>
        <w:tc>
          <w:tcPr>
            <w:tcW w:w="403" w:type="dxa"/>
            <w:tcBorders>
              <w:tl2br w:val="nil"/>
              <w:tr2bl w:val="nil"/>
            </w:tcBorders>
            <w:noWrap w:val="0"/>
            <w:vAlign w:val="center"/>
          </w:tcPr>
          <w:p w14:paraId="3725048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w:t>
            </w:r>
          </w:p>
        </w:tc>
        <w:tc>
          <w:tcPr>
            <w:tcW w:w="648" w:type="dxa"/>
            <w:vMerge w:val="continue"/>
            <w:tcBorders>
              <w:tl2br w:val="nil"/>
              <w:tr2bl w:val="nil"/>
            </w:tcBorders>
            <w:noWrap w:val="0"/>
            <w:vAlign w:val="center"/>
          </w:tcPr>
          <w:p w14:paraId="11BA109A">
            <w:pPr>
              <w:spacing w:line="276" w:lineRule="auto"/>
              <w:jc w:val="center"/>
              <w:rPr>
                <w:rFonts w:hint="default" w:ascii="Times New Roman" w:hAnsi="Times New Roman" w:cs="Times New Roman"/>
                <w:color w:val="auto"/>
                <w:sz w:val="18"/>
                <w:szCs w:val="18"/>
              </w:rPr>
            </w:pPr>
          </w:p>
        </w:tc>
      </w:tr>
      <w:tr w14:paraId="57804A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restart"/>
            <w:tcBorders>
              <w:tl2br w:val="nil"/>
              <w:tr2bl w:val="nil"/>
            </w:tcBorders>
            <w:noWrap w:val="0"/>
            <w:vAlign w:val="center"/>
          </w:tcPr>
          <w:p w14:paraId="52F65B34">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739" w:type="dxa"/>
            <w:vMerge w:val="restart"/>
            <w:tcBorders>
              <w:tl2br w:val="nil"/>
              <w:tr2bl w:val="nil"/>
            </w:tcBorders>
            <w:noWrap w:val="0"/>
            <w:vAlign w:val="center"/>
          </w:tcPr>
          <w:p w14:paraId="66250938">
            <w:pPr>
              <w:spacing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注塑机</w:t>
            </w:r>
          </w:p>
        </w:tc>
        <w:tc>
          <w:tcPr>
            <w:tcW w:w="1493" w:type="dxa"/>
            <w:tcBorders>
              <w:tl2br w:val="nil"/>
              <w:tr2bl w:val="nil"/>
            </w:tcBorders>
            <w:noWrap w:val="0"/>
            <w:vAlign w:val="center"/>
          </w:tcPr>
          <w:p w14:paraId="1102D61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MA2000V/750</w:t>
            </w:r>
          </w:p>
        </w:tc>
        <w:tc>
          <w:tcPr>
            <w:tcW w:w="777" w:type="dxa"/>
            <w:tcBorders>
              <w:tl2br w:val="nil"/>
              <w:tr2bl w:val="nil"/>
            </w:tcBorders>
            <w:noWrap w:val="0"/>
            <w:vAlign w:val="center"/>
          </w:tcPr>
          <w:p w14:paraId="32F52FCD">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restart"/>
            <w:tcBorders>
              <w:tl2br w:val="nil"/>
              <w:tr2bl w:val="nil"/>
            </w:tcBorders>
            <w:noWrap w:val="0"/>
            <w:vAlign w:val="center"/>
          </w:tcPr>
          <w:p w14:paraId="5CEF068B">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建筑隔声</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基础减振</w:t>
            </w:r>
          </w:p>
        </w:tc>
        <w:tc>
          <w:tcPr>
            <w:tcW w:w="490" w:type="dxa"/>
            <w:tcBorders>
              <w:tl2br w:val="nil"/>
              <w:tr2bl w:val="nil"/>
            </w:tcBorders>
            <w:noWrap w:val="0"/>
            <w:vAlign w:val="center"/>
          </w:tcPr>
          <w:p w14:paraId="4AB47D0D">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450" w:type="dxa"/>
            <w:tcBorders>
              <w:tl2br w:val="nil"/>
              <w:tr2bl w:val="nil"/>
            </w:tcBorders>
            <w:noWrap w:val="0"/>
            <w:vAlign w:val="center"/>
          </w:tcPr>
          <w:p w14:paraId="028975F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13</w:t>
            </w:r>
          </w:p>
        </w:tc>
        <w:tc>
          <w:tcPr>
            <w:tcW w:w="505" w:type="dxa"/>
            <w:tcBorders>
              <w:tl2br w:val="nil"/>
              <w:tr2bl w:val="nil"/>
            </w:tcBorders>
            <w:noWrap w:val="0"/>
            <w:vAlign w:val="center"/>
          </w:tcPr>
          <w:p w14:paraId="6F2EE6A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47F39029">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ADCBEB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0F45525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149A6BC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w:t>
            </w:r>
          </w:p>
        </w:tc>
        <w:tc>
          <w:tcPr>
            <w:tcW w:w="448" w:type="dxa"/>
            <w:vMerge w:val="restart"/>
            <w:tcBorders>
              <w:tl2br w:val="nil"/>
              <w:tr2bl w:val="nil"/>
            </w:tcBorders>
            <w:noWrap w:val="0"/>
            <w:vAlign w:val="center"/>
          </w:tcPr>
          <w:p w14:paraId="1FF0B45B">
            <w:pPr>
              <w:spacing w:line="276"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47" w:type="dxa"/>
            <w:vMerge w:val="restart"/>
            <w:tcBorders>
              <w:tl2br w:val="nil"/>
              <w:tr2bl w:val="nil"/>
            </w:tcBorders>
            <w:noWrap w:val="0"/>
            <w:vAlign w:val="center"/>
          </w:tcPr>
          <w:p w14:paraId="2B1FA271">
            <w:pPr>
              <w:spacing w:line="276"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1" w:type="dxa"/>
            <w:vMerge w:val="restart"/>
            <w:tcBorders>
              <w:tl2br w:val="nil"/>
              <w:tr2bl w:val="nil"/>
            </w:tcBorders>
            <w:noWrap w:val="0"/>
            <w:vAlign w:val="center"/>
          </w:tcPr>
          <w:p w14:paraId="02E256EE">
            <w:pPr>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48" w:type="dxa"/>
            <w:vMerge w:val="restart"/>
            <w:tcBorders>
              <w:tl2br w:val="nil"/>
              <w:tr2bl w:val="nil"/>
            </w:tcBorders>
            <w:noWrap w:val="0"/>
            <w:vAlign w:val="center"/>
          </w:tcPr>
          <w:p w14:paraId="353B3887">
            <w:pPr>
              <w:spacing w:line="276"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54</w:t>
            </w:r>
          </w:p>
        </w:tc>
        <w:tc>
          <w:tcPr>
            <w:tcW w:w="618" w:type="dxa"/>
            <w:vMerge w:val="restart"/>
            <w:tcBorders>
              <w:tl2br w:val="nil"/>
              <w:tr2bl w:val="nil"/>
            </w:tcBorders>
            <w:noWrap w:val="0"/>
            <w:vAlign w:val="center"/>
          </w:tcPr>
          <w:p w14:paraId="20E691F2">
            <w:pPr>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r>
              <w:rPr>
                <w:rFonts w:hint="eastAsia" w:ascii="Times New Roman" w:hAnsi="Times New Roman" w:cs="Times New Roman"/>
                <w:color w:val="auto"/>
                <w:sz w:val="18"/>
                <w:szCs w:val="18"/>
                <w:lang w:val="en-US" w:eastAsia="zh-CN"/>
              </w:rPr>
              <w:t>、夜间</w:t>
            </w:r>
          </w:p>
        </w:tc>
        <w:tc>
          <w:tcPr>
            <w:tcW w:w="750" w:type="dxa"/>
            <w:vMerge w:val="restart"/>
            <w:tcBorders>
              <w:tl2br w:val="nil"/>
              <w:tr2bl w:val="nil"/>
            </w:tcBorders>
            <w:noWrap w:val="0"/>
            <w:vAlign w:val="center"/>
          </w:tcPr>
          <w:p w14:paraId="5738B2C4">
            <w:pPr>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408" w:type="dxa"/>
            <w:vMerge w:val="restart"/>
            <w:tcBorders>
              <w:tl2br w:val="nil"/>
              <w:tr2bl w:val="nil"/>
            </w:tcBorders>
            <w:noWrap w:val="0"/>
            <w:vAlign w:val="center"/>
          </w:tcPr>
          <w:p w14:paraId="645E96F9">
            <w:pPr>
              <w:spacing w:line="276"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60" w:type="dxa"/>
            <w:vMerge w:val="restart"/>
            <w:tcBorders>
              <w:tl2br w:val="nil"/>
              <w:tr2bl w:val="nil"/>
            </w:tcBorders>
            <w:noWrap w:val="0"/>
            <w:vAlign w:val="center"/>
          </w:tcPr>
          <w:p w14:paraId="74221F1E">
            <w:pPr>
              <w:spacing w:line="276"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1" w:type="dxa"/>
            <w:vMerge w:val="restart"/>
            <w:tcBorders>
              <w:tl2br w:val="nil"/>
              <w:tr2bl w:val="nil"/>
            </w:tcBorders>
            <w:noWrap w:val="0"/>
            <w:vAlign w:val="center"/>
          </w:tcPr>
          <w:p w14:paraId="18AAD6A4">
            <w:pPr>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03" w:type="dxa"/>
            <w:vMerge w:val="restart"/>
            <w:tcBorders>
              <w:tl2br w:val="nil"/>
              <w:tr2bl w:val="nil"/>
            </w:tcBorders>
            <w:noWrap w:val="0"/>
            <w:vAlign w:val="center"/>
          </w:tcPr>
          <w:p w14:paraId="19B2C22B">
            <w:pPr>
              <w:spacing w:line="276"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39</w:t>
            </w:r>
          </w:p>
        </w:tc>
        <w:tc>
          <w:tcPr>
            <w:tcW w:w="648" w:type="dxa"/>
            <w:vMerge w:val="restart"/>
            <w:tcBorders>
              <w:tl2br w:val="nil"/>
              <w:tr2bl w:val="nil"/>
            </w:tcBorders>
            <w:noWrap w:val="0"/>
            <w:vAlign w:val="center"/>
          </w:tcPr>
          <w:p w14:paraId="56582215">
            <w:pPr>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14:paraId="552CEE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107431E4">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67E49ED8">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657BCA5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MA2800V/1350</w:t>
            </w:r>
          </w:p>
        </w:tc>
        <w:tc>
          <w:tcPr>
            <w:tcW w:w="777" w:type="dxa"/>
            <w:tcBorders>
              <w:tl2br w:val="nil"/>
              <w:tr2bl w:val="nil"/>
            </w:tcBorders>
            <w:noWrap w:val="0"/>
            <w:vAlign w:val="center"/>
          </w:tcPr>
          <w:p w14:paraId="09AC3754">
            <w:pPr>
              <w:widowControl/>
              <w:spacing w:line="276"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05AE5F6B">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4ECE4070">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450" w:type="dxa"/>
            <w:tcBorders>
              <w:tl2br w:val="nil"/>
              <w:tr2bl w:val="nil"/>
            </w:tcBorders>
            <w:noWrap w:val="0"/>
            <w:vAlign w:val="center"/>
          </w:tcPr>
          <w:p w14:paraId="2628EC7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505" w:type="dxa"/>
            <w:tcBorders>
              <w:tl2br w:val="nil"/>
              <w:tr2bl w:val="nil"/>
            </w:tcBorders>
            <w:noWrap w:val="0"/>
            <w:vAlign w:val="center"/>
          </w:tcPr>
          <w:p w14:paraId="41B9D18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756896D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229FEF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74FF2DB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3DEABC0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448" w:type="dxa"/>
            <w:vMerge w:val="continue"/>
            <w:tcBorders>
              <w:tl2br w:val="nil"/>
              <w:tr2bl w:val="nil"/>
            </w:tcBorders>
            <w:noWrap w:val="0"/>
            <w:vAlign w:val="center"/>
          </w:tcPr>
          <w:p w14:paraId="1BC03AB8">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1F2474F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3BD20143">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497EB183">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206A8E33">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2F4998D3">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49A0056D">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629D2CB1">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4172325D">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7AE2D711">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34FAD9AE">
            <w:pPr>
              <w:spacing w:line="276" w:lineRule="auto"/>
              <w:jc w:val="center"/>
              <w:rPr>
                <w:rFonts w:hint="default" w:ascii="Times New Roman" w:hAnsi="Times New Roman" w:cs="Times New Roman"/>
                <w:color w:val="auto"/>
                <w:sz w:val="18"/>
                <w:szCs w:val="18"/>
              </w:rPr>
            </w:pPr>
          </w:p>
        </w:tc>
      </w:tr>
      <w:tr w14:paraId="2FDB99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601" w:type="dxa"/>
            <w:vMerge w:val="continue"/>
            <w:tcBorders>
              <w:tl2br w:val="nil"/>
              <w:tr2bl w:val="nil"/>
            </w:tcBorders>
            <w:noWrap w:val="0"/>
            <w:vAlign w:val="center"/>
          </w:tcPr>
          <w:p w14:paraId="54FC5065">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7BD8E8DE">
            <w:pPr>
              <w:pStyle w:val="113"/>
              <w:spacing w:line="240" w:lineRule="auto"/>
              <w:jc w:val="center"/>
              <w:rPr>
                <w:rFonts w:hint="default" w:ascii="Times New Roman" w:hAnsi="Times New Roman" w:eastAsia="宋体" w:cs="Times New Roman"/>
                <w:color w:val="auto"/>
                <w:kern w:val="0"/>
                <w:sz w:val="18"/>
                <w:szCs w:val="18"/>
                <w:lang w:val="en-US" w:eastAsia="zh-CN" w:bidi="ar"/>
              </w:rPr>
            </w:pPr>
          </w:p>
        </w:tc>
        <w:tc>
          <w:tcPr>
            <w:tcW w:w="1493" w:type="dxa"/>
            <w:tcBorders>
              <w:tl2br w:val="nil"/>
              <w:tr2bl w:val="nil"/>
            </w:tcBorders>
            <w:noWrap w:val="0"/>
            <w:vAlign w:val="center"/>
          </w:tcPr>
          <w:p w14:paraId="0EDBAB80">
            <w:pPr>
              <w:spacing w:line="240" w:lineRule="auto"/>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MA3200V/1700</w:t>
            </w:r>
          </w:p>
        </w:tc>
        <w:tc>
          <w:tcPr>
            <w:tcW w:w="777" w:type="dxa"/>
            <w:tcBorders>
              <w:tl2br w:val="nil"/>
              <w:tr2bl w:val="nil"/>
            </w:tcBorders>
            <w:noWrap w:val="0"/>
            <w:vAlign w:val="center"/>
          </w:tcPr>
          <w:p w14:paraId="5F5DB5C9">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22B4AF8A">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2C30EC5A">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450" w:type="dxa"/>
            <w:tcBorders>
              <w:tl2br w:val="nil"/>
              <w:tr2bl w:val="nil"/>
            </w:tcBorders>
            <w:noWrap w:val="0"/>
            <w:vAlign w:val="center"/>
          </w:tcPr>
          <w:p w14:paraId="15386E5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505" w:type="dxa"/>
            <w:tcBorders>
              <w:tl2br w:val="nil"/>
              <w:tr2bl w:val="nil"/>
            </w:tcBorders>
            <w:noWrap w:val="0"/>
            <w:vAlign w:val="center"/>
          </w:tcPr>
          <w:p w14:paraId="144CF42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199B0EE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592E552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5B82AD6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6E2122D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21</w:t>
            </w:r>
          </w:p>
        </w:tc>
        <w:tc>
          <w:tcPr>
            <w:tcW w:w="448" w:type="dxa"/>
            <w:vMerge w:val="continue"/>
            <w:tcBorders>
              <w:tl2br w:val="nil"/>
              <w:tr2bl w:val="nil"/>
            </w:tcBorders>
            <w:noWrap w:val="0"/>
            <w:vAlign w:val="center"/>
          </w:tcPr>
          <w:p w14:paraId="26D1C5D4">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3F71F688">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1179B5E">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51FDB9C8">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1BD2349B">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5603DB6C">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51704E23">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66BD929B">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4FF0DF6A">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36A3418B">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345E3D28">
            <w:pPr>
              <w:spacing w:line="276" w:lineRule="auto"/>
              <w:jc w:val="center"/>
              <w:rPr>
                <w:rFonts w:hint="default" w:ascii="Times New Roman" w:hAnsi="Times New Roman" w:cs="Times New Roman"/>
                <w:color w:val="auto"/>
                <w:sz w:val="18"/>
                <w:szCs w:val="18"/>
              </w:rPr>
            </w:pPr>
          </w:p>
        </w:tc>
      </w:tr>
      <w:tr w14:paraId="110925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170A2E4E">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1B1C0406">
            <w:pPr>
              <w:spacing w:line="320" w:lineRule="exact"/>
              <w:jc w:val="center"/>
              <w:rPr>
                <w:rFonts w:hint="default" w:ascii="Times New Roman" w:hAnsi="Times New Roman" w:eastAsia="宋体" w:cs="Times New Roman"/>
                <w:color w:val="auto"/>
                <w:sz w:val="18"/>
                <w:szCs w:val="18"/>
                <w:lang w:val="en-US" w:eastAsia="zh-CN"/>
              </w:rPr>
            </w:pPr>
          </w:p>
        </w:tc>
        <w:tc>
          <w:tcPr>
            <w:tcW w:w="1493" w:type="dxa"/>
            <w:tcBorders>
              <w:tl2br w:val="nil"/>
              <w:tr2bl w:val="nil"/>
            </w:tcBorders>
            <w:noWrap w:val="0"/>
            <w:vAlign w:val="center"/>
          </w:tcPr>
          <w:p w14:paraId="3EE13A5D">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MA3200V/1700</w:t>
            </w:r>
          </w:p>
        </w:tc>
        <w:tc>
          <w:tcPr>
            <w:tcW w:w="777" w:type="dxa"/>
            <w:tcBorders>
              <w:tl2br w:val="nil"/>
              <w:tr2bl w:val="nil"/>
            </w:tcBorders>
            <w:noWrap w:val="0"/>
            <w:vAlign w:val="center"/>
          </w:tcPr>
          <w:p w14:paraId="07BA77EF">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47E30F27">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5FC77805">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450" w:type="dxa"/>
            <w:tcBorders>
              <w:tl2br w:val="nil"/>
              <w:tr2bl w:val="nil"/>
            </w:tcBorders>
            <w:noWrap w:val="0"/>
            <w:vAlign w:val="center"/>
          </w:tcPr>
          <w:p w14:paraId="49489AB6">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505" w:type="dxa"/>
            <w:tcBorders>
              <w:tl2br w:val="nil"/>
              <w:tr2bl w:val="nil"/>
            </w:tcBorders>
            <w:noWrap w:val="0"/>
            <w:vAlign w:val="center"/>
          </w:tcPr>
          <w:p w14:paraId="139A5A1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4ECB793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613E77C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3F92EA0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2798790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w:t>
            </w:r>
          </w:p>
        </w:tc>
        <w:tc>
          <w:tcPr>
            <w:tcW w:w="448" w:type="dxa"/>
            <w:vMerge w:val="continue"/>
            <w:tcBorders>
              <w:tl2br w:val="nil"/>
              <w:tr2bl w:val="nil"/>
            </w:tcBorders>
            <w:noWrap w:val="0"/>
            <w:vAlign w:val="center"/>
          </w:tcPr>
          <w:p w14:paraId="76114A84">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4268413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17658F9">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40BBD2B9">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4C416D2A">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60EFF8DB">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71FBD816">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62A49D81">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A94B2BB">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3C3B9597">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4479F891">
            <w:pPr>
              <w:spacing w:line="276" w:lineRule="auto"/>
              <w:jc w:val="center"/>
              <w:rPr>
                <w:rFonts w:hint="default" w:ascii="Times New Roman" w:hAnsi="Times New Roman" w:cs="Times New Roman"/>
                <w:color w:val="auto"/>
                <w:sz w:val="18"/>
                <w:szCs w:val="18"/>
              </w:rPr>
            </w:pPr>
          </w:p>
        </w:tc>
      </w:tr>
      <w:tr w14:paraId="7FCC6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0242C0BF">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01225339">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272C77B0">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MA3800V/2250</w:t>
            </w:r>
          </w:p>
        </w:tc>
        <w:tc>
          <w:tcPr>
            <w:tcW w:w="777" w:type="dxa"/>
            <w:tcBorders>
              <w:tl2br w:val="nil"/>
              <w:tr2bl w:val="nil"/>
            </w:tcBorders>
            <w:noWrap w:val="0"/>
            <w:vAlign w:val="center"/>
          </w:tcPr>
          <w:p w14:paraId="3B2A4972">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49415867">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225A73E1">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450" w:type="dxa"/>
            <w:tcBorders>
              <w:tl2br w:val="nil"/>
              <w:tr2bl w:val="nil"/>
            </w:tcBorders>
            <w:noWrap w:val="0"/>
            <w:vAlign w:val="center"/>
          </w:tcPr>
          <w:p w14:paraId="3F75B01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505" w:type="dxa"/>
            <w:tcBorders>
              <w:tl2br w:val="nil"/>
              <w:tr2bl w:val="nil"/>
            </w:tcBorders>
            <w:noWrap w:val="0"/>
            <w:vAlign w:val="center"/>
          </w:tcPr>
          <w:p w14:paraId="6F05051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5BD41B1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A7B1D0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5A440A2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76CAFDA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w:t>
            </w:r>
          </w:p>
        </w:tc>
        <w:tc>
          <w:tcPr>
            <w:tcW w:w="448" w:type="dxa"/>
            <w:vMerge w:val="continue"/>
            <w:tcBorders>
              <w:tl2br w:val="nil"/>
              <w:tr2bl w:val="nil"/>
            </w:tcBorders>
            <w:noWrap w:val="0"/>
            <w:vAlign w:val="center"/>
          </w:tcPr>
          <w:p w14:paraId="6C8DB2DD">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6EAEDB71">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F90FAEE">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79D074A4">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36E12DE5">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1C840F56">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604DF69C">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40048004">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E0A51EC">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5C0EFD8C">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140F88CA">
            <w:pPr>
              <w:spacing w:line="276" w:lineRule="auto"/>
              <w:jc w:val="center"/>
              <w:rPr>
                <w:rFonts w:hint="default" w:ascii="Times New Roman" w:hAnsi="Times New Roman" w:cs="Times New Roman"/>
                <w:color w:val="auto"/>
                <w:sz w:val="18"/>
                <w:szCs w:val="18"/>
              </w:rPr>
            </w:pPr>
          </w:p>
        </w:tc>
      </w:tr>
      <w:tr w14:paraId="2401C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1BB608A5">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72C02D83">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63443346">
            <w:pPr>
              <w:spacing w:line="32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MA4700V/3200</w:t>
            </w:r>
          </w:p>
        </w:tc>
        <w:tc>
          <w:tcPr>
            <w:tcW w:w="777" w:type="dxa"/>
            <w:tcBorders>
              <w:tl2br w:val="nil"/>
              <w:tr2bl w:val="nil"/>
            </w:tcBorders>
            <w:noWrap w:val="0"/>
            <w:vAlign w:val="center"/>
          </w:tcPr>
          <w:p w14:paraId="71B6BFFE">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71434CA9">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44EE5F02">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450" w:type="dxa"/>
            <w:tcBorders>
              <w:tl2br w:val="nil"/>
              <w:tr2bl w:val="nil"/>
            </w:tcBorders>
            <w:noWrap w:val="0"/>
            <w:vAlign w:val="center"/>
          </w:tcPr>
          <w:p w14:paraId="75115506">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505" w:type="dxa"/>
            <w:tcBorders>
              <w:tl2br w:val="nil"/>
              <w:tr2bl w:val="nil"/>
            </w:tcBorders>
            <w:noWrap w:val="0"/>
            <w:vAlign w:val="center"/>
          </w:tcPr>
          <w:p w14:paraId="2E0132D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7C52344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1B7080B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04372D0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184DFED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w:t>
            </w:r>
          </w:p>
        </w:tc>
        <w:tc>
          <w:tcPr>
            <w:tcW w:w="448" w:type="dxa"/>
            <w:vMerge w:val="continue"/>
            <w:tcBorders>
              <w:tl2br w:val="nil"/>
              <w:tr2bl w:val="nil"/>
            </w:tcBorders>
            <w:noWrap w:val="0"/>
            <w:vAlign w:val="center"/>
          </w:tcPr>
          <w:p w14:paraId="0360DF0A">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328755E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96E6A5A">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4688336A">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52F0CCA4">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47F8F2AF">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1E09CEFB">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4FB3E0FC">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52B1C67E">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29F2E92A">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4BFEDADB">
            <w:pPr>
              <w:spacing w:line="276" w:lineRule="auto"/>
              <w:jc w:val="center"/>
              <w:rPr>
                <w:rFonts w:hint="default" w:ascii="Times New Roman" w:hAnsi="Times New Roman" w:cs="Times New Roman"/>
                <w:color w:val="auto"/>
                <w:sz w:val="18"/>
                <w:szCs w:val="18"/>
              </w:rPr>
            </w:pPr>
          </w:p>
        </w:tc>
      </w:tr>
      <w:tr w14:paraId="1A14F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6D4E76EF">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25D5696C">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2167D99B">
            <w:pPr>
              <w:spacing w:line="32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MA4700V/3200</w:t>
            </w:r>
          </w:p>
        </w:tc>
        <w:tc>
          <w:tcPr>
            <w:tcW w:w="777" w:type="dxa"/>
            <w:tcBorders>
              <w:tl2br w:val="nil"/>
              <w:tr2bl w:val="nil"/>
            </w:tcBorders>
            <w:noWrap w:val="0"/>
            <w:vAlign w:val="center"/>
          </w:tcPr>
          <w:p w14:paraId="17EDBCB4">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7B3A7DF7">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364DA243">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450" w:type="dxa"/>
            <w:tcBorders>
              <w:tl2br w:val="nil"/>
              <w:tr2bl w:val="nil"/>
            </w:tcBorders>
            <w:noWrap w:val="0"/>
            <w:vAlign w:val="center"/>
          </w:tcPr>
          <w:p w14:paraId="15CC30D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505" w:type="dxa"/>
            <w:tcBorders>
              <w:tl2br w:val="nil"/>
              <w:tr2bl w:val="nil"/>
            </w:tcBorders>
            <w:noWrap w:val="0"/>
            <w:vAlign w:val="center"/>
          </w:tcPr>
          <w:p w14:paraId="7A6C3B9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67919E5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958520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2E38BEC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03B2ED5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w:t>
            </w:r>
          </w:p>
        </w:tc>
        <w:tc>
          <w:tcPr>
            <w:tcW w:w="448" w:type="dxa"/>
            <w:vMerge w:val="continue"/>
            <w:tcBorders>
              <w:tl2br w:val="nil"/>
              <w:tr2bl w:val="nil"/>
            </w:tcBorders>
            <w:noWrap w:val="0"/>
            <w:vAlign w:val="center"/>
          </w:tcPr>
          <w:p w14:paraId="3F07210B">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3EC6A609">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3B1FB370">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5D45B000">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3DE0BCED">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7F2EB312">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7E5D3A47">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21F000F4">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5990A76">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1D6C60B9">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5840BB26">
            <w:pPr>
              <w:spacing w:line="276" w:lineRule="auto"/>
              <w:jc w:val="center"/>
              <w:rPr>
                <w:rFonts w:hint="default" w:ascii="Times New Roman" w:hAnsi="Times New Roman" w:cs="Times New Roman"/>
                <w:color w:val="auto"/>
                <w:sz w:val="18"/>
                <w:szCs w:val="18"/>
              </w:rPr>
            </w:pPr>
          </w:p>
        </w:tc>
      </w:tr>
      <w:tr w14:paraId="50EA8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54B817C7">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1D1796BF">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5CA9D444">
            <w:pPr>
              <w:spacing w:line="32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MA5300V/4500</w:t>
            </w:r>
          </w:p>
        </w:tc>
        <w:tc>
          <w:tcPr>
            <w:tcW w:w="777" w:type="dxa"/>
            <w:tcBorders>
              <w:tl2br w:val="nil"/>
              <w:tr2bl w:val="nil"/>
            </w:tcBorders>
            <w:noWrap w:val="0"/>
            <w:vAlign w:val="center"/>
          </w:tcPr>
          <w:p w14:paraId="6524A6F6">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42E03A2E">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40180353">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50" w:type="dxa"/>
            <w:tcBorders>
              <w:tl2br w:val="nil"/>
              <w:tr2bl w:val="nil"/>
            </w:tcBorders>
            <w:noWrap w:val="0"/>
            <w:vAlign w:val="center"/>
          </w:tcPr>
          <w:p w14:paraId="3843CE8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505" w:type="dxa"/>
            <w:tcBorders>
              <w:tl2br w:val="nil"/>
              <w:tr2bl w:val="nil"/>
            </w:tcBorders>
            <w:noWrap w:val="0"/>
            <w:vAlign w:val="center"/>
          </w:tcPr>
          <w:p w14:paraId="3CE20B7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05B1C91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4DCED9C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4638551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3B05FBA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26</w:t>
            </w:r>
          </w:p>
        </w:tc>
        <w:tc>
          <w:tcPr>
            <w:tcW w:w="448" w:type="dxa"/>
            <w:vMerge w:val="continue"/>
            <w:tcBorders>
              <w:tl2br w:val="nil"/>
              <w:tr2bl w:val="nil"/>
            </w:tcBorders>
            <w:noWrap w:val="0"/>
            <w:vAlign w:val="center"/>
          </w:tcPr>
          <w:p w14:paraId="7EB5F375">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0C9A13A3">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22E1E89">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14C54C79">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0ED88F87">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2CCA92C1">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41CEEBBD">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550B93C0">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868654E">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38F20BD4">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2B77D075">
            <w:pPr>
              <w:spacing w:line="276" w:lineRule="auto"/>
              <w:jc w:val="center"/>
              <w:rPr>
                <w:rFonts w:hint="default" w:ascii="Times New Roman" w:hAnsi="Times New Roman" w:cs="Times New Roman"/>
                <w:color w:val="auto"/>
                <w:sz w:val="18"/>
                <w:szCs w:val="18"/>
              </w:rPr>
            </w:pPr>
          </w:p>
        </w:tc>
      </w:tr>
      <w:tr w14:paraId="4E38F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230BAC5C">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4BB3C241">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6389B48C">
            <w:pPr>
              <w:spacing w:line="32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MA6000V/4500</w:t>
            </w:r>
          </w:p>
        </w:tc>
        <w:tc>
          <w:tcPr>
            <w:tcW w:w="777" w:type="dxa"/>
            <w:tcBorders>
              <w:tl2br w:val="nil"/>
              <w:tr2bl w:val="nil"/>
            </w:tcBorders>
            <w:noWrap w:val="0"/>
            <w:vAlign w:val="center"/>
          </w:tcPr>
          <w:p w14:paraId="4802CB48">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2C84BDC8">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0BE9FAC6">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w:t>
            </w:r>
          </w:p>
        </w:tc>
        <w:tc>
          <w:tcPr>
            <w:tcW w:w="450" w:type="dxa"/>
            <w:tcBorders>
              <w:tl2br w:val="nil"/>
              <w:tr2bl w:val="nil"/>
            </w:tcBorders>
            <w:noWrap w:val="0"/>
            <w:vAlign w:val="center"/>
          </w:tcPr>
          <w:p w14:paraId="087024C4">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505" w:type="dxa"/>
            <w:tcBorders>
              <w:tl2br w:val="nil"/>
              <w:tr2bl w:val="nil"/>
            </w:tcBorders>
            <w:noWrap w:val="0"/>
            <w:vAlign w:val="center"/>
          </w:tcPr>
          <w:p w14:paraId="1049A85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2EE212B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4E7FBFA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3BF52D7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289D00F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27</w:t>
            </w:r>
          </w:p>
        </w:tc>
        <w:tc>
          <w:tcPr>
            <w:tcW w:w="448" w:type="dxa"/>
            <w:vMerge w:val="continue"/>
            <w:tcBorders>
              <w:tl2br w:val="nil"/>
              <w:tr2bl w:val="nil"/>
            </w:tcBorders>
            <w:noWrap w:val="0"/>
            <w:vAlign w:val="center"/>
          </w:tcPr>
          <w:p w14:paraId="14EB1A16">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0D00B897">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E9B8047">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6C5702CF">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2DB4FBDF">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5E507B06">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1AF0BF4D">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32C2B22E">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B3FC0DA">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0067125E">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0FFB03B1">
            <w:pPr>
              <w:spacing w:line="276" w:lineRule="auto"/>
              <w:jc w:val="center"/>
              <w:rPr>
                <w:rFonts w:hint="default" w:ascii="Times New Roman" w:hAnsi="Times New Roman" w:cs="Times New Roman"/>
                <w:color w:val="auto"/>
                <w:sz w:val="18"/>
                <w:szCs w:val="18"/>
              </w:rPr>
            </w:pPr>
          </w:p>
        </w:tc>
      </w:tr>
      <w:tr w14:paraId="196D9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365A2E50">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1E096FEC">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4E980D15">
            <w:pPr>
              <w:spacing w:line="32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MA6000V/4500</w:t>
            </w:r>
          </w:p>
        </w:tc>
        <w:tc>
          <w:tcPr>
            <w:tcW w:w="777" w:type="dxa"/>
            <w:tcBorders>
              <w:tl2br w:val="nil"/>
              <w:tr2bl w:val="nil"/>
            </w:tcBorders>
            <w:noWrap w:val="0"/>
            <w:vAlign w:val="center"/>
          </w:tcPr>
          <w:p w14:paraId="5F3F5BD3">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4DD7140F">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16B8F51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50" w:type="dxa"/>
            <w:tcBorders>
              <w:tl2br w:val="nil"/>
              <w:tr2bl w:val="nil"/>
            </w:tcBorders>
            <w:noWrap w:val="0"/>
            <w:vAlign w:val="center"/>
          </w:tcPr>
          <w:p w14:paraId="7D8156D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505" w:type="dxa"/>
            <w:tcBorders>
              <w:tl2br w:val="nil"/>
              <w:tr2bl w:val="nil"/>
            </w:tcBorders>
            <w:noWrap w:val="0"/>
            <w:vAlign w:val="center"/>
          </w:tcPr>
          <w:p w14:paraId="30561A6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57D90702">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4812F55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55FF50E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5C0A6CF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28</w:t>
            </w:r>
          </w:p>
        </w:tc>
        <w:tc>
          <w:tcPr>
            <w:tcW w:w="448" w:type="dxa"/>
            <w:vMerge w:val="continue"/>
            <w:tcBorders>
              <w:tl2br w:val="nil"/>
              <w:tr2bl w:val="nil"/>
            </w:tcBorders>
            <w:noWrap w:val="0"/>
            <w:vAlign w:val="center"/>
          </w:tcPr>
          <w:p w14:paraId="71CBE2A0">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61881F25">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0E922C19">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6941C5DD">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515A79E9">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27FFF68F">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33389C4A">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219345CD">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4AFD71DE">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45169822">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7186A11A">
            <w:pPr>
              <w:spacing w:line="276" w:lineRule="auto"/>
              <w:jc w:val="center"/>
              <w:rPr>
                <w:rFonts w:hint="default" w:ascii="Times New Roman" w:hAnsi="Times New Roman" w:cs="Times New Roman"/>
                <w:color w:val="auto"/>
                <w:sz w:val="18"/>
                <w:szCs w:val="18"/>
              </w:rPr>
            </w:pPr>
          </w:p>
        </w:tc>
      </w:tr>
      <w:tr w14:paraId="0AD3E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77D6DE32">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2E5BA93D">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68758398">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MA6000V/4500</w:t>
            </w:r>
          </w:p>
        </w:tc>
        <w:tc>
          <w:tcPr>
            <w:tcW w:w="777" w:type="dxa"/>
            <w:tcBorders>
              <w:tl2br w:val="nil"/>
              <w:tr2bl w:val="nil"/>
            </w:tcBorders>
            <w:noWrap w:val="0"/>
            <w:vAlign w:val="center"/>
          </w:tcPr>
          <w:p w14:paraId="545533CF">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75B1C2D2">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4553A1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w:t>
            </w:r>
          </w:p>
        </w:tc>
        <w:tc>
          <w:tcPr>
            <w:tcW w:w="450" w:type="dxa"/>
            <w:tcBorders>
              <w:tl2br w:val="nil"/>
              <w:tr2bl w:val="nil"/>
            </w:tcBorders>
            <w:noWrap w:val="0"/>
            <w:vAlign w:val="center"/>
          </w:tcPr>
          <w:p w14:paraId="64F86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w:t>
            </w:r>
          </w:p>
        </w:tc>
        <w:tc>
          <w:tcPr>
            <w:tcW w:w="505" w:type="dxa"/>
            <w:tcBorders>
              <w:tl2br w:val="nil"/>
              <w:tr2bl w:val="nil"/>
            </w:tcBorders>
            <w:noWrap w:val="0"/>
            <w:vAlign w:val="center"/>
          </w:tcPr>
          <w:p w14:paraId="43A978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57495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66BB99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19A495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1CEA3B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29</w:t>
            </w:r>
          </w:p>
        </w:tc>
        <w:tc>
          <w:tcPr>
            <w:tcW w:w="448" w:type="dxa"/>
            <w:vMerge w:val="continue"/>
            <w:tcBorders>
              <w:tl2br w:val="nil"/>
              <w:tr2bl w:val="nil"/>
            </w:tcBorders>
            <w:noWrap w:val="0"/>
            <w:vAlign w:val="center"/>
          </w:tcPr>
          <w:p w14:paraId="34D1B884">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1C5BEB6E">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479C448">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1E0EC121">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5A5343FF">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1BDF93E1">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228A4317">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5E4D7D63">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25991EB">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7FF22B01">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1DCBD8A1">
            <w:pPr>
              <w:spacing w:line="276" w:lineRule="auto"/>
              <w:jc w:val="center"/>
              <w:rPr>
                <w:rFonts w:hint="default" w:ascii="Times New Roman" w:hAnsi="Times New Roman" w:cs="Times New Roman"/>
                <w:color w:val="auto"/>
                <w:sz w:val="18"/>
                <w:szCs w:val="18"/>
              </w:rPr>
            </w:pPr>
          </w:p>
        </w:tc>
      </w:tr>
      <w:tr w14:paraId="5E7EF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3BD61EDE">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369D0843">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1C75924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MA6500V/4800</w:t>
            </w:r>
          </w:p>
        </w:tc>
        <w:tc>
          <w:tcPr>
            <w:tcW w:w="777" w:type="dxa"/>
            <w:tcBorders>
              <w:tl2br w:val="nil"/>
              <w:tr2bl w:val="nil"/>
            </w:tcBorders>
            <w:noWrap w:val="0"/>
            <w:vAlign w:val="center"/>
          </w:tcPr>
          <w:p w14:paraId="320A7CE0">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52915A4D">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622AA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w:t>
            </w:r>
          </w:p>
        </w:tc>
        <w:tc>
          <w:tcPr>
            <w:tcW w:w="450" w:type="dxa"/>
            <w:tcBorders>
              <w:tl2br w:val="nil"/>
              <w:tr2bl w:val="nil"/>
            </w:tcBorders>
            <w:noWrap w:val="0"/>
            <w:vAlign w:val="center"/>
          </w:tcPr>
          <w:p w14:paraId="255B5C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-5</w:t>
            </w:r>
          </w:p>
        </w:tc>
        <w:tc>
          <w:tcPr>
            <w:tcW w:w="505" w:type="dxa"/>
            <w:tcBorders>
              <w:tl2br w:val="nil"/>
              <w:tr2bl w:val="nil"/>
            </w:tcBorders>
            <w:noWrap w:val="0"/>
            <w:vAlign w:val="center"/>
          </w:tcPr>
          <w:p w14:paraId="088B0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2B385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67BB4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608E6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433FA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30</w:t>
            </w:r>
          </w:p>
        </w:tc>
        <w:tc>
          <w:tcPr>
            <w:tcW w:w="448" w:type="dxa"/>
            <w:vMerge w:val="continue"/>
            <w:tcBorders>
              <w:tl2br w:val="nil"/>
              <w:tr2bl w:val="nil"/>
            </w:tcBorders>
            <w:noWrap w:val="0"/>
            <w:vAlign w:val="center"/>
          </w:tcPr>
          <w:p w14:paraId="618279D0">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202B5FF9">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CEEE42A">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16BC1B82">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79476185">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414CCCEF">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0F56C430">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6EDA697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E224BC9">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287B4E9E">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69CD1A46">
            <w:pPr>
              <w:spacing w:line="276" w:lineRule="auto"/>
              <w:jc w:val="center"/>
              <w:rPr>
                <w:rFonts w:hint="default" w:ascii="Times New Roman" w:hAnsi="Times New Roman" w:cs="Times New Roman"/>
                <w:color w:val="auto"/>
                <w:sz w:val="18"/>
                <w:szCs w:val="18"/>
              </w:rPr>
            </w:pPr>
          </w:p>
        </w:tc>
      </w:tr>
      <w:tr w14:paraId="0726F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4E1E0CB0">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0F0CD812">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324190C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MA7000V/5000</w:t>
            </w:r>
          </w:p>
        </w:tc>
        <w:tc>
          <w:tcPr>
            <w:tcW w:w="777" w:type="dxa"/>
            <w:tcBorders>
              <w:tl2br w:val="nil"/>
              <w:tr2bl w:val="nil"/>
            </w:tcBorders>
            <w:noWrap w:val="0"/>
            <w:vAlign w:val="center"/>
          </w:tcPr>
          <w:p w14:paraId="127B1200">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1412531B">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0F2CA6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w:t>
            </w:r>
          </w:p>
        </w:tc>
        <w:tc>
          <w:tcPr>
            <w:tcW w:w="450" w:type="dxa"/>
            <w:tcBorders>
              <w:tl2br w:val="nil"/>
              <w:tr2bl w:val="nil"/>
            </w:tcBorders>
            <w:noWrap w:val="0"/>
            <w:vAlign w:val="center"/>
          </w:tcPr>
          <w:p w14:paraId="032CBD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-6</w:t>
            </w:r>
          </w:p>
        </w:tc>
        <w:tc>
          <w:tcPr>
            <w:tcW w:w="505" w:type="dxa"/>
            <w:tcBorders>
              <w:tl2br w:val="nil"/>
              <w:tr2bl w:val="nil"/>
            </w:tcBorders>
            <w:noWrap w:val="0"/>
            <w:vAlign w:val="center"/>
          </w:tcPr>
          <w:p w14:paraId="0D7808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2A4EF4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50ACFB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261D40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55B936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31</w:t>
            </w:r>
          </w:p>
        </w:tc>
        <w:tc>
          <w:tcPr>
            <w:tcW w:w="448" w:type="dxa"/>
            <w:vMerge w:val="continue"/>
            <w:tcBorders>
              <w:tl2br w:val="nil"/>
              <w:tr2bl w:val="nil"/>
            </w:tcBorders>
            <w:noWrap w:val="0"/>
            <w:vAlign w:val="center"/>
          </w:tcPr>
          <w:p w14:paraId="35A5B72D">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6D83FCF8">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C2CD13A">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59F61BD6">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5881920D">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17EAA71C">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4E16C3A5">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6B453A1A">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06042D4C">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00DC0047">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6F26C176">
            <w:pPr>
              <w:spacing w:line="276" w:lineRule="auto"/>
              <w:jc w:val="center"/>
              <w:rPr>
                <w:rFonts w:hint="default" w:ascii="Times New Roman" w:hAnsi="Times New Roman" w:cs="Times New Roman"/>
                <w:color w:val="auto"/>
                <w:sz w:val="18"/>
                <w:szCs w:val="18"/>
              </w:rPr>
            </w:pPr>
          </w:p>
        </w:tc>
      </w:tr>
      <w:tr w14:paraId="143B6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30B9155C">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6D7DA713">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2E4EF6D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MA8000V/6800</w:t>
            </w:r>
          </w:p>
        </w:tc>
        <w:tc>
          <w:tcPr>
            <w:tcW w:w="777" w:type="dxa"/>
            <w:tcBorders>
              <w:tl2br w:val="nil"/>
              <w:tr2bl w:val="nil"/>
            </w:tcBorders>
            <w:noWrap w:val="0"/>
            <w:vAlign w:val="center"/>
          </w:tcPr>
          <w:p w14:paraId="271CB469">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6BA88C2C">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68DFF8C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50" w:type="dxa"/>
            <w:tcBorders>
              <w:tl2br w:val="nil"/>
              <w:tr2bl w:val="nil"/>
            </w:tcBorders>
            <w:noWrap w:val="0"/>
            <w:vAlign w:val="center"/>
          </w:tcPr>
          <w:p w14:paraId="2B90F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-7</w:t>
            </w:r>
          </w:p>
        </w:tc>
        <w:tc>
          <w:tcPr>
            <w:tcW w:w="505" w:type="dxa"/>
            <w:tcBorders>
              <w:tl2br w:val="nil"/>
              <w:tr2bl w:val="nil"/>
            </w:tcBorders>
            <w:noWrap w:val="0"/>
            <w:vAlign w:val="center"/>
          </w:tcPr>
          <w:p w14:paraId="19777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025983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428B1A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377D59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2131354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26</w:t>
            </w:r>
          </w:p>
        </w:tc>
        <w:tc>
          <w:tcPr>
            <w:tcW w:w="448" w:type="dxa"/>
            <w:vMerge w:val="continue"/>
            <w:tcBorders>
              <w:tl2br w:val="nil"/>
              <w:tr2bl w:val="nil"/>
            </w:tcBorders>
            <w:noWrap w:val="0"/>
            <w:vAlign w:val="center"/>
          </w:tcPr>
          <w:p w14:paraId="46331E40">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30ADBCD5">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9044571">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5DC6B997">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39C474F0">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5CE9A522">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3D6DE2FB">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2752CC7A">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74D5451">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6C2BD132">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4E640B23">
            <w:pPr>
              <w:spacing w:line="276" w:lineRule="auto"/>
              <w:jc w:val="center"/>
              <w:rPr>
                <w:rFonts w:hint="default" w:ascii="Times New Roman" w:hAnsi="Times New Roman" w:cs="Times New Roman"/>
                <w:color w:val="auto"/>
                <w:sz w:val="18"/>
                <w:szCs w:val="18"/>
              </w:rPr>
            </w:pPr>
          </w:p>
        </w:tc>
      </w:tr>
      <w:tr w14:paraId="44E9C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3C81BD02">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4B512189">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10005FC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MA9000V/6800</w:t>
            </w:r>
          </w:p>
        </w:tc>
        <w:tc>
          <w:tcPr>
            <w:tcW w:w="777" w:type="dxa"/>
            <w:tcBorders>
              <w:tl2br w:val="nil"/>
              <w:tr2bl w:val="nil"/>
            </w:tcBorders>
            <w:noWrap w:val="0"/>
            <w:vAlign w:val="center"/>
          </w:tcPr>
          <w:p w14:paraId="6CE2EF35">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75285E36">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610B6B9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w:t>
            </w:r>
          </w:p>
        </w:tc>
        <w:tc>
          <w:tcPr>
            <w:tcW w:w="450" w:type="dxa"/>
            <w:tcBorders>
              <w:tl2br w:val="nil"/>
              <w:tr2bl w:val="nil"/>
            </w:tcBorders>
            <w:noWrap w:val="0"/>
            <w:vAlign w:val="center"/>
          </w:tcPr>
          <w:p w14:paraId="00D32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-8</w:t>
            </w:r>
          </w:p>
        </w:tc>
        <w:tc>
          <w:tcPr>
            <w:tcW w:w="505" w:type="dxa"/>
            <w:tcBorders>
              <w:tl2br w:val="nil"/>
              <w:tr2bl w:val="nil"/>
            </w:tcBorders>
            <w:noWrap w:val="0"/>
            <w:vAlign w:val="center"/>
          </w:tcPr>
          <w:p w14:paraId="28888A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56248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682174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55526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3AEE4C9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27</w:t>
            </w:r>
          </w:p>
        </w:tc>
        <w:tc>
          <w:tcPr>
            <w:tcW w:w="448" w:type="dxa"/>
            <w:vMerge w:val="continue"/>
            <w:tcBorders>
              <w:tl2br w:val="nil"/>
              <w:tr2bl w:val="nil"/>
            </w:tcBorders>
            <w:noWrap w:val="0"/>
            <w:vAlign w:val="center"/>
          </w:tcPr>
          <w:p w14:paraId="544C4855">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55D69AA0">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1E2DD18">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20204CE2">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042612E8">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5AC51B5E">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1BE7B20B">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37ED760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3680F013">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103AE060">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67D7AD42">
            <w:pPr>
              <w:spacing w:line="276" w:lineRule="auto"/>
              <w:jc w:val="center"/>
              <w:rPr>
                <w:rFonts w:hint="default" w:ascii="Times New Roman" w:hAnsi="Times New Roman" w:cs="Times New Roman"/>
                <w:color w:val="auto"/>
                <w:sz w:val="18"/>
                <w:szCs w:val="18"/>
              </w:rPr>
            </w:pPr>
          </w:p>
        </w:tc>
      </w:tr>
      <w:tr w14:paraId="53D452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453CB106">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34515787">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5338F78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MA10000V/8400</w:t>
            </w:r>
          </w:p>
        </w:tc>
        <w:tc>
          <w:tcPr>
            <w:tcW w:w="777" w:type="dxa"/>
            <w:tcBorders>
              <w:tl2br w:val="nil"/>
              <w:tr2bl w:val="nil"/>
            </w:tcBorders>
            <w:noWrap w:val="0"/>
            <w:vAlign w:val="center"/>
          </w:tcPr>
          <w:p w14:paraId="1705D95D">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1D949E22">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7925C36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50" w:type="dxa"/>
            <w:tcBorders>
              <w:tl2br w:val="nil"/>
              <w:tr2bl w:val="nil"/>
            </w:tcBorders>
            <w:noWrap w:val="0"/>
            <w:vAlign w:val="center"/>
          </w:tcPr>
          <w:p w14:paraId="6B5627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-9</w:t>
            </w:r>
          </w:p>
        </w:tc>
        <w:tc>
          <w:tcPr>
            <w:tcW w:w="505" w:type="dxa"/>
            <w:tcBorders>
              <w:tl2br w:val="nil"/>
              <w:tr2bl w:val="nil"/>
            </w:tcBorders>
            <w:noWrap w:val="0"/>
            <w:vAlign w:val="center"/>
          </w:tcPr>
          <w:p w14:paraId="11041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0544B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B4820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1601DB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63DFC819">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28</w:t>
            </w:r>
          </w:p>
        </w:tc>
        <w:tc>
          <w:tcPr>
            <w:tcW w:w="448" w:type="dxa"/>
            <w:vMerge w:val="continue"/>
            <w:tcBorders>
              <w:tl2br w:val="nil"/>
              <w:tr2bl w:val="nil"/>
            </w:tcBorders>
            <w:noWrap w:val="0"/>
            <w:vAlign w:val="center"/>
          </w:tcPr>
          <w:p w14:paraId="41992C87">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5BF9BA0C">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523E0851">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354F8B15">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2CE08A76">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32B32324">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70F62FC1">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1331E2A3">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9E75F2B">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1951F697">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5DF53A57">
            <w:pPr>
              <w:spacing w:line="276" w:lineRule="auto"/>
              <w:jc w:val="center"/>
              <w:rPr>
                <w:rFonts w:hint="default" w:ascii="Times New Roman" w:hAnsi="Times New Roman" w:cs="Times New Roman"/>
                <w:color w:val="auto"/>
                <w:sz w:val="18"/>
                <w:szCs w:val="18"/>
              </w:rPr>
            </w:pPr>
          </w:p>
        </w:tc>
      </w:tr>
      <w:tr w14:paraId="3AEB0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566E3802">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20D87636">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7B159E09">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MA10000V/8400</w:t>
            </w:r>
          </w:p>
        </w:tc>
        <w:tc>
          <w:tcPr>
            <w:tcW w:w="777" w:type="dxa"/>
            <w:tcBorders>
              <w:tl2br w:val="nil"/>
              <w:tr2bl w:val="nil"/>
            </w:tcBorders>
            <w:noWrap w:val="0"/>
            <w:vAlign w:val="center"/>
          </w:tcPr>
          <w:p w14:paraId="7B91A567">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6A2996D9">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5AF1D1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w:t>
            </w:r>
          </w:p>
        </w:tc>
        <w:tc>
          <w:tcPr>
            <w:tcW w:w="450" w:type="dxa"/>
            <w:tcBorders>
              <w:tl2br w:val="nil"/>
              <w:tr2bl w:val="nil"/>
            </w:tcBorders>
            <w:noWrap w:val="0"/>
            <w:vAlign w:val="center"/>
          </w:tcPr>
          <w:p w14:paraId="3C5EA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-10</w:t>
            </w:r>
          </w:p>
        </w:tc>
        <w:tc>
          <w:tcPr>
            <w:tcW w:w="505" w:type="dxa"/>
            <w:tcBorders>
              <w:tl2br w:val="nil"/>
              <w:tr2bl w:val="nil"/>
            </w:tcBorders>
            <w:noWrap w:val="0"/>
            <w:vAlign w:val="center"/>
          </w:tcPr>
          <w:p w14:paraId="5AFFBD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47A2A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0A8CAF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15651E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42A7A4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29</w:t>
            </w:r>
          </w:p>
        </w:tc>
        <w:tc>
          <w:tcPr>
            <w:tcW w:w="448" w:type="dxa"/>
            <w:vMerge w:val="continue"/>
            <w:tcBorders>
              <w:tl2br w:val="nil"/>
              <w:tr2bl w:val="nil"/>
            </w:tcBorders>
            <w:noWrap w:val="0"/>
            <w:vAlign w:val="center"/>
          </w:tcPr>
          <w:p w14:paraId="35FAA161">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20CAB0DB">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3F17960">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0EAEA3ED">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558723B1">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781098AB">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0DC59650">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265F755B">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67C3C33D">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2058B1BA">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24161396">
            <w:pPr>
              <w:spacing w:line="276" w:lineRule="auto"/>
              <w:jc w:val="center"/>
              <w:rPr>
                <w:rFonts w:hint="default" w:ascii="Times New Roman" w:hAnsi="Times New Roman" w:cs="Times New Roman"/>
                <w:color w:val="auto"/>
                <w:sz w:val="18"/>
                <w:szCs w:val="18"/>
              </w:rPr>
            </w:pPr>
          </w:p>
        </w:tc>
      </w:tr>
      <w:tr w14:paraId="1B8EF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623F341D">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1116BAB7">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36081137">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MA12000V/8400</w:t>
            </w:r>
          </w:p>
        </w:tc>
        <w:tc>
          <w:tcPr>
            <w:tcW w:w="777" w:type="dxa"/>
            <w:tcBorders>
              <w:tl2br w:val="nil"/>
              <w:tr2bl w:val="nil"/>
            </w:tcBorders>
            <w:noWrap w:val="0"/>
            <w:vAlign w:val="center"/>
          </w:tcPr>
          <w:p w14:paraId="617886FF">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2CBF1283">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11F886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w:t>
            </w:r>
          </w:p>
        </w:tc>
        <w:tc>
          <w:tcPr>
            <w:tcW w:w="450" w:type="dxa"/>
            <w:tcBorders>
              <w:tl2br w:val="nil"/>
              <w:tr2bl w:val="nil"/>
            </w:tcBorders>
            <w:noWrap w:val="0"/>
            <w:vAlign w:val="center"/>
          </w:tcPr>
          <w:p w14:paraId="46B7F2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-11</w:t>
            </w:r>
          </w:p>
        </w:tc>
        <w:tc>
          <w:tcPr>
            <w:tcW w:w="505" w:type="dxa"/>
            <w:tcBorders>
              <w:tl2br w:val="nil"/>
              <w:tr2bl w:val="nil"/>
            </w:tcBorders>
            <w:noWrap w:val="0"/>
            <w:vAlign w:val="center"/>
          </w:tcPr>
          <w:p w14:paraId="34E989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4B290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195CC8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4EC52D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57BF61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30</w:t>
            </w:r>
          </w:p>
        </w:tc>
        <w:tc>
          <w:tcPr>
            <w:tcW w:w="448" w:type="dxa"/>
            <w:vMerge w:val="continue"/>
            <w:tcBorders>
              <w:tl2br w:val="nil"/>
              <w:tr2bl w:val="nil"/>
            </w:tcBorders>
            <w:noWrap w:val="0"/>
            <w:vAlign w:val="center"/>
          </w:tcPr>
          <w:p w14:paraId="355D68A9">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419D8BE5">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3025EAED">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49325960">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33C72906">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75F86D31">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02C3987D">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19EF573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2B92411F">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37F41F51">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44107CCA">
            <w:pPr>
              <w:spacing w:line="276" w:lineRule="auto"/>
              <w:jc w:val="center"/>
              <w:rPr>
                <w:rFonts w:hint="default" w:ascii="Times New Roman" w:hAnsi="Times New Roman" w:cs="Times New Roman"/>
                <w:color w:val="auto"/>
                <w:sz w:val="18"/>
                <w:szCs w:val="18"/>
              </w:rPr>
            </w:pPr>
          </w:p>
        </w:tc>
      </w:tr>
      <w:tr w14:paraId="6831AD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2C149CBE">
            <w:pPr>
              <w:spacing w:line="276" w:lineRule="auto"/>
              <w:jc w:val="center"/>
              <w:rPr>
                <w:rFonts w:hint="default" w:ascii="Times New Roman" w:hAnsi="Times New Roman" w:cs="Times New Roman"/>
                <w:color w:val="auto"/>
                <w:sz w:val="18"/>
                <w:szCs w:val="18"/>
              </w:rPr>
            </w:pPr>
          </w:p>
        </w:tc>
        <w:tc>
          <w:tcPr>
            <w:tcW w:w="739" w:type="dxa"/>
            <w:vMerge w:val="continue"/>
            <w:tcBorders>
              <w:tl2br w:val="nil"/>
              <w:tr2bl w:val="nil"/>
            </w:tcBorders>
            <w:noWrap w:val="0"/>
            <w:vAlign w:val="center"/>
          </w:tcPr>
          <w:p w14:paraId="6F940C83">
            <w:pPr>
              <w:spacing w:line="320" w:lineRule="exact"/>
              <w:jc w:val="center"/>
              <w:rPr>
                <w:rFonts w:hint="default" w:ascii="Times New Roman" w:hAnsi="Times New Roman" w:cs="Times New Roman"/>
                <w:color w:val="auto"/>
                <w:sz w:val="18"/>
                <w:szCs w:val="18"/>
              </w:rPr>
            </w:pPr>
          </w:p>
        </w:tc>
        <w:tc>
          <w:tcPr>
            <w:tcW w:w="1493" w:type="dxa"/>
            <w:tcBorders>
              <w:tl2br w:val="nil"/>
              <w:tr2bl w:val="nil"/>
            </w:tcBorders>
            <w:noWrap w:val="0"/>
            <w:vAlign w:val="center"/>
          </w:tcPr>
          <w:p w14:paraId="4F687620">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MA12000V/8400</w:t>
            </w:r>
          </w:p>
        </w:tc>
        <w:tc>
          <w:tcPr>
            <w:tcW w:w="777" w:type="dxa"/>
            <w:tcBorders>
              <w:tl2br w:val="nil"/>
              <w:tr2bl w:val="nil"/>
            </w:tcBorders>
            <w:noWrap w:val="0"/>
            <w:vAlign w:val="center"/>
          </w:tcPr>
          <w:p w14:paraId="65253331">
            <w:pPr>
              <w:widowControl/>
              <w:spacing w:line="276"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1296" w:type="dxa"/>
            <w:vMerge w:val="continue"/>
            <w:tcBorders>
              <w:tl2br w:val="nil"/>
              <w:tr2bl w:val="nil"/>
            </w:tcBorders>
            <w:noWrap w:val="0"/>
            <w:vAlign w:val="center"/>
          </w:tcPr>
          <w:p w14:paraId="2A31BAF0">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3A0D2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w:t>
            </w:r>
          </w:p>
        </w:tc>
        <w:tc>
          <w:tcPr>
            <w:tcW w:w="450" w:type="dxa"/>
            <w:tcBorders>
              <w:tl2br w:val="nil"/>
              <w:tr2bl w:val="nil"/>
            </w:tcBorders>
            <w:noWrap w:val="0"/>
            <w:vAlign w:val="center"/>
          </w:tcPr>
          <w:p w14:paraId="5BC25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-12</w:t>
            </w:r>
          </w:p>
        </w:tc>
        <w:tc>
          <w:tcPr>
            <w:tcW w:w="505" w:type="dxa"/>
            <w:tcBorders>
              <w:tl2br w:val="nil"/>
              <w:tr2bl w:val="nil"/>
            </w:tcBorders>
            <w:noWrap w:val="0"/>
            <w:vAlign w:val="center"/>
          </w:tcPr>
          <w:p w14:paraId="6C5EB3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453104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7B5DED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68A242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1A2390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31</w:t>
            </w:r>
          </w:p>
        </w:tc>
        <w:tc>
          <w:tcPr>
            <w:tcW w:w="448" w:type="dxa"/>
            <w:vMerge w:val="continue"/>
            <w:tcBorders>
              <w:tl2br w:val="nil"/>
              <w:tr2bl w:val="nil"/>
            </w:tcBorders>
            <w:noWrap w:val="0"/>
            <w:vAlign w:val="center"/>
          </w:tcPr>
          <w:p w14:paraId="7446B67E">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0E80D586">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4C583594">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67313A4C">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08CCEECC">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531B14BB">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6F590592">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5FA24B26">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75883277">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20FE7E09">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72913ACF">
            <w:pPr>
              <w:spacing w:line="276" w:lineRule="auto"/>
              <w:jc w:val="center"/>
              <w:rPr>
                <w:rFonts w:hint="default" w:ascii="Times New Roman" w:hAnsi="Times New Roman" w:cs="Times New Roman"/>
                <w:color w:val="auto"/>
                <w:sz w:val="18"/>
                <w:szCs w:val="18"/>
              </w:rPr>
            </w:pPr>
          </w:p>
        </w:tc>
      </w:tr>
      <w:tr w14:paraId="19250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601" w:type="dxa"/>
            <w:vMerge w:val="continue"/>
            <w:tcBorders>
              <w:tl2br w:val="nil"/>
              <w:tr2bl w:val="nil"/>
            </w:tcBorders>
            <w:noWrap w:val="0"/>
            <w:vAlign w:val="center"/>
          </w:tcPr>
          <w:p w14:paraId="1D7C84B7">
            <w:pPr>
              <w:spacing w:line="276" w:lineRule="auto"/>
              <w:jc w:val="center"/>
              <w:rPr>
                <w:rFonts w:hint="default" w:ascii="Times New Roman" w:hAnsi="Times New Roman" w:cs="Times New Roman"/>
                <w:color w:val="auto"/>
                <w:sz w:val="18"/>
                <w:szCs w:val="18"/>
              </w:rPr>
            </w:pPr>
          </w:p>
        </w:tc>
        <w:tc>
          <w:tcPr>
            <w:tcW w:w="739" w:type="dxa"/>
            <w:tcBorders>
              <w:tl2br w:val="nil"/>
              <w:tr2bl w:val="nil"/>
            </w:tcBorders>
            <w:noWrap w:val="0"/>
            <w:vAlign w:val="center"/>
          </w:tcPr>
          <w:p w14:paraId="03C722E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eastAsia="zh-CN"/>
              </w:rPr>
              <w:t>空压机</w:t>
            </w:r>
          </w:p>
        </w:tc>
        <w:tc>
          <w:tcPr>
            <w:tcW w:w="1493" w:type="dxa"/>
            <w:tcBorders>
              <w:tl2br w:val="nil"/>
              <w:tr2bl w:val="nil"/>
            </w:tcBorders>
            <w:noWrap w:val="0"/>
            <w:vAlign w:val="center"/>
          </w:tcPr>
          <w:p w14:paraId="6D97421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eastAsia="zh-CN"/>
              </w:rPr>
              <w:t>21kW</w:t>
            </w:r>
            <w:r>
              <w:rPr>
                <w:rFonts w:hint="eastAsia"/>
                <w:color w:val="auto"/>
                <w:sz w:val="18"/>
                <w:szCs w:val="18"/>
              </w:rPr>
              <w:t>/2.4m</w:t>
            </w:r>
            <w:r>
              <w:rPr>
                <w:rFonts w:hint="eastAsia"/>
                <w:color w:val="auto"/>
                <w:sz w:val="18"/>
                <w:szCs w:val="18"/>
                <w:vertAlign w:val="superscript"/>
              </w:rPr>
              <w:t>3</w:t>
            </w:r>
          </w:p>
        </w:tc>
        <w:tc>
          <w:tcPr>
            <w:tcW w:w="777" w:type="dxa"/>
            <w:tcBorders>
              <w:tl2br w:val="nil"/>
              <w:tr2bl w:val="nil"/>
            </w:tcBorders>
            <w:noWrap w:val="0"/>
            <w:vAlign w:val="center"/>
          </w:tcPr>
          <w:p w14:paraId="5B88DCFB">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90</w:t>
            </w:r>
          </w:p>
        </w:tc>
        <w:tc>
          <w:tcPr>
            <w:tcW w:w="1296" w:type="dxa"/>
            <w:vMerge w:val="restart"/>
            <w:tcBorders>
              <w:tl2br w:val="nil"/>
              <w:tr2bl w:val="nil"/>
            </w:tcBorders>
            <w:noWrap w:val="0"/>
            <w:vAlign w:val="center"/>
          </w:tcPr>
          <w:p w14:paraId="2E82FBBA">
            <w:pPr>
              <w:widowControl/>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建筑隔声</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基础减振</w:t>
            </w:r>
            <w:r>
              <w:rPr>
                <w:rFonts w:hint="default" w:ascii="Times New Roman" w:hAnsi="Times New Roman" w:cs="Times New Roman"/>
                <w:color w:val="auto"/>
                <w:sz w:val="18"/>
                <w:szCs w:val="18"/>
                <w:lang w:eastAsia="zh-CN"/>
              </w:rPr>
              <w:t>、设密闭隔音房间</w:t>
            </w:r>
          </w:p>
        </w:tc>
        <w:tc>
          <w:tcPr>
            <w:tcW w:w="490" w:type="dxa"/>
            <w:tcBorders>
              <w:tl2br w:val="nil"/>
              <w:tr2bl w:val="nil"/>
            </w:tcBorders>
            <w:noWrap w:val="0"/>
            <w:vAlign w:val="center"/>
          </w:tcPr>
          <w:p w14:paraId="31CBBEA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8</w:t>
            </w:r>
          </w:p>
        </w:tc>
        <w:tc>
          <w:tcPr>
            <w:tcW w:w="450" w:type="dxa"/>
            <w:tcBorders>
              <w:tl2br w:val="nil"/>
              <w:tr2bl w:val="nil"/>
            </w:tcBorders>
            <w:noWrap w:val="0"/>
            <w:vAlign w:val="center"/>
          </w:tcPr>
          <w:p w14:paraId="3E308AD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15</w:t>
            </w:r>
          </w:p>
        </w:tc>
        <w:tc>
          <w:tcPr>
            <w:tcW w:w="505" w:type="dxa"/>
            <w:tcBorders>
              <w:tl2br w:val="nil"/>
              <w:tr2bl w:val="nil"/>
            </w:tcBorders>
            <w:noWrap w:val="0"/>
            <w:vAlign w:val="center"/>
          </w:tcPr>
          <w:p w14:paraId="064D767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461" w:type="dxa"/>
            <w:tcBorders>
              <w:tl2br w:val="nil"/>
              <w:tr2bl w:val="nil"/>
            </w:tcBorders>
            <w:noWrap w:val="0"/>
            <w:vAlign w:val="center"/>
          </w:tcPr>
          <w:p w14:paraId="69A56CBB">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7EC1548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504ADB3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4F2A13E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20</w:t>
            </w:r>
          </w:p>
        </w:tc>
        <w:tc>
          <w:tcPr>
            <w:tcW w:w="448" w:type="dxa"/>
            <w:vMerge w:val="continue"/>
            <w:tcBorders>
              <w:tl2br w:val="nil"/>
              <w:tr2bl w:val="nil"/>
            </w:tcBorders>
            <w:noWrap w:val="0"/>
            <w:vAlign w:val="center"/>
          </w:tcPr>
          <w:p w14:paraId="18C994C8">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4BA1A3FC">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10D33B69">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609EDB91">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62C947E4">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6A52ADEE">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73776FE0">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4D47A95F">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3B5AA888">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06B8299C">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1CE94F9C">
            <w:pPr>
              <w:spacing w:line="276" w:lineRule="auto"/>
              <w:jc w:val="center"/>
              <w:rPr>
                <w:rFonts w:hint="default" w:ascii="Times New Roman" w:hAnsi="Times New Roman" w:cs="Times New Roman"/>
                <w:color w:val="auto"/>
                <w:sz w:val="18"/>
                <w:szCs w:val="18"/>
              </w:rPr>
            </w:pPr>
          </w:p>
        </w:tc>
      </w:tr>
      <w:tr w14:paraId="1A3F81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601" w:type="dxa"/>
            <w:vMerge w:val="continue"/>
            <w:tcBorders>
              <w:tl2br w:val="nil"/>
              <w:tr2bl w:val="nil"/>
            </w:tcBorders>
            <w:noWrap w:val="0"/>
            <w:vAlign w:val="center"/>
          </w:tcPr>
          <w:p w14:paraId="0E70E8B0">
            <w:pPr>
              <w:spacing w:line="276" w:lineRule="auto"/>
              <w:jc w:val="center"/>
              <w:rPr>
                <w:rFonts w:hint="default" w:ascii="Times New Roman" w:hAnsi="Times New Roman" w:cs="Times New Roman"/>
                <w:color w:val="auto"/>
                <w:sz w:val="18"/>
                <w:szCs w:val="18"/>
              </w:rPr>
            </w:pPr>
          </w:p>
        </w:tc>
        <w:tc>
          <w:tcPr>
            <w:tcW w:w="739" w:type="dxa"/>
            <w:tcBorders>
              <w:tl2br w:val="nil"/>
              <w:tr2bl w:val="nil"/>
            </w:tcBorders>
            <w:noWrap w:val="0"/>
            <w:vAlign w:val="center"/>
          </w:tcPr>
          <w:p w14:paraId="43195149">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破碎机</w:t>
            </w:r>
          </w:p>
        </w:tc>
        <w:tc>
          <w:tcPr>
            <w:tcW w:w="1493" w:type="dxa"/>
            <w:tcBorders>
              <w:tl2br w:val="nil"/>
              <w:tr2bl w:val="nil"/>
            </w:tcBorders>
            <w:noWrap w:val="0"/>
            <w:vAlign w:val="center"/>
          </w:tcPr>
          <w:p w14:paraId="6547F8F8">
            <w:pPr>
              <w:spacing w:line="320" w:lineRule="exact"/>
              <w:jc w:val="center"/>
              <w:rPr>
                <w:rFonts w:hint="default" w:ascii="Times New Roman" w:hAnsi="Times New Roman" w:eastAsia="宋体" w:cs="Times New Roman"/>
                <w:color w:val="auto"/>
                <w:kern w:val="0"/>
                <w:sz w:val="18"/>
                <w:szCs w:val="18"/>
                <w:lang w:val="en-US" w:eastAsia="zh-CN" w:bidi="ar"/>
              </w:rPr>
            </w:pPr>
            <w:r>
              <w:rPr>
                <w:rFonts w:hint="eastAsia"/>
                <w:color w:val="auto"/>
                <w:sz w:val="18"/>
                <w:szCs w:val="18"/>
              </w:rPr>
              <w:t>强力600</w:t>
            </w:r>
          </w:p>
        </w:tc>
        <w:tc>
          <w:tcPr>
            <w:tcW w:w="777" w:type="dxa"/>
            <w:tcBorders>
              <w:tl2br w:val="nil"/>
              <w:tr2bl w:val="nil"/>
            </w:tcBorders>
            <w:noWrap w:val="0"/>
            <w:vAlign w:val="center"/>
          </w:tcPr>
          <w:p w14:paraId="5CCAB2A4">
            <w:pPr>
              <w:widowControl/>
              <w:spacing w:line="276"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85</w:t>
            </w:r>
          </w:p>
        </w:tc>
        <w:tc>
          <w:tcPr>
            <w:tcW w:w="1296" w:type="dxa"/>
            <w:vMerge w:val="continue"/>
            <w:tcBorders>
              <w:tl2br w:val="nil"/>
              <w:tr2bl w:val="nil"/>
            </w:tcBorders>
            <w:noWrap w:val="0"/>
            <w:vAlign w:val="center"/>
          </w:tcPr>
          <w:p w14:paraId="590E74A8">
            <w:pPr>
              <w:widowControl/>
              <w:spacing w:line="276" w:lineRule="auto"/>
              <w:jc w:val="center"/>
              <w:rPr>
                <w:rFonts w:hint="default" w:ascii="Times New Roman" w:hAnsi="Times New Roman" w:cs="Times New Roman"/>
                <w:color w:val="auto"/>
                <w:sz w:val="18"/>
                <w:szCs w:val="18"/>
              </w:rPr>
            </w:pPr>
          </w:p>
        </w:tc>
        <w:tc>
          <w:tcPr>
            <w:tcW w:w="490" w:type="dxa"/>
            <w:tcBorders>
              <w:tl2br w:val="nil"/>
              <w:tr2bl w:val="nil"/>
            </w:tcBorders>
            <w:noWrap w:val="0"/>
            <w:vAlign w:val="center"/>
          </w:tcPr>
          <w:p w14:paraId="4341825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450" w:type="dxa"/>
            <w:tcBorders>
              <w:tl2br w:val="nil"/>
              <w:tr2bl w:val="nil"/>
            </w:tcBorders>
            <w:noWrap w:val="0"/>
            <w:vAlign w:val="center"/>
          </w:tcPr>
          <w:p w14:paraId="4AF2600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505" w:type="dxa"/>
            <w:tcBorders>
              <w:tl2br w:val="nil"/>
              <w:tr2bl w:val="nil"/>
            </w:tcBorders>
            <w:noWrap w:val="0"/>
            <w:vAlign w:val="center"/>
          </w:tcPr>
          <w:p w14:paraId="1BD3B6BC">
            <w:pPr>
              <w:keepNext w:val="0"/>
              <w:keepLines w:val="0"/>
              <w:widowControl/>
              <w:suppressLineNumbers w:val="0"/>
              <w:jc w:val="center"/>
              <w:textAlignment w:val="center"/>
              <w:rPr>
                <w:rFonts w:hint="default" w:ascii="Times New Roman" w:hAnsi="Times New Roman" w:cs="Times New Roman"/>
                <w:color w:val="auto"/>
                <w:sz w:val="18"/>
                <w:szCs w:val="18"/>
              </w:rPr>
            </w:pPr>
          </w:p>
        </w:tc>
        <w:tc>
          <w:tcPr>
            <w:tcW w:w="461" w:type="dxa"/>
            <w:tcBorders>
              <w:tl2br w:val="nil"/>
              <w:tr2bl w:val="nil"/>
            </w:tcBorders>
            <w:noWrap w:val="0"/>
            <w:vAlign w:val="center"/>
          </w:tcPr>
          <w:p w14:paraId="348A9E8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7" w:type="dxa"/>
            <w:tcBorders>
              <w:tl2br w:val="nil"/>
              <w:tr2bl w:val="nil"/>
            </w:tcBorders>
            <w:noWrap w:val="0"/>
            <w:vAlign w:val="center"/>
          </w:tcPr>
          <w:p w14:paraId="6F7086B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48" w:type="dxa"/>
            <w:tcBorders>
              <w:tl2br w:val="nil"/>
              <w:tr2bl w:val="nil"/>
            </w:tcBorders>
            <w:noWrap w:val="0"/>
            <w:vAlign w:val="center"/>
          </w:tcPr>
          <w:p w14:paraId="3C963D1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473" w:type="dxa"/>
            <w:tcBorders>
              <w:tl2br w:val="nil"/>
              <w:tr2bl w:val="nil"/>
            </w:tcBorders>
            <w:noWrap w:val="0"/>
            <w:vAlign w:val="center"/>
          </w:tcPr>
          <w:p w14:paraId="187AE046">
            <w:pPr>
              <w:keepNext w:val="0"/>
              <w:keepLines w:val="0"/>
              <w:widowControl/>
              <w:suppressLineNumbers w:val="0"/>
              <w:jc w:val="center"/>
              <w:textAlignment w:val="center"/>
              <w:rPr>
                <w:rFonts w:hint="default" w:ascii="Times New Roman" w:hAnsi="Times New Roman" w:cs="Times New Roman"/>
                <w:color w:val="auto"/>
                <w:sz w:val="18"/>
                <w:szCs w:val="18"/>
                <w:lang w:val="en-US"/>
              </w:rPr>
            </w:pPr>
            <w:r>
              <w:rPr>
                <w:rFonts w:hint="eastAsia" w:ascii="Times New Roman" w:hAnsi="Times New Roman" w:cs="Times New Roman"/>
                <w:i w:val="0"/>
                <w:iCs w:val="0"/>
                <w:color w:val="auto"/>
                <w:kern w:val="0"/>
                <w:sz w:val="18"/>
                <w:szCs w:val="18"/>
                <w:u w:val="none"/>
                <w:lang w:val="en-US" w:eastAsia="zh-CN" w:bidi="ar"/>
              </w:rPr>
              <w:t>55</w:t>
            </w:r>
          </w:p>
        </w:tc>
        <w:tc>
          <w:tcPr>
            <w:tcW w:w="448" w:type="dxa"/>
            <w:vMerge w:val="continue"/>
            <w:tcBorders>
              <w:tl2br w:val="nil"/>
              <w:tr2bl w:val="nil"/>
            </w:tcBorders>
            <w:noWrap w:val="0"/>
            <w:vAlign w:val="center"/>
          </w:tcPr>
          <w:p w14:paraId="568061FD">
            <w:pPr>
              <w:spacing w:line="276" w:lineRule="auto"/>
              <w:jc w:val="center"/>
              <w:rPr>
                <w:rFonts w:hint="default" w:ascii="Times New Roman" w:hAnsi="Times New Roman" w:cs="Times New Roman"/>
                <w:color w:val="auto"/>
                <w:sz w:val="18"/>
                <w:szCs w:val="18"/>
              </w:rPr>
            </w:pPr>
          </w:p>
        </w:tc>
        <w:tc>
          <w:tcPr>
            <w:tcW w:w="447" w:type="dxa"/>
            <w:vMerge w:val="continue"/>
            <w:tcBorders>
              <w:tl2br w:val="nil"/>
              <w:tr2bl w:val="nil"/>
            </w:tcBorders>
            <w:noWrap w:val="0"/>
            <w:vAlign w:val="center"/>
          </w:tcPr>
          <w:p w14:paraId="07E973A2">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449D9BEF">
            <w:pPr>
              <w:spacing w:line="276" w:lineRule="auto"/>
              <w:jc w:val="center"/>
              <w:rPr>
                <w:rFonts w:hint="default" w:ascii="Times New Roman" w:hAnsi="Times New Roman" w:cs="Times New Roman"/>
                <w:color w:val="auto"/>
                <w:sz w:val="18"/>
                <w:szCs w:val="18"/>
              </w:rPr>
            </w:pPr>
          </w:p>
        </w:tc>
        <w:tc>
          <w:tcPr>
            <w:tcW w:w="448" w:type="dxa"/>
            <w:vMerge w:val="continue"/>
            <w:tcBorders>
              <w:tl2br w:val="nil"/>
              <w:tr2bl w:val="nil"/>
            </w:tcBorders>
            <w:noWrap w:val="0"/>
            <w:vAlign w:val="center"/>
          </w:tcPr>
          <w:p w14:paraId="03FCE32A">
            <w:pPr>
              <w:spacing w:line="276" w:lineRule="auto"/>
              <w:jc w:val="center"/>
              <w:rPr>
                <w:rFonts w:hint="default" w:ascii="Times New Roman" w:hAnsi="Times New Roman" w:cs="Times New Roman"/>
                <w:color w:val="auto"/>
                <w:sz w:val="18"/>
                <w:szCs w:val="18"/>
              </w:rPr>
            </w:pPr>
          </w:p>
        </w:tc>
        <w:tc>
          <w:tcPr>
            <w:tcW w:w="618" w:type="dxa"/>
            <w:vMerge w:val="continue"/>
            <w:tcBorders>
              <w:tl2br w:val="nil"/>
              <w:tr2bl w:val="nil"/>
            </w:tcBorders>
            <w:noWrap w:val="0"/>
            <w:vAlign w:val="center"/>
          </w:tcPr>
          <w:p w14:paraId="6390B704">
            <w:pPr>
              <w:spacing w:line="276" w:lineRule="auto"/>
              <w:jc w:val="center"/>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69CF2123">
            <w:pPr>
              <w:spacing w:line="276" w:lineRule="auto"/>
              <w:jc w:val="center"/>
              <w:rPr>
                <w:rFonts w:hint="default" w:ascii="Times New Roman" w:hAnsi="Times New Roman" w:cs="Times New Roman"/>
                <w:color w:val="auto"/>
                <w:sz w:val="18"/>
                <w:szCs w:val="18"/>
              </w:rPr>
            </w:pPr>
          </w:p>
        </w:tc>
        <w:tc>
          <w:tcPr>
            <w:tcW w:w="408" w:type="dxa"/>
            <w:vMerge w:val="continue"/>
            <w:tcBorders>
              <w:tl2br w:val="nil"/>
              <w:tr2bl w:val="nil"/>
            </w:tcBorders>
            <w:noWrap w:val="0"/>
            <w:vAlign w:val="center"/>
          </w:tcPr>
          <w:p w14:paraId="0362BEC6">
            <w:pPr>
              <w:spacing w:line="276" w:lineRule="auto"/>
              <w:jc w:val="center"/>
              <w:rPr>
                <w:rFonts w:hint="default" w:ascii="Times New Roman" w:hAnsi="Times New Roman" w:cs="Times New Roman"/>
                <w:color w:val="auto"/>
                <w:sz w:val="18"/>
                <w:szCs w:val="18"/>
              </w:rPr>
            </w:pPr>
          </w:p>
        </w:tc>
        <w:tc>
          <w:tcPr>
            <w:tcW w:w="460" w:type="dxa"/>
            <w:vMerge w:val="continue"/>
            <w:tcBorders>
              <w:tl2br w:val="nil"/>
              <w:tr2bl w:val="nil"/>
            </w:tcBorders>
            <w:noWrap w:val="0"/>
            <w:vAlign w:val="center"/>
          </w:tcPr>
          <w:p w14:paraId="05ECEBA3">
            <w:pPr>
              <w:spacing w:line="276" w:lineRule="auto"/>
              <w:jc w:val="center"/>
              <w:rPr>
                <w:rFonts w:hint="default" w:ascii="Times New Roman" w:hAnsi="Times New Roman" w:cs="Times New Roman"/>
                <w:color w:val="auto"/>
                <w:sz w:val="18"/>
                <w:szCs w:val="18"/>
              </w:rPr>
            </w:pPr>
          </w:p>
        </w:tc>
        <w:tc>
          <w:tcPr>
            <w:tcW w:w="421" w:type="dxa"/>
            <w:vMerge w:val="continue"/>
            <w:tcBorders>
              <w:tl2br w:val="nil"/>
              <w:tr2bl w:val="nil"/>
            </w:tcBorders>
            <w:noWrap w:val="0"/>
            <w:vAlign w:val="center"/>
          </w:tcPr>
          <w:p w14:paraId="0A4B6FAA">
            <w:pPr>
              <w:spacing w:line="276" w:lineRule="auto"/>
              <w:jc w:val="center"/>
              <w:rPr>
                <w:rFonts w:hint="default" w:ascii="Times New Roman" w:hAnsi="Times New Roman" w:cs="Times New Roman"/>
                <w:color w:val="auto"/>
                <w:sz w:val="18"/>
                <w:szCs w:val="18"/>
              </w:rPr>
            </w:pPr>
          </w:p>
        </w:tc>
        <w:tc>
          <w:tcPr>
            <w:tcW w:w="403" w:type="dxa"/>
            <w:vMerge w:val="continue"/>
            <w:tcBorders>
              <w:tl2br w:val="nil"/>
              <w:tr2bl w:val="nil"/>
            </w:tcBorders>
            <w:noWrap w:val="0"/>
            <w:vAlign w:val="center"/>
          </w:tcPr>
          <w:p w14:paraId="0FC64E12">
            <w:pPr>
              <w:spacing w:line="276" w:lineRule="auto"/>
              <w:jc w:val="center"/>
              <w:rPr>
                <w:rFonts w:hint="default" w:ascii="Times New Roman" w:hAnsi="Times New Roman" w:cs="Times New Roman"/>
                <w:color w:val="auto"/>
                <w:sz w:val="18"/>
                <w:szCs w:val="18"/>
              </w:rPr>
            </w:pPr>
          </w:p>
        </w:tc>
        <w:tc>
          <w:tcPr>
            <w:tcW w:w="648" w:type="dxa"/>
            <w:vMerge w:val="continue"/>
            <w:tcBorders>
              <w:tl2br w:val="nil"/>
              <w:tr2bl w:val="nil"/>
            </w:tcBorders>
            <w:noWrap w:val="0"/>
            <w:vAlign w:val="center"/>
          </w:tcPr>
          <w:p w14:paraId="45D7685B">
            <w:pPr>
              <w:spacing w:line="276" w:lineRule="auto"/>
              <w:jc w:val="center"/>
              <w:rPr>
                <w:rFonts w:hint="default" w:ascii="Times New Roman" w:hAnsi="Times New Roman" w:cs="Times New Roman"/>
                <w:color w:val="auto"/>
                <w:sz w:val="18"/>
                <w:szCs w:val="18"/>
              </w:rPr>
            </w:pPr>
          </w:p>
        </w:tc>
      </w:tr>
      <w:tr w14:paraId="74807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13652" w:type="dxa"/>
            <w:gridSpan w:val="23"/>
            <w:tcBorders>
              <w:tl2br w:val="nil"/>
              <w:tr2bl w:val="nil"/>
            </w:tcBorders>
            <w:noWrap w:val="0"/>
            <w:vAlign w:val="center"/>
          </w:tcPr>
          <w:p w14:paraId="1F221EE7">
            <w:pPr>
              <w:spacing w:line="276" w:lineRule="auto"/>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注：由于本项目东、南、西侧紧邻其他项目厂房，因此本次评价的噪声预测仅针对项目北侧进行。</w:t>
            </w:r>
          </w:p>
        </w:tc>
      </w:tr>
    </w:tbl>
    <w:p w14:paraId="4207CF9B">
      <w:pPr>
        <w:pStyle w:val="26"/>
        <w:outlineLvl w:val="0"/>
        <w:rPr>
          <w:rFonts w:hint="default" w:ascii="Times New Roman" w:hAnsi="Times New Roman"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6DCE0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2361A84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672F90B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25B217B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3B695BC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750EA28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3A0C7F2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noWrap w:val="0"/>
            <w:vAlign w:val="center"/>
          </w:tcPr>
          <w:p w14:paraId="41504F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rPr>
              <w:t>表4</w:t>
            </w:r>
            <w:r>
              <w:rPr>
                <w:rFonts w:hint="default" w:ascii="Times New Roman" w:hAnsi="Times New Roman" w:cs="Times New Roman"/>
                <w:b/>
                <w:color w:val="auto"/>
                <w:kern w:val="0"/>
                <w:sz w:val="21"/>
                <w:szCs w:val="21"/>
                <w:lang w:val="en-US" w:eastAsia="zh-CN"/>
              </w:rPr>
              <w:t>-1</w:t>
            </w:r>
            <w:r>
              <w:rPr>
                <w:rFonts w:hint="eastAsia" w:ascii="Times New Roman" w:hAnsi="Times New Roman" w:cs="Times New Roman"/>
                <w:b/>
                <w:color w:val="auto"/>
                <w:kern w:val="0"/>
                <w:sz w:val="21"/>
                <w:szCs w:val="21"/>
                <w:lang w:val="en-US" w:eastAsia="zh-CN"/>
              </w:rPr>
              <w:t>2</w:t>
            </w:r>
            <w:r>
              <w:rPr>
                <w:rFonts w:hint="default" w:ascii="Times New Roman" w:hAnsi="Times New Roman" w:cs="Times New Roman"/>
                <w:b/>
                <w:color w:val="auto"/>
                <w:kern w:val="0"/>
                <w:sz w:val="21"/>
                <w:szCs w:val="21"/>
              </w:rPr>
              <w:t xml:space="preserve">  厂界噪声影响预测结果  单位：dB</w:t>
            </w:r>
            <w:r>
              <w:rPr>
                <w:rFonts w:hint="default" w:ascii="Times New Roman" w:hAnsi="Times New Roman" w:cs="Times New Roman"/>
                <w:b/>
                <w:color w:val="auto"/>
                <w:kern w:val="0"/>
                <w:sz w:val="21"/>
                <w:szCs w:val="21"/>
                <w:lang w:eastAsia="zh-CN"/>
              </w:rPr>
              <w:t>（</w:t>
            </w:r>
            <w:r>
              <w:rPr>
                <w:rFonts w:hint="default" w:ascii="Times New Roman" w:hAnsi="Times New Roman" w:cs="Times New Roman"/>
                <w:b/>
                <w:color w:val="auto"/>
                <w:kern w:val="0"/>
                <w:sz w:val="21"/>
                <w:szCs w:val="21"/>
                <w:lang w:val="en-US" w:eastAsia="zh-CN"/>
              </w:rPr>
              <w:t>A</w:t>
            </w:r>
            <w:r>
              <w:rPr>
                <w:rFonts w:hint="default" w:ascii="Times New Roman" w:hAnsi="Times New Roman" w:cs="Times New Roman"/>
                <w:b/>
                <w:color w:val="auto"/>
                <w:kern w:val="0"/>
                <w:sz w:val="21"/>
                <w:szCs w:val="21"/>
                <w:lang w:eastAsia="zh-CN"/>
              </w:rPr>
              <w:t>）</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3145"/>
              <w:gridCol w:w="1566"/>
              <w:gridCol w:w="1909"/>
            </w:tblGrid>
            <w:tr w14:paraId="46903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8" w:type="pct"/>
                  <w:tcBorders>
                    <w:tl2br w:val="nil"/>
                    <w:tr2bl w:val="nil"/>
                  </w:tcBorders>
                  <w:noWrap w:val="0"/>
                  <w:vAlign w:val="center"/>
                </w:tcPr>
                <w:p w14:paraId="0EB72480">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预测点位</w:t>
                  </w:r>
                </w:p>
              </w:tc>
              <w:tc>
                <w:tcPr>
                  <w:tcW w:w="1986" w:type="pct"/>
                  <w:tcBorders>
                    <w:tl2br w:val="nil"/>
                    <w:tr2bl w:val="nil"/>
                  </w:tcBorders>
                  <w:noWrap w:val="0"/>
                  <w:vAlign w:val="center"/>
                </w:tcPr>
                <w:p w14:paraId="37D91422">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预测值</w:t>
                  </w:r>
                </w:p>
              </w:tc>
              <w:tc>
                <w:tcPr>
                  <w:tcW w:w="989" w:type="pct"/>
                  <w:vMerge w:val="restart"/>
                  <w:tcBorders>
                    <w:tl2br w:val="nil"/>
                    <w:tr2bl w:val="nil"/>
                  </w:tcBorders>
                  <w:noWrap w:val="0"/>
                  <w:vAlign w:val="center"/>
                </w:tcPr>
                <w:p w14:paraId="4A26B91F">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评价标准</w:t>
                  </w:r>
                </w:p>
              </w:tc>
              <w:tc>
                <w:tcPr>
                  <w:tcW w:w="1205" w:type="pct"/>
                  <w:tcBorders>
                    <w:tl2br w:val="nil"/>
                    <w:tr2bl w:val="nil"/>
                  </w:tcBorders>
                  <w:noWrap w:val="0"/>
                  <w:vAlign w:val="center"/>
                </w:tcPr>
                <w:p w14:paraId="6D3CBC10">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7BA22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pct"/>
                  <w:tcBorders>
                    <w:tl2br w:val="nil"/>
                    <w:tr2bl w:val="nil"/>
                  </w:tcBorders>
                  <w:noWrap w:val="0"/>
                  <w:vAlign w:val="center"/>
                </w:tcPr>
                <w:p w14:paraId="5F292A0A">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东厂界</w:t>
                  </w:r>
                </w:p>
              </w:tc>
              <w:tc>
                <w:tcPr>
                  <w:tcW w:w="1986" w:type="pct"/>
                  <w:tcBorders>
                    <w:tl2br w:val="nil"/>
                    <w:tr2bl w:val="nil"/>
                  </w:tcBorders>
                  <w:noWrap w:val="0"/>
                  <w:vAlign w:val="center"/>
                </w:tcPr>
                <w:p w14:paraId="49D6E2CE">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89" w:type="pct"/>
                  <w:vMerge w:val="restart"/>
                  <w:tcBorders>
                    <w:tl2br w:val="nil"/>
                    <w:tr2bl w:val="nil"/>
                  </w:tcBorders>
                  <w:noWrap w:val="0"/>
                  <w:vAlign w:val="center"/>
                </w:tcPr>
                <w:p w14:paraId="5AE27AB8">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昼间≤65</w:t>
                  </w:r>
                  <w:r>
                    <w:rPr>
                      <w:rFonts w:hint="eastAsia" w:ascii="Times New Roman" w:hAnsi="Times New Roman" w:cs="Times New Roman"/>
                      <w:color w:val="auto"/>
                      <w:sz w:val="18"/>
                      <w:szCs w:val="18"/>
                      <w:lang w:eastAsia="zh-CN"/>
                    </w:rPr>
                    <w:t>，夜间</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55</w:t>
                  </w:r>
                </w:p>
              </w:tc>
              <w:tc>
                <w:tcPr>
                  <w:tcW w:w="1909" w:type="dxa"/>
                  <w:tcBorders>
                    <w:tl2br w:val="nil"/>
                    <w:tr2bl w:val="nil"/>
                  </w:tcBorders>
                  <w:noWrap w:val="0"/>
                  <w:vAlign w:val="center"/>
                </w:tcPr>
                <w:p w14:paraId="42CFBDAC">
                  <w:pPr>
                    <w:snapToGrid w:val="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r>
            <w:tr w14:paraId="77D95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pct"/>
                  <w:tcBorders>
                    <w:tl2br w:val="nil"/>
                    <w:tr2bl w:val="nil"/>
                  </w:tcBorders>
                  <w:noWrap w:val="0"/>
                  <w:vAlign w:val="center"/>
                </w:tcPr>
                <w:p w14:paraId="2ADD2793">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南厂界</w:t>
                  </w:r>
                </w:p>
              </w:tc>
              <w:tc>
                <w:tcPr>
                  <w:tcW w:w="1986" w:type="pct"/>
                  <w:tcBorders>
                    <w:tl2br w:val="nil"/>
                    <w:tr2bl w:val="nil"/>
                  </w:tcBorders>
                  <w:noWrap w:val="0"/>
                  <w:vAlign w:val="center"/>
                </w:tcPr>
                <w:p w14:paraId="68A92D41">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89" w:type="pct"/>
                  <w:vMerge w:val="continue"/>
                  <w:tcBorders>
                    <w:tl2br w:val="nil"/>
                    <w:tr2bl w:val="nil"/>
                  </w:tcBorders>
                  <w:noWrap w:val="0"/>
                  <w:vAlign w:val="center"/>
                </w:tcPr>
                <w:p w14:paraId="3BC30502">
                  <w:pPr>
                    <w:widowControl/>
                    <w:jc w:val="center"/>
                    <w:rPr>
                      <w:rFonts w:hint="default" w:ascii="Times New Roman" w:hAnsi="Times New Roman" w:cs="Times New Roman"/>
                      <w:color w:val="auto"/>
                      <w:sz w:val="18"/>
                      <w:szCs w:val="18"/>
                    </w:rPr>
                  </w:pPr>
                </w:p>
              </w:tc>
              <w:tc>
                <w:tcPr>
                  <w:tcW w:w="1909" w:type="dxa"/>
                  <w:tcBorders>
                    <w:tl2br w:val="nil"/>
                    <w:tr2bl w:val="nil"/>
                  </w:tcBorders>
                  <w:noWrap w:val="0"/>
                  <w:vAlign w:val="center"/>
                </w:tcPr>
                <w:p w14:paraId="1C57DB3E">
                  <w:pPr>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w:t>
                  </w:r>
                </w:p>
              </w:tc>
            </w:tr>
            <w:tr w14:paraId="51517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pct"/>
                  <w:tcBorders>
                    <w:tl2br w:val="nil"/>
                    <w:tr2bl w:val="nil"/>
                  </w:tcBorders>
                  <w:noWrap w:val="0"/>
                  <w:vAlign w:val="center"/>
                </w:tcPr>
                <w:p w14:paraId="1695B8B5">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西厂界</w:t>
                  </w:r>
                </w:p>
              </w:tc>
              <w:tc>
                <w:tcPr>
                  <w:tcW w:w="1986" w:type="pct"/>
                  <w:tcBorders>
                    <w:tl2br w:val="nil"/>
                    <w:tr2bl w:val="nil"/>
                  </w:tcBorders>
                  <w:noWrap w:val="0"/>
                  <w:vAlign w:val="center"/>
                </w:tcPr>
                <w:p w14:paraId="54ECB05E">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989" w:type="pct"/>
                  <w:vMerge w:val="continue"/>
                  <w:tcBorders>
                    <w:tl2br w:val="nil"/>
                    <w:tr2bl w:val="nil"/>
                  </w:tcBorders>
                  <w:noWrap w:val="0"/>
                  <w:vAlign w:val="center"/>
                </w:tcPr>
                <w:p w14:paraId="4B5D16C8">
                  <w:pPr>
                    <w:widowControl/>
                    <w:jc w:val="center"/>
                    <w:rPr>
                      <w:rFonts w:hint="default" w:ascii="Times New Roman" w:hAnsi="Times New Roman" w:cs="Times New Roman"/>
                      <w:color w:val="auto"/>
                      <w:sz w:val="18"/>
                      <w:szCs w:val="18"/>
                    </w:rPr>
                  </w:pPr>
                </w:p>
              </w:tc>
              <w:tc>
                <w:tcPr>
                  <w:tcW w:w="1909" w:type="dxa"/>
                  <w:tcBorders>
                    <w:tl2br w:val="nil"/>
                    <w:tr2bl w:val="nil"/>
                  </w:tcBorders>
                  <w:noWrap w:val="0"/>
                  <w:vAlign w:val="center"/>
                </w:tcPr>
                <w:p w14:paraId="153A6B9B">
                  <w:pPr>
                    <w:snapToGrid w:val="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r>
            <w:tr w14:paraId="25FD0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pct"/>
                  <w:tcBorders>
                    <w:tl2br w:val="nil"/>
                    <w:tr2bl w:val="nil"/>
                  </w:tcBorders>
                  <w:noWrap w:val="0"/>
                  <w:vAlign w:val="center"/>
                </w:tcPr>
                <w:p w14:paraId="5B8C4447">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北厂界</w:t>
                  </w:r>
                </w:p>
              </w:tc>
              <w:tc>
                <w:tcPr>
                  <w:tcW w:w="1986" w:type="pct"/>
                  <w:tcBorders>
                    <w:tl2br w:val="nil"/>
                    <w:tr2bl w:val="nil"/>
                  </w:tcBorders>
                  <w:noWrap w:val="0"/>
                  <w:vAlign w:val="center"/>
                </w:tcPr>
                <w:p w14:paraId="1C5E56F9">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cs="Times New Roman"/>
                      <w:color w:val="auto"/>
                      <w:sz w:val="18"/>
                      <w:szCs w:val="18"/>
                      <w:lang w:val="en-US" w:eastAsia="zh-CN"/>
                    </w:rPr>
                    <w:t>3</w:t>
                  </w:r>
                </w:p>
              </w:tc>
              <w:tc>
                <w:tcPr>
                  <w:tcW w:w="989" w:type="pct"/>
                  <w:vMerge w:val="continue"/>
                  <w:tcBorders>
                    <w:tl2br w:val="nil"/>
                    <w:tr2bl w:val="nil"/>
                  </w:tcBorders>
                  <w:noWrap w:val="0"/>
                  <w:vAlign w:val="center"/>
                </w:tcPr>
                <w:p w14:paraId="6443B7F1">
                  <w:pPr>
                    <w:widowControl/>
                    <w:jc w:val="center"/>
                    <w:rPr>
                      <w:rFonts w:hint="default" w:ascii="Times New Roman" w:hAnsi="Times New Roman" w:cs="Times New Roman"/>
                      <w:color w:val="auto"/>
                      <w:sz w:val="18"/>
                      <w:szCs w:val="18"/>
                    </w:rPr>
                  </w:pPr>
                </w:p>
              </w:tc>
              <w:tc>
                <w:tcPr>
                  <w:tcW w:w="1205" w:type="pct"/>
                  <w:tcBorders>
                    <w:tl2br w:val="nil"/>
                    <w:tr2bl w:val="nil"/>
                  </w:tcBorders>
                  <w:noWrap w:val="0"/>
                  <w:vAlign w:val="center"/>
                </w:tcPr>
                <w:p w14:paraId="2F5AF1E2">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14:paraId="5035B6B1">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由上表可知，</w:t>
            </w:r>
            <w:r>
              <w:rPr>
                <w:rFonts w:hint="default" w:ascii="Times New Roman" w:hAnsi="Times New Roman" w:eastAsia="宋体" w:cs="Times New Roman"/>
                <w:color w:val="auto"/>
                <w:szCs w:val="21"/>
                <w:lang w:eastAsia="zh-CN"/>
              </w:rPr>
              <w:t>经预测，</w:t>
            </w:r>
            <w:r>
              <w:rPr>
                <w:rFonts w:hint="default" w:ascii="Times New Roman" w:hAnsi="Times New Roman" w:cs="Times New Roman"/>
                <w:color w:val="auto"/>
                <w:szCs w:val="21"/>
              </w:rPr>
              <w:t>本项目生产厂房内设备经采取措施后</w:t>
            </w:r>
            <w:r>
              <w:rPr>
                <w:rFonts w:hint="default" w:ascii="Times New Roman" w:hAnsi="Times New Roman" w:eastAsia="宋体" w:cs="Times New Roman"/>
                <w:color w:val="auto"/>
                <w:szCs w:val="21"/>
              </w:rPr>
              <w:t>，产生的噪声在厂界</w:t>
            </w:r>
            <w:r>
              <w:rPr>
                <w:rFonts w:hint="eastAsia" w:ascii="Times New Roman" w:hAnsi="Times New Roman" w:cs="Times New Roman"/>
                <w:color w:val="auto"/>
                <w:szCs w:val="21"/>
                <w:lang w:eastAsia="zh-CN"/>
              </w:rPr>
              <w:t>昼夜均</w:t>
            </w:r>
            <w:r>
              <w:rPr>
                <w:rFonts w:hint="default" w:ascii="Times New Roman" w:hAnsi="Times New Roman" w:eastAsia="宋体" w:cs="Times New Roman"/>
                <w:color w:val="auto"/>
                <w:szCs w:val="21"/>
              </w:rPr>
              <w:t>能够达到《工业企业厂界环境噪声排放标准》（</w:t>
            </w:r>
            <w:r>
              <w:rPr>
                <w:rFonts w:hint="eastAsia" w:cs="Times New Roman"/>
                <w:color w:val="auto"/>
                <w:szCs w:val="21"/>
                <w:lang w:eastAsia="zh-CN"/>
              </w:rPr>
              <w:t>GB 12348</w:t>
            </w:r>
            <w:r>
              <w:rPr>
                <w:rFonts w:hint="default" w:ascii="Times New Roman" w:hAnsi="Times New Roman" w:eastAsia="宋体" w:cs="Times New Roman"/>
                <w:color w:val="auto"/>
                <w:szCs w:val="21"/>
              </w:rPr>
              <w:t>-2008）中3类标准限值要求。</w:t>
            </w:r>
          </w:p>
          <w:p w14:paraId="70DCA44D">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（3）监测要求</w:t>
            </w:r>
          </w:p>
          <w:p w14:paraId="4F169F40">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根据《排污单位自行监测技术指南 总则》（HJ819-2017）、</w:t>
            </w:r>
            <w:r>
              <w:rPr>
                <w:rFonts w:hint="default" w:ascii="Times New Roman" w:hAnsi="Times New Roman" w:cs="Times New Roman"/>
                <w:color w:val="auto"/>
                <w:szCs w:val="21"/>
              </w:rPr>
              <w:t>《排污单位自行监测技术指南橡胶和塑料制品》</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HJ 1207</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021</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、《排污许可证申请与核发技术规范 工业噪声》（HJ 1301-2023）</w:t>
            </w:r>
            <w:r>
              <w:rPr>
                <w:rFonts w:hint="default" w:ascii="Times New Roman" w:hAnsi="Times New Roman" w:cs="Times New Roman"/>
                <w:color w:val="auto"/>
              </w:rPr>
              <w:t>，本项目噪声自行监测要求情况见下表：</w:t>
            </w:r>
          </w:p>
          <w:p w14:paraId="737BF7C9">
            <w:pPr>
              <w:ind w:firstLine="422" w:firstLineChars="200"/>
              <w:jc w:val="center"/>
              <w:rPr>
                <w:rFonts w:hint="default" w:ascii="Times New Roman" w:hAnsi="Times New Roman" w:cs="Times New Roman"/>
                <w:b/>
                <w:color w:val="auto"/>
                <w:sz w:val="24"/>
              </w:rPr>
            </w:pPr>
            <w:r>
              <w:rPr>
                <w:rFonts w:hint="default" w:ascii="Times New Roman" w:hAnsi="Times New Roman" w:cs="Times New Roman"/>
                <w:b/>
                <w:color w:val="auto"/>
              </w:rPr>
              <w:t>表4-</w:t>
            </w:r>
            <w:r>
              <w:rPr>
                <w:rFonts w:hint="default" w:ascii="Times New Roman" w:hAnsi="Times New Roman" w:cs="Times New Roman"/>
                <w:b/>
                <w:color w:val="auto"/>
                <w:lang w:val="en-US" w:eastAsia="zh-CN"/>
              </w:rPr>
              <w:t>1</w:t>
            </w:r>
            <w:r>
              <w:rPr>
                <w:rFonts w:hint="eastAsia" w:ascii="Times New Roman" w:hAnsi="Times New Roman" w:cs="Times New Roman"/>
                <w:b/>
                <w:color w:val="auto"/>
                <w:lang w:val="en-US" w:eastAsia="zh-CN"/>
              </w:rPr>
              <w:t>3</w:t>
            </w:r>
            <w:r>
              <w:rPr>
                <w:rFonts w:hint="default" w:ascii="Times New Roman" w:hAnsi="Times New Roman" w:cs="Times New Roman"/>
                <w:b/>
                <w:color w:val="auto"/>
              </w:rPr>
              <w:t xml:space="preserve">  本项目噪声自行监测情况一览表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26"/>
              <w:gridCol w:w="1993"/>
              <w:gridCol w:w="1191"/>
              <w:gridCol w:w="3103"/>
            </w:tblGrid>
            <w:tr w14:paraId="379CF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noWrap w:val="0"/>
                  <w:vAlign w:val="center"/>
                </w:tcPr>
                <w:p w14:paraId="391C51C1">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259" w:type="pct"/>
                  <w:noWrap w:val="0"/>
                  <w:vAlign w:val="center"/>
                </w:tcPr>
                <w:p w14:paraId="3C447A2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监测指标</w:t>
                  </w:r>
                </w:p>
              </w:tc>
              <w:tc>
                <w:tcPr>
                  <w:tcW w:w="752" w:type="pct"/>
                  <w:noWrap w:val="0"/>
                  <w:vAlign w:val="center"/>
                </w:tcPr>
                <w:p w14:paraId="086B42A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监测频次</w:t>
                  </w:r>
                </w:p>
              </w:tc>
              <w:tc>
                <w:tcPr>
                  <w:tcW w:w="1960" w:type="pct"/>
                  <w:noWrap w:val="0"/>
                  <w:vAlign w:val="center"/>
                </w:tcPr>
                <w:p w14:paraId="2B948CA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153A8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noWrap w:val="0"/>
                  <w:vAlign w:val="center"/>
                </w:tcPr>
                <w:p w14:paraId="193749A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厂界外1m</w:t>
                  </w:r>
                </w:p>
              </w:tc>
              <w:tc>
                <w:tcPr>
                  <w:tcW w:w="1259" w:type="pct"/>
                  <w:noWrap w:val="0"/>
                  <w:vAlign w:val="center"/>
                </w:tcPr>
                <w:p w14:paraId="4C659B0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等效连续A声级（Leq）</w:t>
                  </w:r>
                </w:p>
              </w:tc>
              <w:tc>
                <w:tcPr>
                  <w:tcW w:w="752" w:type="pct"/>
                  <w:noWrap w:val="0"/>
                  <w:vAlign w:val="center"/>
                </w:tcPr>
                <w:p w14:paraId="1F05C10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每季度一次</w:t>
                  </w:r>
                </w:p>
              </w:tc>
              <w:tc>
                <w:tcPr>
                  <w:tcW w:w="1960" w:type="pct"/>
                  <w:noWrap w:val="0"/>
                  <w:vAlign w:val="center"/>
                </w:tcPr>
                <w:p w14:paraId="5D09F27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《工业企业厂界环境噪声排放标准》</w:t>
                  </w:r>
                  <w:r>
                    <w:rPr>
                      <w:rFonts w:hint="default" w:ascii="Times New Roman" w:hAnsi="Times New Roman" w:cs="Times New Roman"/>
                      <w:color w:val="auto"/>
                      <w:sz w:val="18"/>
                      <w:szCs w:val="18"/>
                    </w:rPr>
                    <w:t>（</w:t>
                  </w:r>
                  <w:r>
                    <w:rPr>
                      <w:rFonts w:hint="eastAsia" w:cs="Times New Roman"/>
                      <w:color w:val="auto"/>
                      <w:sz w:val="18"/>
                      <w:szCs w:val="18"/>
                      <w:lang w:eastAsia="zh-CN"/>
                    </w:rPr>
                    <w:t>GB 12348</w:t>
                  </w:r>
                  <w:r>
                    <w:rPr>
                      <w:rFonts w:hint="default" w:ascii="Times New Roman" w:hAnsi="Times New Roman" w:cs="Times New Roman"/>
                      <w:color w:val="auto"/>
                      <w:sz w:val="18"/>
                      <w:szCs w:val="18"/>
                    </w:rPr>
                    <w:t>-2008）</w:t>
                  </w:r>
                  <w:r>
                    <w:rPr>
                      <w:rFonts w:hint="default" w:ascii="Times New Roman" w:hAnsi="Times New Roman" w:cs="Times New Roman"/>
                      <w:bCs/>
                      <w:color w:val="auto"/>
                      <w:sz w:val="18"/>
                      <w:szCs w:val="18"/>
                    </w:rPr>
                    <w:t>3类标准要求</w:t>
                  </w:r>
                </w:p>
              </w:tc>
            </w:tr>
          </w:tbl>
          <w:p w14:paraId="5522DFB7">
            <w:pPr>
              <w:adjustRightInd w:val="0"/>
              <w:snapToGrid w:val="0"/>
              <w:spacing w:line="360" w:lineRule="auto"/>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4.5固体废物环境影响及保护措施</w:t>
            </w:r>
          </w:p>
          <w:p w14:paraId="66E29797">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（1）固体废物产生情况</w:t>
            </w:r>
          </w:p>
          <w:p w14:paraId="50061AA8">
            <w:pPr>
              <w:adjustRightInd w:val="0"/>
              <w:snapToGrid w:val="0"/>
              <w:spacing w:line="360" w:lineRule="auto"/>
              <w:ind w:firstLine="380" w:firstLineChars="20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本项目营运期产生的固体废物主要包括危险废物、一般工业固废。</w:t>
            </w:r>
          </w:p>
          <w:p w14:paraId="06B3800D">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①一般工业固废</w:t>
            </w:r>
          </w:p>
          <w:p w14:paraId="403C675D">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一般工业固废主要包括</w:t>
            </w:r>
            <w:r>
              <w:rPr>
                <w:rFonts w:hint="default" w:ascii="Times New Roman" w:hAnsi="Times New Roman" w:cs="Times New Roman"/>
                <w:color w:val="auto"/>
                <w:szCs w:val="21"/>
                <w:lang w:eastAsia="zh-CN"/>
              </w:rPr>
              <w:t>废包装材料</w:t>
            </w:r>
            <w:r>
              <w:rPr>
                <w:rFonts w:hint="eastAsia" w:ascii="Times New Roman" w:hAnsi="Times New Roman" w:cs="Times New Roman"/>
                <w:color w:val="auto"/>
                <w:szCs w:val="21"/>
                <w:lang w:val="en-US" w:eastAsia="zh-CN"/>
              </w:rPr>
              <w:t>S1</w:t>
            </w:r>
            <w:r>
              <w:rPr>
                <w:rFonts w:hint="default" w:ascii="Times New Roman" w:hAnsi="Times New Roman" w:cs="Times New Roman"/>
                <w:color w:val="auto"/>
                <w:szCs w:val="21"/>
                <w:lang w:eastAsia="zh-CN"/>
              </w:rPr>
              <w:t>、废边角料</w:t>
            </w:r>
            <w:r>
              <w:rPr>
                <w:rFonts w:hint="eastAsia" w:ascii="Times New Roman" w:hAnsi="Times New Roman" w:cs="Times New Roman"/>
                <w:color w:val="auto"/>
                <w:szCs w:val="21"/>
                <w:lang w:val="en-US" w:eastAsia="zh-CN"/>
              </w:rPr>
              <w:t>S2</w:t>
            </w:r>
            <w:r>
              <w:rPr>
                <w:rFonts w:hint="default" w:ascii="Times New Roman" w:hAnsi="Times New Roman" w:cs="Times New Roman"/>
                <w:color w:val="auto"/>
                <w:szCs w:val="21"/>
                <w:lang w:eastAsia="zh-CN"/>
              </w:rPr>
              <w:t>、不合格品</w:t>
            </w:r>
            <w:r>
              <w:rPr>
                <w:rFonts w:hint="eastAsia" w:ascii="Times New Roman" w:hAnsi="Times New Roman" w:cs="Times New Roman"/>
                <w:color w:val="auto"/>
                <w:szCs w:val="21"/>
                <w:lang w:val="en-US" w:eastAsia="zh-CN"/>
              </w:rPr>
              <w:t>S3</w:t>
            </w:r>
            <w:r>
              <w:rPr>
                <w:rFonts w:hint="default" w:ascii="Times New Roman" w:hAnsi="Times New Roman" w:cs="Times New Roman"/>
                <w:color w:val="auto"/>
                <w:szCs w:val="21"/>
              </w:rPr>
              <w:t>。</w:t>
            </w:r>
          </w:p>
          <w:p w14:paraId="4E5761B0">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废包装材料S</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w:t>
            </w:r>
            <w:r>
              <w:rPr>
                <w:rFonts w:hint="default" w:ascii="Times New Roman" w:hAnsi="Times New Roman" w:cs="Times New Roman"/>
                <w:color w:val="auto"/>
                <w:szCs w:val="21"/>
              </w:rPr>
              <w:t>主要为编织袋、塑料袋等，产生量约</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t/a，</w:t>
            </w:r>
            <w:r>
              <w:rPr>
                <w:rFonts w:hint="default" w:ascii="Times New Roman" w:hAnsi="Times New Roman" w:cs="Times New Roman"/>
                <w:snapToGrid w:val="0"/>
                <w:color w:val="auto"/>
                <w:kern w:val="0"/>
                <w:szCs w:val="21"/>
              </w:rPr>
              <w:t>一般固体废物代码为</w:t>
            </w:r>
            <w:r>
              <w:rPr>
                <w:rFonts w:hint="default" w:ascii="Times New Roman" w:hAnsi="Times New Roman" w:cs="Times New Roman"/>
                <w:snapToGrid w:val="0"/>
                <w:color w:val="auto"/>
                <w:kern w:val="0"/>
                <w:szCs w:val="21"/>
                <w:lang w:val="en-US" w:eastAsia="zh-CN"/>
              </w:rPr>
              <w:t>900-003-S17</w:t>
            </w:r>
            <w:r>
              <w:rPr>
                <w:rFonts w:hint="default" w:ascii="Times New Roman" w:hAnsi="Times New Roman" w:cs="Times New Roman"/>
                <w:snapToGrid w:val="0"/>
                <w:color w:val="auto"/>
                <w:kern w:val="0"/>
                <w:szCs w:val="21"/>
              </w:rPr>
              <w:t>，</w:t>
            </w:r>
            <w:r>
              <w:rPr>
                <w:rFonts w:hint="default" w:ascii="Times New Roman" w:hAnsi="Times New Roman" w:cs="Times New Roman"/>
                <w:color w:val="auto"/>
                <w:szCs w:val="21"/>
              </w:rPr>
              <w:t>集中收集后交由废品回收单位处理。</w:t>
            </w:r>
          </w:p>
          <w:p w14:paraId="51694373">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bCs/>
                <w:color w:val="auto"/>
                <w:szCs w:val="21"/>
                <w:lang w:val="en-US" w:eastAsia="zh-CN"/>
              </w:rPr>
              <w:t>边角料S2：</w:t>
            </w: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塑料制品修边</w:t>
            </w:r>
            <w:r>
              <w:rPr>
                <w:rFonts w:hint="default" w:ascii="Times New Roman" w:hAnsi="Times New Roman" w:cs="Times New Roman"/>
                <w:color w:val="auto"/>
                <w:szCs w:val="21"/>
              </w:rPr>
              <w:t>过程中以及更换模具时模具</w:t>
            </w:r>
            <w:r>
              <w:rPr>
                <w:rFonts w:hint="eastAsia" w:ascii="Times New Roman" w:hAnsi="Times New Roman" w:cs="Times New Roman"/>
                <w:color w:val="auto"/>
                <w:szCs w:val="21"/>
                <w:lang w:eastAsia="zh-CN"/>
              </w:rPr>
              <w:t>内侧</w:t>
            </w:r>
            <w:r>
              <w:rPr>
                <w:rFonts w:hint="default" w:ascii="Times New Roman" w:hAnsi="Times New Roman" w:cs="Times New Roman"/>
                <w:color w:val="auto"/>
                <w:szCs w:val="21"/>
                <w:lang w:val="en-US" w:eastAsia="zh-CN"/>
              </w:rPr>
              <w:t>会产生废边角</w:t>
            </w:r>
            <w:r>
              <w:rPr>
                <w:rFonts w:hint="default" w:ascii="Times New Roman" w:hAnsi="Times New Roman" w:cs="Times New Roman"/>
                <w:color w:val="auto"/>
                <w:szCs w:val="21"/>
              </w:rPr>
              <w:t>料，</w:t>
            </w:r>
            <w:r>
              <w:rPr>
                <w:rFonts w:hint="default" w:ascii="Times New Roman" w:hAnsi="Times New Roman" w:cs="Times New Roman"/>
                <w:color w:val="auto"/>
                <w:szCs w:val="21"/>
                <w:lang w:val="en-US" w:eastAsia="zh-CN"/>
              </w:rPr>
              <w:t>根据业主现有生产经验，</w:t>
            </w:r>
            <w:r>
              <w:rPr>
                <w:rFonts w:hint="default" w:ascii="Times New Roman" w:hAnsi="Times New Roman" w:cs="Times New Roman"/>
                <w:color w:val="auto"/>
                <w:szCs w:val="21"/>
              </w:rPr>
              <w:t>废边角料</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废塑料材料</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产生量约</w:t>
            </w:r>
            <w:r>
              <w:rPr>
                <w:rFonts w:hint="eastAsia" w:ascii="Times New Roman" w:hAnsi="Times New Roman" w:cs="Times New Roman"/>
                <w:color w:val="auto"/>
                <w:szCs w:val="21"/>
                <w:lang w:val="en-US" w:eastAsia="zh-CN"/>
              </w:rPr>
              <w:t>40</w:t>
            </w:r>
            <w:r>
              <w:rPr>
                <w:rFonts w:hint="default" w:ascii="Times New Roman" w:hAnsi="Times New Roman" w:cs="Times New Roman"/>
                <w:color w:val="auto"/>
                <w:szCs w:val="21"/>
                <w:lang w:val="en-US" w:eastAsia="zh-CN"/>
              </w:rPr>
              <w:t>t/a，</w:t>
            </w:r>
            <w:r>
              <w:rPr>
                <w:rFonts w:hint="default" w:ascii="Times New Roman" w:hAnsi="Times New Roman" w:cs="Times New Roman"/>
                <w:snapToGrid w:val="0"/>
                <w:color w:val="auto"/>
                <w:kern w:val="0"/>
                <w:szCs w:val="21"/>
              </w:rPr>
              <w:t>一般固体废物代码为</w:t>
            </w:r>
            <w:r>
              <w:rPr>
                <w:rFonts w:hint="default" w:ascii="Times New Roman" w:hAnsi="Times New Roman" w:cs="Times New Roman"/>
                <w:snapToGrid w:val="0"/>
                <w:color w:val="auto"/>
                <w:kern w:val="0"/>
                <w:szCs w:val="21"/>
                <w:lang w:val="en-US" w:eastAsia="zh-CN"/>
              </w:rPr>
              <w:t>900-003-S17</w:t>
            </w:r>
            <w:r>
              <w:rPr>
                <w:rFonts w:hint="default" w:ascii="Times New Roman" w:hAnsi="Times New Roman" w:cs="Times New Roman"/>
                <w:snapToGrid w:val="0"/>
                <w:color w:val="auto"/>
                <w:kern w:val="0"/>
                <w:szCs w:val="21"/>
                <w:lang w:eastAsia="zh-CN"/>
              </w:rPr>
              <w:t>，</w:t>
            </w:r>
            <w:r>
              <w:rPr>
                <w:rFonts w:hint="default" w:ascii="Times New Roman" w:hAnsi="Times New Roman" w:cs="Times New Roman"/>
                <w:color w:val="auto"/>
                <w:szCs w:val="21"/>
                <w:lang w:val="en-US" w:eastAsia="zh-CN"/>
              </w:rPr>
              <w:t>经破碎机破碎以后回用于生产线。</w:t>
            </w:r>
          </w:p>
          <w:p w14:paraId="45295644">
            <w:pPr>
              <w:adjustRightInd w:val="0"/>
              <w:snapToGrid w:val="0"/>
              <w:spacing w:line="360" w:lineRule="auto"/>
              <w:ind w:firstLine="422" w:firstLineChars="200"/>
              <w:rPr>
                <w:rFonts w:hint="default" w:ascii="Times New Roman" w:hAnsi="Times New Roman" w:cs="Times New Roman"/>
                <w:b w:val="0"/>
                <w:bCs w:val="0"/>
                <w:color w:val="auto"/>
                <w:szCs w:val="21"/>
                <w:lang w:val="en-US" w:eastAsia="zh-CN"/>
              </w:rPr>
            </w:pPr>
            <w:r>
              <w:rPr>
                <w:rFonts w:hint="default" w:ascii="Times New Roman" w:hAnsi="Times New Roman" w:cs="Times New Roman"/>
                <w:b/>
                <w:color w:val="auto"/>
                <w:szCs w:val="21"/>
              </w:rPr>
              <w:t>不合格产品S</w:t>
            </w: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w:t>
            </w:r>
            <w:r>
              <w:rPr>
                <w:rFonts w:hint="default" w:ascii="Times New Roman" w:hAnsi="Times New Roman" w:cs="Times New Roman"/>
                <w:b w:val="0"/>
                <w:bCs w:val="0"/>
                <w:color w:val="auto"/>
                <w:szCs w:val="21"/>
              </w:rPr>
              <w:t>本项目</w:t>
            </w:r>
            <w:r>
              <w:rPr>
                <w:rFonts w:hint="default" w:ascii="Times New Roman" w:hAnsi="Times New Roman" w:cs="Times New Roman"/>
                <w:b w:val="0"/>
                <w:bCs w:val="0"/>
                <w:color w:val="auto"/>
                <w:szCs w:val="21"/>
                <w:lang w:val="en-US" w:eastAsia="zh-CN"/>
              </w:rPr>
              <w:t>塑料制品检验</w:t>
            </w:r>
            <w:r>
              <w:rPr>
                <w:rFonts w:hint="default" w:ascii="Times New Roman" w:hAnsi="Times New Roman" w:cs="Times New Roman"/>
                <w:b w:val="0"/>
                <w:bCs w:val="0"/>
                <w:color w:val="auto"/>
                <w:szCs w:val="21"/>
              </w:rPr>
              <w:t>过程中</w:t>
            </w:r>
            <w:r>
              <w:rPr>
                <w:rFonts w:hint="default" w:ascii="Times New Roman" w:hAnsi="Times New Roman" w:cs="Times New Roman"/>
                <w:b w:val="0"/>
                <w:bCs w:val="0"/>
                <w:color w:val="auto"/>
                <w:szCs w:val="21"/>
                <w:lang w:val="en-US" w:eastAsia="zh-CN"/>
              </w:rPr>
              <w:t>会产生废边角</w:t>
            </w:r>
            <w:r>
              <w:rPr>
                <w:rFonts w:hint="default" w:ascii="Times New Roman" w:hAnsi="Times New Roman" w:cs="Times New Roman"/>
                <w:b w:val="0"/>
                <w:bCs w:val="0"/>
                <w:color w:val="auto"/>
                <w:szCs w:val="21"/>
              </w:rPr>
              <w:t>料，</w:t>
            </w:r>
            <w:r>
              <w:rPr>
                <w:rFonts w:hint="default" w:ascii="Times New Roman" w:hAnsi="Times New Roman" w:cs="Times New Roman"/>
                <w:b w:val="0"/>
                <w:bCs w:val="0"/>
                <w:color w:val="auto"/>
                <w:szCs w:val="21"/>
                <w:lang w:val="en-US" w:eastAsia="zh-CN"/>
              </w:rPr>
              <w:t>根据业主</w:t>
            </w:r>
            <w:r>
              <w:rPr>
                <w:rFonts w:hint="eastAsia" w:ascii="Times New Roman" w:hAnsi="Times New Roman" w:cs="Times New Roman"/>
                <w:b w:val="0"/>
                <w:bCs w:val="0"/>
                <w:color w:val="auto"/>
                <w:szCs w:val="21"/>
                <w:lang w:val="en-US" w:eastAsia="zh-CN"/>
              </w:rPr>
              <w:t>提供资料</w:t>
            </w:r>
            <w:r>
              <w:rPr>
                <w:rFonts w:hint="default"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rPr>
              <w:t>不合格产品</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废塑料材料</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产生量约1</w:t>
            </w:r>
            <w:r>
              <w:rPr>
                <w:rFonts w:hint="eastAsia" w:ascii="Times New Roman" w:hAnsi="Times New Roman" w:cs="Times New Roman"/>
                <w:b w:val="0"/>
                <w:bCs w:val="0"/>
                <w:color w:val="auto"/>
                <w:szCs w:val="21"/>
                <w:lang w:val="en-US" w:eastAsia="zh-CN"/>
              </w:rPr>
              <w:t>0</w:t>
            </w:r>
            <w:r>
              <w:rPr>
                <w:rFonts w:hint="default" w:ascii="Times New Roman" w:hAnsi="Times New Roman" w:cs="Times New Roman"/>
                <w:b w:val="0"/>
                <w:bCs w:val="0"/>
                <w:color w:val="auto"/>
                <w:szCs w:val="21"/>
                <w:lang w:val="en-US" w:eastAsia="zh-CN"/>
              </w:rPr>
              <w:t>t/a，</w:t>
            </w:r>
            <w:r>
              <w:rPr>
                <w:rFonts w:hint="default" w:ascii="Times New Roman" w:hAnsi="Times New Roman" w:cs="Times New Roman"/>
                <w:b w:val="0"/>
                <w:bCs w:val="0"/>
                <w:snapToGrid w:val="0"/>
                <w:color w:val="auto"/>
                <w:kern w:val="0"/>
                <w:szCs w:val="21"/>
              </w:rPr>
              <w:t>一般固体废物代码为</w:t>
            </w:r>
            <w:r>
              <w:rPr>
                <w:rFonts w:hint="default" w:ascii="Times New Roman" w:hAnsi="Times New Roman" w:cs="Times New Roman"/>
                <w:snapToGrid w:val="0"/>
                <w:color w:val="auto"/>
                <w:kern w:val="0"/>
                <w:szCs w:val="21"/>
                <w:lang w:val="en-US" w:eastAsia="zh-CN"/>
              </w:rPr>
              <w:t>900-003-S17</w:t>
            </w:r>
            <w:r>
              <w:rPr>
                <w:rFonts w:hint="default" w:ascii="Times New Roman" w:hAnsi="Times New Roman" w:cs="Times New Roman"/>
                <w:b w:val="0"/>
                <w:bCs w:val="0"/>
                <w:snapToGrid w:val="0"/>
                <w:color w:val="auto"/>
                <w:kern w:val="0"/>
                <w:szCs w:val="21"/>
                <w:lang w:eastAsia="zh-CN"/>
              </w:rPr>
              <w:t>，</w:t>
            </w:r>
            <w:r>
              <w:rPr>
                <w:rFonts w:hint="default" w:ascii="Times New Roman" w:hAnsi="Times New Roman" w:cs="Times New Roman"/>
                <w:b w:val="0"/>
                <w:bCs w:val="0"/>
                <w:color w:val="auto"/>
                <w:szCs w:val="21"/>
                <w:lang w:val="en-US" w:eastAsia="zh-CN"/>
              </w:rPr>
              <w:t>经破碎机破碎以后回用于生产线。</w:t>
            </w:r>
          </w:p>
          <w:p w14:paraId="143EF30D">
            <w:pPr>
              <w:pStyle w:val="14"/>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②危险废物</w:t>
            </w:r>
          </w:p>
          <w:p w14:paraId="462A8473">
            <w:pPr>
              <w:pStyle w:val="14"/>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本项目危险废物主要为</w:t>
            </w:r>
            <w:r>
              <w:rPr>
                <w:rFonts w:hint="eastAsia" w:ascii="Times New Roman" w:hAnsi="Times New Roman" w:cs="Times New Roman"/>
                <w:color w:val="auto"/>
                <w:szCs w:val="21"/>
                <w:lang w:eastAsia="zh-CN"/>
              </w:rPr>
              <w:t>废油桶</w:t>
            </w:r>
            <w:r>
              <w:rPr>
                <w:rFonts w:hint="default" w:ascii="Times New Roman" w:hAnsi="Times New Roman" w:cs="Times New Roman"/>
                <w:color w:val="auto"/>
                <w:szCs w:val="21"/>
                <w:lang w:eastAsia="zh-CN"/>
              </w:rPr>
              <w:t>、废矿物油、废含油棉纱和手套、废活性炭、废过滤棉、空压机含油冷凝液</w:t>
            </w:r>
            <w:r>
              <w:rPr>
                <w:rFonts w:hint="default" w:ascii="Times New Roman" w:hAnsi="Times New Roman" w:cs="Times New Roman"/>
                <w:color w:val="auto"/>
                <w:szCs w:val="21"/>
              </w:rPr>
              <w:t>。</w:t>
            </w:r>
          </w:p>
          <w:p w14:paraId="1AD5F8C4">
            <w:pPr>
              <w:spacing w:line="360" w:lineRule="auto"/>
              <w:ind w:firstLine="422" w:firstLineChars="200"/>
              <w:rPr>
                <w:rFonts w:hint="default" w:ascii="Times New Roman" w:hAnsi="Times New Roman" w:eastAsia="宋体" w:cs="Times New Roman"/>
                <w:color w:val="auto"/>
                <w:szCs w:val="21"/>
              </w:rPr>
            </w:pPr>
            <w:r>
              <w:rPr>
                <w:rFonts w:hint="eastAsia" w:cs="Times New Roman"/>
                <w:b/>
                <w:bCs/>
                <w:color w:val="auto"/>
                <w:szCs w:val="21"/>
                <w:lang w:val="en-US" w:eastAsia="zh-CN"/>
              </w:rPr>
              <w:t>废油桶</w:t>
            </w:r>
            <w:r>
              <w:rPr>
                <w:rFonts w:hint="default" w:ascii="Times New Roman" w:hAnsi="Times New Roman" w:cs="Times New Roman"/>
                <w:b/>
                <w:bCs/>
                <w:color w:val="auto"/>
                <w:szCs w:val="21"/>
                <w:lang w:val="en-US" w:eastAsia="zh-CN"/>
              </w:rPr>
              <w:t>：</w:t>
            </w:r>
            <w:r>
              <w:rPr>
                <w:rFonts w:hint="default" w:ascii="Times New Roman" w:hAnsi="Times New Roman" w:cs="Times New Roman"/>
                <w:color w:val="auto"/>
                <w:szCs w:val="21"/>
              </w:rPr>
              <w:t>本项目生产过程中将产生废润滑油桶、废空压机油桶、废</w:t>
            </w:r>
            <w:r>
              <w:rPr>
                <w:rFonts w:hint="default" w:ascii="Times New Roman" w:hAnsi="Times New Roman" w:cs="Times New Roman"/>
                <w:color w:val="auto"/>
                <w:szCs w:val="21"/>
                <w:lang w:eastAsia="zh-CN"/>
              </w:rPr>
              <w:t>液压</w:t>
            </w:r>
            <w:r>
              <w:rPr>
                <w:rFonts w:hint="default" w:ascii="Times New Roman" w:hAnsi="Times New Roman" w:cs="Times New Roman"/>
                <w:color w:val="auto"/>
                <w:szCs w:val="21"/>
              </w:rPr>
              <w:t>油桶</w:t>
            </w:r>
            <w:r>
              <w:rPr>
                <w:rFonts w:hint="default" w:ascii="Times New Roman" w:hAnsi="Times New Roman" w:cs="Times New Roman"/>
                <w:color w:val="auto"/>
                <w:szCs w:val="21"/>
                <w:lang w:eastAsia="zh-CN"/>
              </w:rPr>
              <w:t>等</w:t>
            </w:r>
            <w:r>
              <w:rPr>
                <w:rFonts w:hint="default" w:ascii="Times New Roman" w:hAnsi="Times New Roman" w:cs="Times New Roman"/>
                <w:color w:val="auto"/>
                <w:szCs w:val="21"/>
              </w:rPr>
              <w:t>，根据</w:t>
            </w:r>
            <w:r>
              <w:rPr>
                <w:rFonts w:hint="default" w:ascii="Times New Roman" w:hAnsi="Times New Roman" w:cs="Times New Roman"/>
                <w:color w:val="auto"/>
                <w:szCs w:val="21"/>
                <w:lang w:val="en-US" w:eastAsia="zh-CN"/>
              </w:rPr>
              <w:t>原辅材料一览表可</w:t>
            </w:r>
            <w:r>
              <w:rPr>
                <w:rFonts w:hint="default" w:ascii="Times New Roman" w:hAnsi="Times New Roman" w:cs="Times New Roman"/>
                <w:color w:val="auto"/>
                <w:szCs w:val="21"/>
              </w:rPr>
              <w:t>知，本项目润滑油</w:t>
            </w:r>
            <w:r>
              <w:rPr>
                <w:rFonts w:hint="default" w:ascii="Times New Roman" w:hAnsi="Times New Roman" w:eastAsia="宋体" w:cs="Times New Roman"/>
                <w:color w:val="auto"/>
                <w:szCs w:val="21"/>
              </w:rPr>
              <w:t>、液压油合计约</w:t>
            </w:r>
            <w:r>
              <w:rPr>
                <w:rFonts w:hint="eastAsia" w:ascii="Times New Roman" w:hAnsi="Times New Roman" w:cs="Times New Roman"/>
                <w:color w:val="auto"/>
                <w:szCs w:val="21"/>
                <w:lang w:val="en-US" w:eastAsia="zh-CN"/>
              </w:rPr>
              <w:t>4</w:t>
            </w:r>
            <w:r>
              <w:rPr>
                <w:rFonts w:hint="default" w:ascii="Times New Roman" w:hAnsi="Times New Roman" w:eastAsia="宋体" w:cs="Times New Roman"/>
                <w:color w:val="auto"/>
                <w:szCs w:val="21"/>
              </w:rPr>
              <w:t>桶，考虑单个空桶平均重量约1</w:t>
            </w:r>
            <w:r>
              <w:rPr>
                <w:rFonts w:hint="eastAsia" w:ascii="Times New Roman" w:hAnsi="Times New Roman" w:cs="Times New Roman"/>
                <w:color w:val="auto"/>
                <w:szCs w:val="21"/>
                <w:lang w:val="en-US" w:eastAsia="zh-CN"/>
              </w:rPr>
              <w:t>0</w:t>
            </w:r>
            <w:r>
              <w:rPr>
                <w:rFonts w:hint="default" w:ascii="Times New Roman" w:hAnsi="Times New Roman" w:eastAsia="宋体" w:cs="Times New Roman"/>
                <w:color w:val="auto"/>
                <w:szCs w:val="21"/>
              </w:rPr>
              <w:t>kg，</w:t>
            </w:r>
            <w:r>
              <w:rPr>
                <w:rFonts w:hint="eastAsia" w:ascii="Times New Roman" w:hAnsi="Times New Roman" w:cs="Times New Roman"/>
                <w:color w:val="auto"/>
                <w:szCs w:val="21"/>
                <w:lang w:eastAsia="zh-CN"/>
              </w:rPr>
              <w:t>空压机油</w:t>
            </w:r>
            <w:r>
              <w:rPr>
                <w:rFonts w:hint="default" w:ascii="Times New Roman" w:hAnsi="Times New Roman" w:eastAsia="宋体" w:cs="Times New Roman"/>
                <w:color w:val="auto"/>
                <w:szCs w:val="21"/>
              </w:rPr>
              <w:t>约</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桶，考虑单个空桶平均重量约1kg则</w:t>
            </w:r>
            <w:r>
              <w:rPr>
                <w:rFonts w:hint="eastAsia" w:cs="Times New Roman"/>
                <w:color w:val="auto"/>
                <w:szCs w:val="21"/>
                <w:lang w:eastAsia="zh-CN"/>
              </w:rPr>
              <w:t>废油桶</w:t>
            </w:r>
            <w:r>
              <w:rPr>
                <w:rFonts w:hint="default" w:ascii="Times New Roman" w:hAnsi="Times New Roman" w:eastAsia="宋体" w:cs="Times New Roman"/>
                <w:color w:val="auto"/>
                <w:szCs w:val="21"/>
              </w:rPr>
              <w:t>产生量约</w:t>
            </w: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42</w:t>
            </w:r>
            <w:r>
              <w:rPr>
                <w:rFonts w:hint="default" w:ascii="Times New Roman" w:hAnsi="Times New Roman" w:eastAsia="宋体" w:cs="Times New Roman"/>
                <w:color w:val="auto"/>
                <w:szCs w:val="21"/>
              </w:rPr>
              <w:t>t/a，属于危险废物，代码：HW49</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900-041-49，交由有危废处理资质单位处理。</w:t>
            </w:r>
          </w:p>
          <w:p w14:paraId="42077A13">
            <w:pPr>
              <w:pStyle w:val="7"/>
              <w:spacing w:line="360" w:lineRule="auto"/>
              <w:ind w:firstLine="422"/>
              <w:rPr>
                <w:rFonts w:hint="default" w:ascii="Times New Roman" w:hAnsi="Times New Roman" w:eastAsia="宋体" w:cs="Times New Roman"/>
                <w:color w:val="auto"/>
                <w:szCs w:val="21"/>
              </w:rPr>
            </w:pPr>
            <w:r>
              <w:rPr>
                <w:rFonts w:hint="default" w:ascii="Times New Roman" w:hAnsi="Times New Roman" w:eastAsia="宋体" w:cs="Times New Roman"/>
                <w:b/>
                <w:bCs/>
                <w:snapToGrid w:val="0"/>
                <w:color w:val="auto"/>
                <w:kern w:val="0"/>
                <w:szCs w:val="21"/>
              </w:rPr>
              <w:t>废矿物油</w:t>
            </w:r>
            <w:r>
              <w:rPr>
                <w:rFonts w:hint="default" w:ascii="Times New Roman" w:hAnsi="Times New Roman" w:eastAsia="宋体" w:cs="Times New Roman"/>
                <w:snapToGrid w:val="0"/>
                <w:color w:val="auto"/>
                <w:kern w:val="0"/>
                <w:szCs w:val="21"/>
              </w:rPr>
              <w:t>：根据建设单位介绍，设备维修保养过程中将更换液压油、润滑油</w:t>
            </w:r>
            <w:r>
              <w:rPr>
                <w:rFonts w:hint="default" w:ascii="Times New Roman" w:hAnsi="Times New Roman" w:eastAsia="宋体" w:cs="Times New Roman"/>
                <w:snapToGrid w:val="0"/>
                <w:color w:val="auto"/>
                <w:kern w:val="0"/>
                <w:szCs w:val="21"/>
                <w:lang w:eastAsia="zh-CN"/>
              </w:rPr>
              <w:t>、</w:t>
            </w:r>
            <w:r>
              <w:rPr>
                <w:rFonts w:hint="default" w:ascii="Times New Roman" w:hAnsi="Times New Roman" w:eastAsia="宋体" w:cs="Times New Roman"/>
                <w:snapToGrid w:val="0"/>
                <w:color w:val="auto"/>
                <w:kern w:val="0"/>
                <w:szCs w:val="21"/>
                <w:lang w:val="en-US" w:eastAsia="zh-CN"/>
              </w:rPr>
              <w:t>空压机油</w:t>
            </w:r>
            <w:r>
              <w:rPr>
                <w:rFonts w:hint="default" w:ascii="Times New Roman" w:hAnsi="Times New Roman" w:eastAsia="宋体" w:cs="Times New Roman"/>
                <w:snapToGrid w:val="0"/>
                <w:color w:val="auto"/>
                <w:kern w:val="0"/>
                <w:szCs w:val="21"/>
              </w:rPr>
              <w:t>等，更换下来的废矿物油属于《国家危险废物名录》（HW08 900-249-08），</w:t>
            </w:r>
            <w:r>
              <w:rPr>
                <w:rFonts w:hint="default" w:ascii="Times New Roman" w:hAnsi="Times New Roman" w:eastAsia="宋体" w:cs="Times New Roman"/>
                <w:color w:val="auto"/>
                <w:szCs w:val="21"/>
              </w:rPr>
              <w:t>根据</w:t>
            </w:r>
            <w:r>
              <w:rPr>
                <w:rFonts w:hint="default" w:ascii="Times New Roman" w:hAnsi="Times New Roman" w:eastAsia="宋体" w:cs="Times New Roman"/>
                <w:color w:val="auto"/>
                <w:szCs w:val="21"/>
                <w:lang w:val="en-US" w:eastAsia="zh-CN"/>
              </w:rPr>
              <w:t>原辅材料一览表可</w:t>
            </w:r>
            <w:r>
              <w:rPr>
                <w:rFonts w:hint="default" w:ascii="Times New Roman" w:hAnsi="Times New Roman" w:eastAsia="宋体" w:cs="Times New Roman"/>
                <w:color w:val="auto"/>
                <w:szCs w:val="21"/>
              </w:rPr>
              <w:t>知</w:t>
            </w:r>
            <w:r>
              <w:rPr>
                <w:rFonts w:hint="default" w:ascii="Times New Roman" w:hAnsi="Times New Roman" w:eastAsia="宋体" w:cs="Times New Roman"/>
                <w:color w:val="auto"/>
                <w:szCs w:val="21"/>
                <w:lang w:eastAsia="zh-CN"/>
              </w:rPr>
              <w:t>，废矿物油</w:t>
            </w:r>
            <w:r>
              <w:rPr>
                <w:rFonts w:hint="default" w:ascii="Times New Roman" w:hAnsi="Times New Roman" w:eastAsia="宋体" w:cs="Times New Roman"/>
                <w:snapToGrid w:val="0"/>
                <w:color w:val="auto"/>
                <w:kern w:val="0"/>
                <w:szCs w:val="21"/>
              </w:rPr>
              <w:t>产生量约为</w:t>
            </w:r>
            <w:r>
              <w:rPr>
                <w:rFonts w:hint="eastAsia" w:ascii="Times New Roman" w:hAnsi="Times New Roman" w:cs="Times New Roman"/>
                <w:snapToGrid w:val="0"/>
                <w:color w:val="auto"/>
                <w:kern w:val="0"/>
                <w:szCs w:val="21"/>
                <w:lang w:val="en-US" w:eastAsia="zh-CN"/>
              </w:rPr>
              <w:t>0.74</w:t>
            </w:r>
            <w:r>
              <w:rPr>
                <w:rFonts w:hint="default" w:ascii="Times New Roman" w:hAnsi="Times New Roman" w:eastAsia="宋体" w:cs="Times New Roman"/>
                <w:snapToGrid w:val="0"/>
                <w:color w:val="auto"/>
                <w:kern w:val="0"/>
                <w:szCs w:val="21"/>
              </w:rPr>
              <w:t>t/a，废矿物油经专用容器密封，底部设置托盘，收集存放于</w:t>
            </w:r>
            <w:r>
              <w:rPr>
                <w:rFonts w:hint="eastAsia" w:ascii="Times New Roman" w:hAnsi="Times New Roman" w:cs="Times New Roman"/>
                <w:snapToGrid w:val="0"/>
                <w:color w:val="auto"/>
                <w:kern w:val="0"/>
                <w:szCs w:val="21"/>
                <w:lang w:eastAsia="zh-CN"/>
              </w:rPr>
              <w:t>危险废物贮存库</w:t>
            </w:r>
            <w:r>
              <w:rPr>
                <w:rFonts w:hint="default" w:ascii="Times New Roman" w:hAnsi="Times New Roman" w:eastAsia="宋体" w:cs="Times New Roman"/>
                <w:snapToGrid w:val="0"/>
                <w:color w:val="auto"/>
                <w:kern w:val="0"/>
                <w:szCs w:val="21"/>
              </w:rPr>
              <w:t>，定期交由有危废处理资质的单位回收处理。</w:t>
            </w:r>
          </w:p>
          <w:p w14:paraId="69F4AA3A">
            <w:pPr>
              <w:spacing w:line="360" w:lineRule="auto"/>
              <w:ind w:firstLine="422" w:firstLineChars="200"/>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废含油棉纱和手套：</w:t>
            </w:r>
            <w:r>
              <w:rPr>
                <w:rFonts w:hint="default" w:ascii="Times New Roman" w:hAnsi="Times New Roman" w:eastAsia="宋体" w:cs="Times New Roman"/>
                <w:snapToGrid w:val="0"/>
                <w:color w:val="auto"/>
                <w:kern w:val="0"/>
                <w:szCs w:val="21"/>
              </w:rPr>
              <w:t>项目设备运行过程中会产生少量废含油棉纱和手套，属于危险废物（HW49 900-041-49），产生量约0.01t/a，</w:t>
            </w:r>
            <w:r>
              <w:rPr>
                <w:rFonts w:hint="default" w:ascii="Times New Roman" w:hAnsi="Times New Roman" w:eastAsia="宋体" w:cs="Times New Roman"/>
                <w:color w:val="auto"/>
                <w:szCs w:val="21"/>
              </w:rPr>
              <w:t>桶装收集后暂存于</w:t>
            </w:r>
            <w:r>
              <w:rPr>
                <w:rFonts w:hint="eastAsia" w:ascii="Times New Roman" w:hAnsi="Times New Roman" w:cs="Times New Roman"/>
                <w:color w:val="auto"/>
                <w:szCs w:val="21"/>
                <w:lang w:eastAsia="zh-CN"/>
              </w:rPr>
              <w:t>危险废物贮存库</w:t>
            </w:r>
            <w:r>
              <w:rPr>
                <w:rFonts w:hint="default" w:ascii="Times New Roman" w:hAnsi="Times New Roman" w:eastAsia="宋体" w:cs="Times New Roman"/>
                <w:color w:val="auto"/>
                <w:szCs w:val="21"/>
              </w:rPr>
              <w:t>，定期交有资质单位处置。</w:t>
            </w:r>
          </w:p>
          <w:p w14:paraId="5AF26E19">
            <w:pPr>
              <w:pStyle w:val="7"/>
              <w:spacing w:line="360" w:lineRule="auto"/>
              <w:ind w:firstLine="422"/>
              <w:rPr>
                <w:rFonts w:hint="default" w:ascii="Times New Roman" w:hAnsi="Times New Roman" w:eastAsia="宋体" w:cs="Times New Roman"/>
                <w:b/>
                <w:bCs/>
                <w:snapToGrid w:val="0"/>
                <w:color w:val="auto"/>
                <w:kern w:val="0"/>
                <w:szCs w:val="21"/>
                <w:lang w:val="en-US" w:eastAsia="zh-CN"/>
              </w:rPr>
            </w:pPr>
            <w:r>
              <w:rPr>
                <w:rFonts w:hint="default" w:ascii="Times New Roman" w:hAnsi="Times New Roman" w:eastAsia="宋体" w:cs="Times New Roman"/>
                <w:b/>
                <w:color w:val="auto"/>
                <w:szCs w:val="21"/>
              </w:rPr>
              <w:t>空压机含油冷凝液：</w:t>
            </w:r>
            <w:r>
              <w:rPr>
                <w:rFonts w:hint="eastAsia" w:ascii="Times New Roman" w:hAnsi="Times New Roman" w:cs="Times New Roman"/>
                <w:bCs/>
                <w:color w:val="auto"/>
                <w:spacing w:val="-10"/>
                <w:szCs w:val="21"/>
                <w:lang w:eastAsia="zh-CN"/>
              </w:rPr>
              <w:t>空压机</w:t>
            </w:r>
            <w:r>
              <w:rPr>
                <w:rFonts w:hint="default" w:ascii="Times New Roman" w:hAnsi="Times New Roman" w:eastAsia="宋体" w:cs="Times New Roman"/>
                <w:bCs/>
                <w:color w:val="auto"/>
                <w:spacing w:val="-10"/>
                <w:szCs w:val="21"/>
              </w:rPr>
              <w:t>在运行过程中将产生少量高浓度</w:t>
            </w:r>
            <w:r>
              <w:rPr>
                <w:rFonts w:hint="default" w:ascii="Times New Roman" w:hAnsi="Times New Roman" w:eastAsia="宋体" w:cs="Times New Roman"/>
                <w:color w:val="auto"/>
                <w:szCs w:val="21"/>
              </w:rPr>
              <w:t>含油冷凝液</w:t>
            </w:r>
            <w:r>
              <w:rPr>
                <w:rFonts w:hint="default" w:ascii="Times New Roman" w:hAnsi="Times New Roman" w:eastAsia="宋体" w:cs="Times New Roman"/>
                <w:bCs/>
                <w:color w:val="auto"/>
                <w:spacing w:val="-10"/>
                <w:szCs w:val="21"/>
              </w:rPr>
              <w:t>，产生量约0.05t/a，属于危险废物，代码：HW09 900-007-09，采用专门的容器进行收集后定期交由有危废处理资质单位处理。</w:t>
            </w:r>
          </w:p>
          <w:p w14:paraId="191709FB">
            <w:pPr>
              <w:spacing w:line="360" w:lineRule="auto"/>
              <w:ind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bCs/>
                <w:i w:val="0"/>
                <w:iCs w:val="0"/>
                <w:color w:val="auto"/>
              </w:rPr>
              <w:t>废过滤棉</w:t>
            </w:r>
            <w:r>
              <w:rPr>
                <w:rFonts w:hint="default" w:ascii="Times New Roman" w:hAnsi="Times New Roman" w:eastAsia="宋体" w:cs="Times New Roman"/>
                <w:b/>
                <w:bCs/>
                <w:i w:val="0"/>
                <w:iCs w:val="0"/>
                <w:color w:val="auto"/>
                <w:lang w:eastAsia="zh-CN"/>
              </w:rPr>
              <w:t>：</w:t>
            </w:r>
            <w:r>
              <w:rPr>
                <w:rFonts w:hint="default" w:ascii="Times New Roman" w:hAnsi="Times New Roman" w:eastAsia="宋体" w:cs="Times New Roman"/>
                <w:color w:val="auto"/>
              </w:rPr>
              <w:t>本项目处理</w:t>
            </w:r>
            <w:r>
              <w:rPr>
                <w:rFonts w:hint="default" w:ascii="Times New Roman" w:hAnsi="Times New Roman" w:eastAsia="宋体" w:cs="Times New Roman"/>
                <w:color w:val="auto"/>
                <w:lang w:eastAsia="zh-CN"/>
              </w:rPr>
              <w:t>有机</w:t>
            </w:r>
            <w:r>
              <w:rPr>
                <w:rFonts w:hint="default" w:ascii="Times New Roman" w:hAnsi="Times New Roman" w:eastAsia="宋体" w:cs="Times New Roman"/>
                <w:color w:val="auto"/>
              </w:rPr>
              <w:t>废气时采用</w:t>
            </w:r>
            <w:r>
              <w:rPr>
                <w:rFonts w:hint="default" w:ascii="Times New Roman" w:hAnsi="Times New Roman" w:eastAsia="宋体" w:cs="Times New Roman"/>
                <w:color w:val="auto"/>
                <w:lang w:val="en-US" w:eastAsia="zh-CN"/>
              </w:rPr>
              <w:t>过滤棉+两级活性炭</w:t>
            </w:r>
            <w:r>
              <w:rPr>
                <w:rFonts w:hint="default" w:ascii="Times New Roman" w:hAnsi="Times New Roman" w:eastAsia="宋体" w:cs="Times New Roman"/>
                <w:color w:val="auto"/>
                <w:lang w:eastAsia="zh-CN"/>
              </w:rPr>
              <w:t>吸附装置</w:t>
            </w:r>
            <w:r>
              <w:rPr>
                <w:rFonts w:hint="default" w:ascii="Times New Roman" w:hAnsi="Times New Roman" w:eastAsia="宋体" w:cs="Times New Roman"/>
                <w:color w:val="auto"/>
              </w:rPr>
              <w:t>，过滤棉主要用于废气在进入</w:t>
            </w:r>
            <w:r>
              <w:rPr>
                <w:rFonts w:hint="default" w:ascii="Times New Roman" w:hAnsi="Times New Roman" w:eastAsia="宋体" w:cs="Times New Roman"/>
                <w:color w:val="auto"/>
                <w:lang w:eastAsia="zh-CN"/>
              </w:rPr>
              <w:t>活性炭前</w:t>
            </w:r>
            <w:r>
              <w:rPr>
                <w:rFonts w:hint="default" w:ascii="Times New Roman" w:hAnsi="Times New Roman" w:eastAsia="宋体" w:cs="Times New Roman"/>
                <w:color w:val="auto"/>
              </w:rPr>
              <w:t>去除杂质，以免影响后续处理效果，处理过程将产生废过滤棉，产生量约0.05t</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a，属于危险废物，代码</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HW49 900-041-49，交由有危废处理资质单位处理。</w:t>
            </w:r>
          </w:p>
          <w:p w14:paraId="5345CBF5">
            <w:pPr>
              <w:widowControl w:val="0"/>
              <w:spacing w:before="0" w:beforeAutospacing="0" w:after="0" w:afterAutospacing="0" w:line="360" w:lineRule="auto"/>
              <w:ind w:firstLine="422" w:firstLineChars="200"/>
              <w:jc w:val="left"/>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bCs/>
                <w:color w:val="auto"/>
                <w:sz w:val="21"/>
                <w:szCs w:val="21"/>
              </w:rPr>
              <w:t>废活性炭：</w:t>
            </w:r>
            <w:r>
              <w:rPr>
                <w:rFonts w:hint="default" w:ascii="Times New Roman" w:hAnsi="Times New Roman" w:eastAsia="宋体" w:cs="Times New Roman"/>
                <w:color w:val="auto"/>
                <w:sz w:val="21"/>
                <w:szCs w:val="21"/>
                <w:lang w:val="en-US" w:eastAsia="zh-CN"/>
              </w:rPr>
              <w:t>项目产生的有机废气均经过活性炭</w:t>
            </w:r>
            <w:r>
              <w:rPr>
                <w:rFonts w:hint="default" w:ascii="Times New Roman" w:hAnsi="Times New Roman" w:eastAsia="宋体" w:cs="Times New Roman"/>
                <w:color w:val="auto"/>
                <w:sz w:val="21"/>
                <w:szCs w:val="21"/>
                <w:lang w:eastAsia="zh-CN"/>
              </w:rPr>
              <w:t>吸附装置处理</w:t>
            </w:r>
            <w:r>
              <w:rPr>
                <w:rFonts w:hint="default" w:ascii="Times New Roman" w:hAnsi="Times New Roman" w:eastAsia="宋体" w:cs="Times New Roman"/>
                <w:color w:val="auto"/>
                <w:sz w:val="21"/>
                <w:szCs w:val="21"/>
              </w:rPr>
              <w:t>后排放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kern w:val="0"/>
                <w:sz w:val="21"/>
                <w:szCs w:val="21"/>
                <w:lang w:val="en-US" w:eastAsia="zh-CN" w:bidi="ar-SA"/>
              </w:rPr>
              <w:t>根据《</w:t>
            </w:r>
            <w:r>
              <w:rPr>
                <w:rFonts w:hint="default" w:ascii="Times New Roman" w:hAnsi="Times New Roman" w:cs="Times New Roman"/>
                <w:b w:val="0"/>
                <w:bCs w:val="0"/>
                <w:color w:val="auto"/>
                <w:kern w:val="0"/>
                <w:sz w:val="21"/>
                <w:szCs w:val="21"/>
                <w:lang w:val="en-US" w:eastAsia="zh-CN" w:bidi="ar-SA"/>
              </w:rPr>
              <w:t>2024年重庆市夏秋季“治气”攻坚工作方案</w:t>
            </w:r>
            <w:r>
              <w:rPr>
                <w:rFonts w:hint="default"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采用活性炭处理VOCs废气，年活性炭使用量不应低于VOCs产生量的5倍，本次评价活性炭吸附量按自身重量的20%计</w:t>
            </w:r>
            <w:r>
              <w:rPr>
                <w:rFonts w:hint="default" w:ascii="Times New Roman" w:hAnsi="Times New Roman" w:cs="Times New Roman"/>
                <w:b w:val="0"/>
                <w:bCs/>
                <w:color w:val="auto"/>
                <w:szCs w:val="21"/>
                <w:lang w:val="en-US" w:eastAsia="zh-CN"/>
              </w:rPr>
              <w:t>，活性炭装置内部吸附材料使用碘值不低于650毫克/克的蜂窝状活性炭，</w:t>
            </w:r>
            <w:r>
              <w:rPr>
                <w:rFonts w:hint="default" w:ascii="Times New Roman" w:hAnsi="Times New Roman" w:eastAsia="宋体" w:cs="Times New Roman"/>
                <w:b w:val="0"/>
                <w:bCs w:val="0"/>
                <w:color w:val="auto"/>
                <w:kern w:val="0"/>
                <w:sz w:val="21"/>
                <w:szCs w:val="21"/>
                <w:lang w:val="en-US" w:eastAsia="zh-CN" w:bidi="ar-SA"/>
              </w:rPr>
              <w:t>根据分析，本项目需要吸附的有机废气的量为</w:t>
            </w:r>
            <w:r>
              <w:rPr>
                <w:rFonts w:hint="eastAsia" w:ascii="Times New Roman" w:hAnsi="Times New Roman" w:cs="Times New Roman"/>
                <w:b w:val="0"/>
                <w:bCs w:val="0"/>
                <w:color w:val="auto"/>
                <w:kern w:val="0"/>
                <w:sz w:val="21"/>
                <w:szCs w:val="21"/>
                <w:lang w:val="en-US" w:eastAsia="zh-CN" w:bidi="ar-SA"/>
              </w:rPr>
              <w:t>1.642</w:t>
            </w:r>
            <w:r>
              <w:rPr>
                <w:rFonts w:hint="default" w:ascii="Times New Roman" w:hAnsi="Times New Roman" w:eastAsia="宋体" w:cs="Times New Roman"/>
                <w:b w:val="0"/>
                <w:bCs w:val="0"/>
                <w:color w:val="auto"/>
                <w:kern w:val="0"/>
                <w:sz w:val="21"/>
                <w:szCs w:val="21"/>
                <w:lang w:val="en-US" w:eastAsia="zh-CN" w:bidi="ar-SA"/>
              </w:rPr>
              <w:t>t/a，则本项目理论需要使用的活性炭的量为</w:t>
            </w:r>
            <w:r>
              <w:rPr>
                <w:rFonts w:hint="eastAsia" w:ascii="Times New Roman" w:hAnsi="Times New Roman" w:cs="Times New Roman"/>
                <w:b w:val="0"/>
                <w:bCs w:val="0"/>
                <w:color w:val="auto"/>
                <w:kern w:val="0"/>
                <w:sz w:val="21"/>
                <w:szCs w:val="21"/>
                <w:lang w:val="en-US" w:eastAsia="zh-CN" w:bidi="ar-SA"/>
              </w:rPr>
              <w:t>8.208</w:t>
            </w:r>
            <w:r>
              <w:rPr>
                <w:rFonts w:hint="default" w:ascii="Times New Roman" w:hAnsi="Times New Roman" w:eastAsia="宋体" w:cs="Times New Roman"/>
                <w:b w:val="0"/>
                <w:bCs w:val="0"/>
                <w:color w:val="auto"/>
                <w:kern w:val="0"/>
                <w:sz w:val="21"/>
                <w:szCs w:val="21"/>
                <w:lang w:val="en-US" w:eastAsia="zh-CN" w:bidi="ar-SA"/>
              </w:rPr>
              <w:t>t/a，则产生的废活性炭量为</w:t>
            </w:r>
            <w:r>
              <w:rPr>
                <w:rFonts w:hint="eastAsia" w:ascii="Times New Roman" w:hAnsi="Times New Roman" w:cs="Times New Roman"/>
                <w:b w:val="0"/>
                <w:bCs w:val="0"/>
                <w:color w:val="auto"/>
                <w:kern w:val="0"/>
                <w:sz w:val="21"/>
                <w:szCs w:val="21"/>
                <w:lang w:val="en-US" w:eastAsia="zh-CN" w:bidi="ar-SA"/>
              </w:rPr>
              <w:t>9.85</w:t>
            </w:r>
            <w:r>
              <w:rPr>
                <w:rFonts w:hint="default" w:ascii="Times New Roman" w:hAnsi="Times New Roman" w:eastAsia="宋体" w:cs="Times New Roman"/>
                <w:b w:val="0"/>
                <w:bCs w:val="0"/>
                <w:color w:val="auto"/>
                <w:kern w:val="0"/>
                <w:sz w:val="21"/>
                <w:szCs w:val="21"/>
                <w:lang w:val="en-US" w:eastAsia="zh-CN" w:bidi="ar-SA"/>
              </w:rPr>
              <w:t>t/a（含吸附的有机物），属于危险废物，代码为：HW49 900-039-49，集中收集后交由危废处理单位处理。</w:t>
            </w:r>
          </w:p>
          <w:p w14:paraId="0235130B">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③生活垃圾</w:t>
            </w:r>
          </w:p>
          <w:p w14:paraId="211515D8">
            <w:pPr>
              <w:spacing w:line="360" w:lineRule="auto"/>
              <w:ind w:firstLine="420" w:firstLineChars="200"/>
              <w:rPr>
                <w:rFonts w:hint="default" w:ascii="Times New Roman" w:hAnsi="Times New Roman" w:cs="Times New Roman"/>
                <w:b/>
                <w:color w:val="auto"/>
                <w:szCs w:val="21"/>
              </w:rPr>
            </w:pPr>
            <w:r>
              <w:rPr>
                <w:rFonts w:hint="default" w:ascii="Times New Roman" w:hAnsi="Times New Roman" w:eastAsia="宋体" w:cs="Times New Roman"/>
                <w:color w:val="auto"/>
                <w:szCs w:val="21"/>
              </w:rPr>
              <w:t>生活垃圾主要为员工生活产生的垃圾，本项目劳动定员</w:t>
            </w:r>
            <w:r>
              <w:rPr>
                <w:rFonts w:hint="eastAsia" w:ascii="Times New Roman" w:hAnsi="Times New Roman" w:cs="Times New Roman"/>
                <w:color w:val="auto"/>
                <w:szCs w:val="21"/>
                <w:lang w:val="en-US" w:eastAsia="zh-CN"/>
              </w:rPr>
              <w:t>20</w:t>
            </w:r>
            <w:r>
              <w:rPr>
                <w:rFonts w:hint="default" w:ascii="Times New Roman" w:hAnsi="Times New Roman" w:eastAsia="宋体" w:cs="Times New Roman"/>
                <w:color w:val="auto"/>
                <w:szCs w:val="21"/>
              </w:rPr>
              <w:t>人，按0.5kg/人·d计，产生量</w:t>
            </w: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t/a，集中收集后交由当地环卫部门统一收集处理。</w:t>
            </w:r>
          </w:p>
          <w:p w14:paraId="6A043923">
            <w:pPr>
              <w:pStyle w:val="14"/>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本项目固体废物产生及处理情况，见下表。</w:t>
            </w:r>
          </w:p>
          <w:p w14:paraId="7B4E3E21">
            <w:pPr>
              <w:spacing w:line="360" w:lineRule="auto"/>
              <w:ind w:firstLine="420" w:firstLineChars="200"/>
              <w:rPr>
                <w:rFonts w:hint="default" w:ascii="Times New Roman" w:hAnsi="Times New Roman" w:cs="Times New Roman"/>
                <w:snapToGrid w:val="0"/>
                <w:color w:val="auto"/>
                <w:szCs w:val="21"/>
              </w:rPr>
            </w:pPr>
          </w:p>
          <w:p w14:paraId="0D3DD3B5">
            <w:pPr>
              <w:spacing w:line="360" w:lineRule="auto"/>
              <w:ind w:firstLine="420" w:firstLineChars="200"/>
              <w:rPr>
                <w:rFonts w:hint="default" w:ascii="Times New Roman" w:hAnsi="Times New Roman" w:cs="Times New Roman"/>
                <w:snapToGrid w:val="0"/>
                <w:color w:val="auto"/>
                <w:szCs w:val="21"/>
              </w:rPr>
            </w:pPr>
          </w:p>
          <w:p w14:paraId="1BA52C15">
            <w:pPr>
              <w:spacing w:line="360" w:lineRule="auto"/>
              <w:rPr>
                <w:rFonts w:hint="default" w:ascii="Times New Roman" w:hAnsi="Times New Roman" w:cs="Times New Roman"/>
                <w:color w:val="auto"/>
                <w:szCs w:val="21"/>
              </w:rPr>
            </w:pPr>
          </w:p>
        </w:tc>
      </w:tr>
    </w:tbl>
    <w:p w14:paraId="2C179662">
      <w:pPr>
        <w:pStyle w:val="26"/>
        <w:outlineLvl w:val="0"/>
        <w:rPr>
          <w:rFonts w:hint="default" w:ascii="Times New Roman" w:hAnsi="Times New Roman"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249536">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表4-1</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固废产生及处理情况一览表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61"/>
        <w:gridCol w:w="1758"/>
        <w:gridCol w:w="2059"/>
        <w:gridCol w:w="1043"/>
        <w:gridCol w:w="1128"/>
        <w:gridCol w:w="795"/>
        <w:gridCol w:w="983"/>
        <w:gridCol w:w="841"/>
        <w:gridCol w:w="2679"/>
      </w:tblGrid>
      <w:tr w14:paraId="454F0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 w:hRule="atLeast"/>
          <w:jc w:val="center"/>
        </w:trPr>
        <w:tc>
          <w:tcPr>
            <w:tcW w:w="865" w:type="pct"/>
            <w:vMerge w:val="restart"/>
            <w:noWrap w:val="0"/>
            <w:vAlign w:val="center"/>
          </w:tcPr>
          <w:p w14:paraId="6A93D0A4">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工序</w:t>
            </w:r>
          </w:p>
        </w:tc>
        <w:tc>
          <w:tcPr>
            <w:tcW w:w="644" w:type="pct"/>
            <w:vMerge w:val="restart"/>
            <w:noWrap w:val="0"/>
            <w:vAlign w:val="center"/>
          </w:tcPr>
          <w:p w14:paraId="458A2479">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产生源</w:t>
            </w:r>
          </w:p>
        </w:tc>
        <w:tc>
          <w:tcPr>
            <w:tcW w:w="754" w:type="pct"/>
            <w:vMerge w:val="restart"/>
            <w:noWrap w:val="0"/>
            <w:vAlign w:val="center"/>
          </w:tcPr>
          <w:p w14:paraId="2A3246CC">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固体废物名称</w:t>
            </w:r>
          </w:p>
        </w:tc>
        <w:tc>
          <w:tcPr>
            <w:tcW w:w="382" w:type="pct"/>
            <w:vMerge w:val="restart"/>
            <w:noWrap w:val="0"/>
            <w:vAlign w:val="center"/>
          </w:tcPr>
          <w:p w14:paraId="0FCD0D7C">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固废属性</w:t>
            </w:r>
          </w:p>
        </w:tc>
        <w:tc>
          <w:tcPr>
            <w:tcW w:w="704" w:type="pct"/>
            <w:gridSpan w:val="2"/>
            <w:noWrap w:val="0"/>
            <w:vAlign w:val="center"/>
          </w:tcPr>
          <w:p w14:paraId="113DBCA0">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产生量</w:t>
            </w:r>
          </w:p>
        </w:tc>
        <w:tc>
          <w:tcPr>
            <w:tcW w:w="668" w:type="pct"/>
            <w:gridSpan w:val="2"/>
            <w:noWrap w:val="0"/>
            <w:vAlign w:val="center"/>
          </w:tcPr>
          <w:p w14:paraId="78C947EC">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处置措施</w:t>
            </w:r>
          </w:p>
        </w:tc>
        <w:tc>
          <w:tcPr>
            <w:tcW w:w="981" w:type="pct"/>
            <w:vMerge w:val="restart"/>
            <w:noWrap w:val="0"/>
            <w:vAlign w:val="center"/>
          </w:tcPr>
          <w:p w14:paraId="7AFCD880">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最终去向</w:t>
            </w:r>
          </w:p>
        </w:tc>
      </w:tr>
      <w:tr w14:paraId="0FDAA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865" w:type="pct"/>
            <w:vMerge w:val="continue"/>
            <w:noWrap w:val="0"/>
            <w:vAlign w:val="center"/>
          </w:tcPr>
          <w:p w14:paraId="4C454F04">
            <w:pPr>
              <w:pStyle w:val="26"/>
              <w:jc w:val="center"/>
              <w:outlineLvl w:val="0"/>
              <w:rPr>
                <w:rFonts w:hint="default" w:ascii="Times New Roman" w:hAnsi="Times New Roman" w:cs="Times New Roman"/>
                <w:snapToGrid w:val="0"/>
                <w:color w:val="auto"/>
                <w:sz w:val="18"/>
                <w:szCs w:val="18"/>
              </w:rPr>
            </w:pPr>
          </w:p>
        </w:tc>
        <w:tc>
          <w:tcPr>
            <w:tcW w:w="644" w:type="pct"/>
            <w:vMerge w:val="continue"/>
            <w:noWrap w:val="0"/>
            <w:vAlign w:val="center"/>
          </w:tcPr>
          <w:p w14:paraId="3F65E0A4">
            <w:pPr>
              <w:pStyle w:val="26"/>
              <w:jc w:val="center"/>
              <w:outlineLvl w:val="0"/>
              <w:rPr>
                <w:rFonts w:hint="default" w:ascii="Times New Roman" w:hAnsi="Times New Roman" w:cs="Times New Roman"/>
                <w:snapToGrid w:val="0"/>
                <w:color w:val="auto"/>
                <w:sz w:val="18"/>
                <w:szCs w:val="18"/>
              </w:rPr>
            </w:pPr>
          </w:p>
        </w:tc>
        <w:tc>
          <w:tcPr>
            <w:tcW w:w="754" w:type="pct"/>
            <w:vMerge w:val="continue"/>
            <w:noWrap w:val="0"/>
            <w:vAlign w:val="center"/>
          </w:tcPr>
          <w:p w14:paraId="1A843D93">
            <w:pPr>
              <w:pStyle w:val="26"/>
              <w:jc w:val="center"/>
              <w:outlineLvl w:val="0"/>
              <w:rPr>
                <w:rFonts w:hint="default" w:ascii="Times New Roman" w:hAnsi="Times New Roman" w:cs="Times New Roman"/>
                <w:snapToGrid w:val="0"/>
                <w:color w:val="auto"/>
                <w:sz w:val="18"/>
                <w:szCs w:val="18"/>
              </w:rPr>
            </w:pPr>
          </w:p>
        </w:tc>
        <w:tc>
          <w:tcPr>
            <w:tcW w:w="382" w:type="pct"/>
            <w:vMerge w:val="continue"/>
            <w:noWrap w:val="0"/>
            <w:vAlign w:val="center"/>
          </w:tcPr>
          <w:p w14:paraId="1BBB8147">
            <w:pPr>
              <w:pStyle w:val="26"/>
              <w:jc w:val="center"/>
              <w:outlineLvl w:val="0"/>
              <w:rPr>
                <w:rFonts w:hint="default" w:ascii="Times New Roman" w:hAnsi="Times New Roman" w:cs="Times New Roman"/>
                <w:snapToGrid w:val="0"/>
                <w:color w:val="auto"/>
                <w:sz w:val="18"/>
                <w:szCs w:val="18"/>
              </w:rPr>
            </w:pPr>
          </w:p>
        </w:tc>
        <w:tc>
          <w:tcPr>
            <w:tcW w:w="413" w:type="pct"/>
            <w:noWrap w:val="0"/>
            <w:vAlign w:val="center"/>
          </w:tcPr>
          <w:p w14:paraId="7E0F9657">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核算方法</w:t>
            </w:r>
          </w:p>
        </w:tc>
        <w:tc>
          <w:tcPr>
            <w:tcW w:w="291" w:type="pct"/>
            <w:noWrap w:val="0"/>
            <w:vAlign w:val="center"/>
          </w:tcPr>
          <w:p w14:paraId="0F505204">
            <w:pPr>
              <w:pStyle w:val="26"/>
              <w:adjustRightInd w:val="0"/>
              <w:snapToGrid w:val="0"/>
              <w:spacing w:before="0" w:beforeAutospacing="0" w:after="0" w:afterAutospacing="0"/>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产生量（t/a）</w:t>
            </w:r>
          </w:p>
        </w:tc>
        <w:tc>
          <w:tcPr>
            <w:tcW w:w="360" w:type="pct"/>
            <w:noWrap w:val="0"/>
            <w:vAlign w:val="center"/>
          </w:tcPr>
          <w:p w14:paraId="5691CF1D">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工艺</w:t>
            </w:r>
          </w:p>
        </w:tc>
        <w:tc>
          <w:tcPr>
            <w:tcW w:w="308" w:type="pct"/>
            <w:noWrap w:val="0"/>
            <w:vAlign w:val="center"/>
          </w:tcPr>
          <w:p w14:paraId="3824CEE6">
            <w:pPr>
              <w:pStyle w:val="26"/>
              <w:adjustRightInd w:val="0"/>
              <w:snapToGrid w:val="0"/>
              <w:spacing w:before="0" w:beforeAutospacing="0" w:after="0" w:afterAutospacing="0"/>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处置量（t/a）</w:t>
            </w:r>
          </w:p>
        </w:tc>
        <w:tc>
          <w:tcPr>
            <w:tcW w:w="981" w:type="pct"/>
            <w:vMerge w:val="continue"/>
            <w:noWrap w:val="0"/>
            <w:vAlign w:val="center"/>
          </w:tcPr>
          <w:p w14:paraId="1CB01D29">
            <w:pPr>
              <w:pStyle w:val="26"/>
              <w:jc w:val="center"/>
              <w:outlineLvl w:val="0"/>
              <w:rPr>
                <w:rFonts w:hint="default" w:ascii="Times New Roman" w:hAnsi="Times New Roman" w:cs="Times New Roman"/>
                <w:snapToGrid w:val="0"/>
                <w:color w:val="auto"/>
                <w:sz w:val="18"/>
                <w:szCs w:val="18"/>
              </w:rPr>
            </w:pPr>
          </w:p>
        </w:tc>
      </w:tr>
      <w:tr w14:paraId="61EA5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noWrap w:val="0"/>
            <w:vAlign w:val="center"/>
          </w:tcPr>
          <w:p w14:paraId="2A5A54CE">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包装</w:t>
            </w:r>
          </w:p>
        </w:tc>
        <w:tc>
          <w:tcPr>
            <w:tcW w:w="644" w:type="pct"/>
            <w:noWrap w:val="0"/>
            <w:vAlign w:val="center"/>
          </w:tcPr>
          <w:p w14:paraId="365FCCF1">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编织袋、塑料袋</w:t>
            </w:r>
          </w:p>
        </w:tc>
        <w:tc>
          <w:tcPr>
            <w:tcW w:w="754" w:type="pct"/>
            <w:noWrap w:val="0"/>
            <w:vAlign w:val="center"/>
          </w:tcPr>
          <w:p w14:paraId="56B1FEA5">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废包装材料</w:t>
            </w:r>
          </w:p>
        </w:tc>
        <w:tc>
          <w:tcPr>
            <w:tcW w:w="382" w:type="pct"/>
            <w:vMerge w:val="restart"/>
            <w:noWrap w:val="0"/>
            <w:vAlign w:val="center"/>
          </w:tcPr>
          <w:p w14:paraId="07547387">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一般工业固废</w:t>
            </w:r>
          </w:p>
        </w:tc>
        <w:tc>
          <w:tcPr>
            <w:tcW w:w="413" w:type="pct"/>
            <w:vMerge w:val="restart"/>
            <w:noWrap w:val="0"/>
            <w:vAlign w:val="center"/>
          </w:tcPr>
          <w:p w14:paraId="60DB6030">
            <w:pPr>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经验系数法</w:t>
            </w:r>
          </w:p>
        </w:tc>
        <w:tc>
          <w:tcPr>
            <w:tcW w:w="291" w:type="pct"/>
            <w:noWrap w:val="0"/>
            <w:vAlign w:val="center"/>
          </w:tcPr>
          <w:p w14:paraId="342D3C96">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360" w:type="pct"/>
            <w:noWrap w:val="0"/>
            <w:vAlign w:val="center"/>
          </w:tcPr>
          <w:p w14:paraId="4EAAD9D5">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委外处置</w:t>
            </w:r>
          </w:p>
        </w:tc>
        <w:tc>
          <w:tcPr>
            <w:tcW w:w="308" w:type="pct"/>
            <w:noWrap w:val="0"/>
            <w:vAlign w:val="center"/>
          </w:tcPr>
          <w:p w14:paraId="16B2F817">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10</w:t>
            </w:r>
          </w:p>
        </w:tc>
        <w:tc>
          <w:tcPr>
            <w:tcW w:w="981" w:type="pct"/>
            <w:noWrap w:val="0"/>
            <w:vAlign w:val="center"/>
          </w:tcPr>
          <w:p w14:paraId="1CACFD2A">
            <w:pPr>
              <w:pStyle w:val="26"/>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rPr>
              <w:t>交由废品回收单位处理</w:t>
            </w:r>
          </w:p>
        </w:tc>
      </w:tr>
      <w:tr w14:paraId="7F2CF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865" w:type="pct"/>
            <w:noWrap w:val="0"/>
            <w:vAlign w:val="center"/>
          </w:tcPr>
          <w:p w14:paraId="5449BEAC">
            <w:pPr>
              <w:adjustRightInd w:val="0"/>
              <w:snapToGrid w:val="0"/>
              <w:jc w:val="center"/>
              <w:rPr>
                <w:rFonts w:hint="default" w:ascii="Times New Roman" w:hAnsi="Times New Roman" w:eastAsia="宋体"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修边</w:t>
            </w:r>
            <w:r>
              <w:rPr>
                <w:rFonts w:hint="default" w:ascii="Times New Roman" w:hAnsi="Times New Roman" w:cs="Times New Roman"/>
                <w:snapToGrid w:val="0"/>
                <w:color w:val="auto"/>
                <w:sz w:val="18"/>
                <w:szCs w:val="18"/>
              </w:rPr>
              <w:t>以及更换模具时模具</w:t>
            </w:r>
            <w:r>
              <w:rPr>
                <w:rFonts w:hint="default" w:ascii="Times New Roman" w:hAnsi="Times New Roman" w:cs="Times New Roman"/>
                <w:snapToGrid w:val="0"/>
                <w:color w:val="auto"/>
                <w:sz w:val="18"/>
                <w:szCs w:val="18"/>
                <w:lang w:val="en-US" w:eastAsia="zh-CN"/>
              </w:rPr>
              <w:t>内的废料</w:t>
            </w:r>
          </w:p>
        </w:tc>
        <w:tc>
          <w:tcPr>
            <w:tcW w:w="644" w:type="pct"/>
            <w:noWrap w:val="0"/>
            <w:vAlign w:val="center"/>
          </w:tcPr>
          <w:p w14:paraId="24570200">
            <w:pPr>
              <w:pStyle w:val="26"/>
              <w:adjustRightInd w:val="0"/>
              <w:snapToGrid w:val="0"/>
              <w:spacing w:before="0" w:beforeAutospacing="0" w:after="0" w:afterAutospacing="0"/>
              <w:jc w:val="center"/>
              <w:outlineLvl w:val="0"/>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边角料</w:t>
            </w:r>
          </w:p>
        </w:tc>
        <w:tc>
          <w:tcPr>
            <w:tcW w:w="754" w:type="pct"/>
            <w:noWrap w:val="0"/>
            <w:vAlign w:val="center"/>
          </w:tcPr>
          <w:p w14:paraId="0D043455">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废边角料</w:t>
            </w:r>
          </w:p>
        </w:tc>
        <w:tc>
          <w:tcPr>
            <w:tcW w:w="382" w:type="pct"/>
            <w:vMerge w:val="continue"/>
            <w:noWrap w:val="0"/>
            <w:vAlign w:val="center"/>
          </w:tcPr>
          <w:p w14:paraId="1DC0521A">
            <w:pPr>
              <w:pStyle w:val="26"/>
              <w:jc w:val="center"/>
              <w:outlineLvl w:val="0"/>
              <w:rPr>
                <w:rFonts w:hint="default" w:ascii="Times New Roman" w:hAnsi="Times New Roman" w:cs="Times New Roman"/>
                <w:snapToGrid w:val="0"/>
                <w:color w:val="auto"/>
                <w:sz w:val="18"/>
                <w:szCs w:val="18"/>
              </w:rPr>
            </w:pPr>
          </w:p>
        </w:tc>
        <w:tc>
          <w:tcPr>
            <w:tcW w:w="413" w:type="pct"/>
            <w:vMerge w:val="continue"/>
            <w:noWrap w:val="0"/>
            <w:vAlign w:val="center"/>
          </w:tcPr>
          <w:p w14:paraId="52947A7E">
            <w:pPr>
              <w:pStyle w:val="26"/>
              <w:jc w:val="center"/>
              <w:outlineLvl w:val="0"/>
              <w:rPr>
                <w:rFonts w:hint="default" w:ascii="Times New Roman" w:hAnsi="Times New Roman" w:cs="Times New Roman"/>
                <w:snapToGrid w:val="0"/>
                <w:color w:val="auto"/>
                <w:sz w:val="18"/>
                <w:szCs w:val="18"/>
              </w:rPr>
            </w:pPr>
          </w:p>
        </w:tc>
        <w:tc>
          <w:tcPr>
            <w:tcW w:w="291" w:type="pct"/>
            <w:noWrap w:val="0"/>
            <w:vAlign w:val="center"/>
          </w:tcPr>
          <w:p w14:paraId="36300643">
            <w:pPr>
              <w:spacing w:line="24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360" w:type="pct"/>
            <w:noWrap w:val="0"/>
            <w:vAlign w:val="center"/>
          </w:tcPr>
          <w:p w14:paraId="53DDFE9A">
            <w:pPr>
              <w:pStyle w:val="26"/>
              <w:jc w:val="center"/>
              <w:outlineLvl w:val="0"/>
              <w:rPr>
                <w:rFonts w:hint="default" w:ascii="Times New Roman" w:hAnsi="Times New Roman" w:eastAsia="宋体" w:cs="Times New Roman"/>
                <w:bCs/>
                <w:color w:val="auto"/>
                <w:spacing w:val="-10"/>
                <w:sz w:val="18"/>
                <w:szCs w:val="18"/>
                <w:lang w:val="en-US" w:eastAsia="zh-CN"/>
              </w:rPr>
            </w:pPr>
            <w:r>
              <w:rPr>
                <w:rFonts w:hint="default" w:ascii="Times New Roman" w:hAnsi="Times New Roman" w:cs="Times New Roman"/>
                <w:bCs/>
                <w:color w:val="auto"/>
                <w:spacing w:val="-10"/>
                <w:sz w:val="18"/>
                <w:szCs w:val="18"/>
                <w:lang w:val="en-US" w:eastAsia="zh-CN"/>
              </w:rPr>
              <w:t>破碎后回用</w:t>
            </w:r>
          </w:p>
        </w:tc>
        <w:tc>
          <w:tcPr>
            <w:tcW w:w="308" w:type="pct"/>
            <w:noWrap w:val="0"/>
            <w:vAlign w:val="center"/>
          </w:tcPr>
          <w:p w14:paraId="0C7EEAC5">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40</w:t>
            </w:r>
          </w:p>
        </w:tc>
        <w:tc>
          <w:tcPr>
            <w:tcW w:w="981" w:type="pct"/>
            <w:noWrap w:val="0"/>
            <w:vAlign w:val="center"/>
          </w:tcPr>
          <w:p w14:paraId="2D765FE7">
            <w:pPr>
              <w:pStyle w:val="26"/>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rPr>
              <w:t>经破碎机破碎以后回用于生产线</w:t>
            </w:r>
          </w:p>
        </w:tc>
      </w:tr>
      <w:tr w14:paraId="4D36C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865" w:type="pct"/>
            <w:noWrap w:val="0"/>
            <w:vAlign w:val="center"/>
          </w:tcPr>
          <w:p w14:paraId="2A5579FF">
            <w:pPr>
              <w:adjustRightInd w:val="0"/>
              <w:snapToGrid w:val="0"/>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检验</w:t>
            </w:r>
          </w:p>
        </w:tc>
        <w:tc>
          <w:tcPr>
            <w:tcW w:w="644" w:type="pct"/>
            <w:noWrap w:val="0"/>
            <w:vAlign w:val="center"/>
          </w:tcPr>
          <w:p w14:paraId="11FEE1BD">
            <w:pPr>
              <w:pStyle w:val="26"/>
              <w:adjustRightInd w:val="0"/>
              <w:snapToGrid w:val="0"/>
              <w:spacing w:before="0" w:beforeAutospacing="0" w:after="0" w:afterAutospacing="0"/>
              <w:jc w:val="center"/>
              <w:outlineLvl w:val="0"/>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检验</w:t>
            </w:r>
          </w:p>
        </w:tc>
        <w:tc>
          <w:tcPr>
            <w:tcW w:w="754" w:type="pct"/>
            <w:noWrap w:val="0"/>
            <w:vAlign w:val="center"/>
          </w:tcPr>
          <w:p w14:paraId="6E37E3E7">
            <w:pPr>
              <w:pStyle w:val="7"/>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不合格品</w:t>
            </w:r>
          </w:p>
        </w:tc>
        <w:tc>
          <w:tcPr>
            <w:tcW w:w="382" w:type="pct"/>
            <w:vMerge w:val="continue"/>
            <w:noWrap w:val="0"/>
            <w:vAlign w:val="center"/>
          </w:tcPr>
          <w:p w14:paraId="5357DB69">
            <w:pPr>
              <w:pStyle w:val="26"/>
              <w:jc w:val="center"/>
              <w:outlineLvl w:val="0"/>
              <w:rPr>
                <w:rFonts w:hint="default" w:ascii="Times New Roman" w:hAnsi="Times New Roman" w:eastAsia="宋体" w:cs="Times New Roman"/>
                <w:snapToGrid w:val="0"/>
                <w:color w:val="auto"/>
                <w:kern w:val="0"/>
                <w:sz w:val="18"/>
                <w:szCs w:val="18"/>
                <w:lang w:val="en-US" w:eastAsia="zh-CN" w:bidi="ar-SA"/>
              </w:rPr>
            </w:pPr>
          </w:p>
        </w:tc>
        <w:tc>
          <w:tcPr>
            <w:tcW w:w="413" w:type="pct"/>
            <w:vMerge w:val="continue"/>
            <w:noWrap w:val="0"/>
            <w:vAlign w:val="center"/>
          </w:tcPr>
          <w:p w14:paraId="0D483FE7">
            <w:pPr>
              <w:pStyle w:val="26"/>
              <w:jc w:val="center"/>
              <w:outlineLvl w:val="0"/>
              <w:rPr>
                <w:rFonts w:hint="default" w:ascii="Times New Roman" w:hAnsi="Times New Roman" w:eastAsia="宋体" w:cs="Times New Roman"/>
                <w:snapToGrid w:val="0"/>
                <w:color w:val="auto"/>
                <w:kern w:val="0"/>
                <w:sz w:val="18"/>
                <w:szCs w:val="18"/>
                <w:lang w:val="en-US" w:eastAsia="zh-CN" w:bidi="ar-SA"/>
              </w:rPr>
            </w:pPr>
          </w:p>
        </w:tc>
        <w:tc>
          <w:tcPr>
            <w:tcW w:w="291" w:type="pct"/>
            <w:noWrap w:val="0"/>
            <w:vAlign w:val="center"/>
          </w:tcPr>
          <w:p w14:paraId="075C5FA4">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10</w:t>
            </w:r>
          </w:p>
        </w:tc>
        <w:tc>
          <w:tcPr>
            <w:tcW w:w="360" w:type="pct"/>
            <w:noWrap w:val="0"/>
            <w:vAlign w:val="center"/>
          </w:tcPr>
          <w:p w14:paraId="21634203">
            <w:pPr>
              <w:pStyle w:val="26"/>
              <w:jc w:val="center"/>
              <w:outlineLvl w:val="0"/>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cs="Times New Roman"/>
                <w:bCs/>
                <w:color w:val="auto"/>
                <w:spacing w:val="-10"/>
                <w:sz w:val="18"/>
                <w:szCs w:val="18"/>
                <w:lang w:val="en-US" w:eastAsia="zh-CN"/>
              </w:rPr>
              <w:t>破碎后回用</w:t>
            </w:r>
          </w:p>
        </w:tc>
        <w:tc>
          <w:tcPr>
            <w:tcW w:w="308" w:type="pct"/>
            <w:noWrap w:val="0"/>
            <w:vAlign w:val="center"/>
          </w:tcPr>
          <w:p w14:paraId="02809D39">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w:t>
            </w:r>
          </w:p>
        </w:tc>
        <w:tc>
          <w:tcPr>
            <w:tcW w:w="981" w:type="pct"/>
            <w:noWrap w:val="0"/>
            <w:vAlign w:val="center"/>
          </w:tcPr>
          <w:p w14:paraId="2814ED1B">
            <w:pPr>
              <w:pStyle w:val="26"/>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lang w:val="en-US" w:eastAsia="zh-CN"/>
              </w:rPr>
              <w:t>经破碎机破碎以后回用于生产线</w:t>
            </w:r>
          </w:p>
        </w:tc>
      </w:tr>
      <w:tr w14:paraId="49B77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3058" w:type="pct"/>
            <w:gridSpan w:val="5"/>
            <w:noWrap w:val="0"/>
            <w:vAlign w:val="center"/>
          </w:tcPr>
          <w:p w14:paraId="20FD065A">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b/>
                <w:snapToGrid w:val="0"/>
                <w:color w:val="auto"/>
                <w:sz w:val="18"/>
                <w:szCs w:val="18"/>
              </w:rPr>
              <w:t>小计</w:t>
            </w:r>
          </w:p>
        </w:tc>
        <w:tc>
          <w:tcPr>
            <w:tcW w:w="291" w:type="pct"/>
            <w:noWrap w:val="0"/>
            <w:vAlign w:val="center"/>
          </w:tcPr>
          <w:p w14:paraId="7CE49AB8">
            <w:pPr>
              <w:pStyle w:val="26"/>
              <w:jc w:val="center"/>
              <w:outlineLvl w:val="0"/>
              <w:rPr>
                <w:rFonts w:hint="default" w:ascii="Times New Roman" w:hAnsi="Times New Roman" w:eastAsia="宋体" w:cs="Times New Roman"/>
                <w:b/>
                <w:snapToGrid w:val="0"/>
                <w:color w:val="auto"/>
                <w:sz w:val="18"/>
                <w:szCs w:val="18"/>
                <w:lang w:val="en-US" w:eastAsia="zh-CN"/>
              </w:rPr>
            </w:pPr>
            <w:r>
              <w:rPr>
                <w:rFonts w:hint="eastAsia" w:ascii="Times New Roman" w:hAnsi="Times New Roman" w:cs="Times New Roman"/>
                <w:b/>
                <w:snapToGrid w:val="0"/>
                <w:color w:val="auto"/>
                <w:sz w:val="18"/>
                <w:szCs w:val="18"/>
                <w:lang w:val="en-US" w:eastAsia="zh-CN"/>
              </w:rPr>
              <w:t>60</w:t>
            </w:r>
          </w:p>
        </w:tc>
        <w:tc>
          <w:tcPr>
            <w:tcW w:w="360" w:type="pct"/>
            <w:noWrap w:val="0"/>
            <w:vAlign w:val="center"/>
          </w:tcPr>
          <w:p w14:paraId="204A6558">
            <w:pPr>
              <w:pStyle w:val="26"/>
              <w:jc w:val="center"/>
              <w:outlineLvl w:val="0"/>
              <w:rPr>
                <w:rFonts w:hint="default" w:ascii="Times New Roman" w:hAnsi="Times New Roman" w:cs="Times New Roman"/>
                <w:b/>
                <w:snapToGrid w:val="0"/>
                <w:color w:val="auto"/>
                <w:sz w:val="18"/>
                <w:szCs w:val="18"/>
              </w:rPr>
            </w:pPr>
            <w:r>
              <w:rPr>
                <w:rFonts w:hint="default" w:ascii="Times New Roman" w:hAnsi="Times New Roman" w:cs="Times New Roman"/>
                <w:b/>
                <w:snapToGrid w:val="0"/>
                <w:color w:val="auto"/>
                <w:sz w:val="18"/>
                <w:szCs w:val="18"/>
              </w:rPr>
              <w:t>/</w:t>
            </w:r>
          </w:p>
        </w:tc>
        <w:tc>
          <w:tcPr>
            <w:tcW w:w="308" w:type="pct"/>
            <w:noWrap w:val="0"/>
            <w:vAlign w:val="center"/>
          </w:tcPr>
          <w:p w14:paraId="0E524500">
            <w:pPr>
              <w:pStyle w:val="26"/>
              <w:jc w:val="center"/>
              <w:outlineLvl w:val="0"/>
              <w:rPr>
                <w:rFonts w:hint="default" w:ascii="Times New Roman" w:hAnsi="Times New Roman" w:eastAsia="宋体" w:cs="Times New Roman"/>
                <w:b/>
                <w:snapToGrid w:val="0"/>
                <w:color w:val="auto"/>
                <w:sz w:val="18"/>
                <w:szCs w:val="18"/>
                <w:lang w:val="en-US" w:eastAsia="zh-CN"/>
              </w:rPr>
            </w:pPr>
            <w:r>
              <w:rPr>
                <w:rFonts w:hint="eastAsia" w:ascii="Times New Roman" w:hAnsi="Times New Roman" w:cs="Times New Roman"/>
                <w:b/>
                <w:snapToGrid w:val="0"/>
                <w:color w:val="auto"/>
                <w:sz w:val="18"/>
                <w:szCs w:val="18"/>
                <w:lang w:val="en-US" w:eastAsia="zh-CN"/>
              </w:rPr>
              <w:t>60</w:t>
            </w:r>
          </w:p>
        </w:tc>
        <w:tc>
          <w:tcPr>
            <w:tcW w:w="981" w:type="pct"/>
            <w:noWrap w:val="0"/>
            <w:vAlign w:val="center"/>
          </w:tcPr>
          <w:p w14:paraId="174F88C4">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14:paraId="16686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vMerge w:val="restart"/>
            <w:noWrap w:val="0"/>
            <w:vAlign w:val="center"/>
          </w:tcPr>
          <w:p w14:paraId="68880E68">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设备维修保养</w:t>
            </w:r>
          </w:p>
        </w:tc>
        <w:tc>
          <w:tcPr>
            <w:tcW w:w="644" w:type="pct"/>
            <w:vMerge w:val="restart"/>
            <w:noWrap w:val="0"/>
            <w:vAlign w:val="center"/>
          </w:tcPr>
          <w:p w14:paraId="54D844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设备维修保养</w:t>
            </w:r>
          </w:p>
        </w:tc>
        <w:tc>
          <w:tcPr>
            <w:tcW w:w="754" w:type="pct"/>
            <w:noWrap w:val="0"/>
            <w:vAlign w:val="center"/>
          </w:tcPr>
          <w:p w14:paraId="07689A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废矿物油</w:t>
            </w:r>
          </w:p>
        </w:tc>
        <w:tc>
          <w:tcPr>
            <w:tcW w:w="382" w:type="pct"/>
            <w:vMerge w:val="restart"/>
            <w:noWrap w:val="0"/>
            <w:vAlign w:val="center"/>
          </w:tcPr>
          <w:p w14:paraId="5F0F72B9">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危险废物</w:t>
            </w:r>
          </w:p>
        </w:tc>
        <w:tc>
          <w:tcPr>
            <w:tcW w:w="413" w:type="pct"/>
            <w:vMerge w:val="restart"/>
            <w:noWrap w:val="0"/>
            <w:vAlign w:val="center"/>
          </w:tcPr>
          <w:p w14:paraId="316BC9ED">
            <w:pPr>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lang w:val="en-US" w:eastAsia="zh-CN"/>
              </w:rPr>
              <w:t>物料衡算法</w:t>
            </w:r>
          </w:p>
        </w:tc>
        <w:tc>
          <w:tcPr>
            <w:tcW w:w="291" w:type="pct"/>
            <w:noWrap w:val="0"/>
            <w:vAlign w:val="center"/>
          </w:tcPr>
          <w:p w14:paraId="68A311C6">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0.74</w:t>
            </w:r>
          </w:p>
        </w:tc>
        <w:tc>
          <w:tcPr>
            <w:tcW w:w="360" w:type="pct"/>
            <w:vMerge w:val="restart"/>
            <w:noWrap w:val="0"/>
            <w:vAlign w:val="center"/>
          </w:tcPr>
          <w:p w14:paraId="6E81159F">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委外处置</w:t>
            </w:r>
          </w:p>
        </w:tc>
        <w:tc>
          <w:tcPr>
            <w:tcW w:w="841" w:type="dxa"/>
            <w:noWrap w:val="0"/>
            <w:vAlign w:val="center"/>
          </w:tcPr>
          <w:p w14:paraId="72CFEEEC">
            <w:pPr>
              <w:spacing w:line="24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0.74</w:t>
            </w:r>
          </w:p>
        </w:tc>
        <w:tc>
          <w:tcPr>
            <w:tcW w:w="981" w:type="pct"/>
            <w:vMerge w:val="restart"/>
            <w:noWrap w:val="0"/>
            <w:vAlign w:val="center"/>
          </w:tcPr>
          <w:p w14:paraId="0A5D4DEF">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交由有危废处理资质单位处理</w:t>
            </w:r>
          </w:p>
        </w:tc>
      </w:tr>
      <w:tr w14:paraId="7F8E8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vMerge w:val="continue"/>
            <w:noWrap w:val="0"/>
            <w:vAlign w:val="center"/>
          </w:tcPr>
          <w:p w14:paraId="70854B4A">
            <w:pPr>
              <w:pStyle w:val="26"/>
              <w:jc w:val="center"/>
              <w:outlineLvl w:val="0"/>
              <w:rPr>
                <w:rFonts w:hint="default" w:ascii="Times New Roman" w:hAnsi="Times New Roman" w:cs="Times New Roman"/>
                <w:snapToGrid w:val="0"/>
                <w:color w:val="auto"/>
                <w:sz w:val="18"/>
                <w:szCs w:val="18"/>
              </w:rPr>
            </w:pPr>
          </w:p>
        </w:tc>
        <w:tc>
          <w:tcPr>
            <w:tcW w:w="644" w:type="pct"/>
            <w:vMerge w:val="continue"/>
            <w:noWrap w:val="0"/>
            <w:vAlign w:val="center"/>
          </w:tcPr>
          <w:p w14:paraId="6A810BE0">
            <w:pPr>
              <w:jc w:val="center"/>
              <w:rPr>
                <w:rFonts w:hint="default" w:ascii="Times New Roman" w:hAnsi="Times New Roman" w:cs="Times New Roman"/>
                <w:color w:val="auto"/>
                <w:sz w:val="18"/>
                <w:szCs w:val="18"/>
              </w:rPr>
            </w:pPr>
          </w:p>
        </w:tc>
        <w:tc>
          <w:tcPr>
            <w:tcW w:w="754" w:type="pct"/>
            <w:noWrap w:val="0"/>
            <w:vAlign w:val="center"/>
          </w:tcPr>
          <w:p w14:paraId="7D455F3A">
            <w:pPr>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废油桶</w:t>
            </w:r>
          </w:p>
        </w:tc>
        <w:tc>
          <w:tcPr>
            <w:tcW w:w="382" w:type="pct"/>
            <w:vMerge w:val="continue"/>
            <w:noWrap w:val="0"/>
            <w:vAlign w:val="center"/>
          </w:tcPr>
          <w:p w14:paraId="3234F85A">
            <w:pPr>
              <w:pStyle w:val="26"/>
              <w:jc w:val="center"/>
              <w:outlineLvl w:val="0"/>
              <w:rPr>
                <w:rFonts w:hint="default" w:ascii="Times New Roman" w:hAnsi="Times New Roman" w:cs="Times New Roman"/>
                <w:snapToGrid w:val="0"/>
                <w:color w:val="auto"/>
                <w:sz w:val="18"/>
                <w:szCs w:val="18"/>
              </w:rPr>
            </w:pPr>
          </w:p>
        </w:tc>
        <w:tc>
          <w:tcPr>
            <w:tcW w:w="413" w:type="pct"/>
            <w:vMerge w:val="continue"/>
            <w:noWrap w:val="0"/>
            <w:vAlign w:val="center"/>
          </w:tcPr>
          <w:p w14:paraId="2B9017CB">
            <w:pPr>
              <w:jc w:val="center"/>
              <w:outlineLvl w:val="0"/>
              <w:rPr>
                <w:rFonts w:hint="default" w:ascii="Times New Roman" w:hAnsi="Times New Roman" w:cs="Times New Roman"/>
                <w:snapToGrid w:val="0"/>
                <w:color w:val="auto"/>
                <w:sz w:val="18"/>
                <w:szCs w:val="18"/>
              </w:rPr>
            </w:pPr>
          </w:p>
        </w:tc>
        <w:tc>
          <w:tcPr>
            <w:tcW w:w="291" w:type="pct"/>
            <w:noWrap w:val="0"/>
            <w:vAlign w:val="center"/>
          </w:tcPr>
          <w:p w14:paraId="67EBFABC">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0.042</w:t>
            </w:r>
          </w:p>
        </w:tc>
        <w:tc>
          <w:tcPr>
            <w:tcW w:w="360" w:type="pct"/>
            <w:vMerge w:val="continue"/>
            <w:noWrap w:val="0"/>
            <w:vAlign w:val="center"/>
          </w:tcPr>
          <w:p w14:paraId="163DF852">
            <w:pPr>
              <w:pStyle w:val="26"/>
              <w:jc w:val="center"/>
              <w:outlineLvl w:val="0"/>
              <w:rPr>
                <w:rFonts w:hint="default" w:ascii="Times New Roman" w:hAnsi="Times New Roman" w:cs="Times New Roman"/>
                <w:snapToGrid w:val="0"/>
                <w:color w:val="auto"/>
                <w:sz w:val="18"/>
                <w:szCs w:val="18"/>
              </w:rPr>
            </w:pPr>
          </w:p>
        </w:tc>
        <w:tc>
          <w:tcPr>
            <w:tcW w:w="841" w:type="dxa"/>
            <w:noWrap w:val="0"/>
            <w:vAlign w:val="center"/>
          </w:tcPr>
          <w:p w14:paraId="55C7B7F1">
            <w:pPr>
              <w:spacing w:line="24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0.042</w:t>
            </w:r>
          </w:p>
        </w:tc>
        <w:tc>
          <w:tcPr>
            <w:tcW w:w="981" w:type="pct"/>
            <w:vMerge w:val="continue"/>
            <w:noWrap w:val="0"/>
            <w:vAlign w:val="center"/>
          </w:tcPr>
          <w:p w14:paraId="136D1191">
            <w:pPr>
              <w:pStyle w:val="26"/>
              <w:jc w:val="center"/>
              <w:outlineLvl w:val="0"/>
              <w:rPr>
                <w:rFonts w:hint="default" w:ascii="Times New Roman" w:hAnsi="Times New Roman" w:cs="Times New Roman"/>
                <w:snapToGrid w:val="0"/>
                <w:color w:val="auto"/>
                <w:sz w:val="18"/>
                <w:szCs w:val="18"/>
              </w:rPr>
            </w:pPr>
          </w:p>
        </w:tc>
      </w:tr>
      <w:tr w14:paraId="1EF95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vMerge w:val="continue"/>
            <w:noWrap w:val="0"/>
            <w:vAlign w:val="center"/>
          </w:tcPr>
          <w:p w14:paraId="4BFC89BA">
            <w:pPr>
              <w:pStyle w:val="26"/>
              <w:jc w:val="center"/>
              <w:outlineLvl w:val="0"/>
              <w:rPr>
                <w:rFonts w:hint="default" w:ascii="Times New Roman" w:hAnsi="Times New Roman" w:cs="Times New Roman"/>
                <w:snapToGrid w:val="0"/>
                <w:color w:val="auto"/>
                <w:sz w:val="18"/>
                <w:szCs w:val="18"/>
              </w:rPr>
            </w:pPr>
          </w:p>
        </w:tc>
        <w:tc>
          <w:tcPr>
            <w:tcW w:w="644" w:type="pct"/>
            <w:vMerge w:val="continue"/>
            <w:noWrap w:val="0"/>
            <w:vAlign w:val="center"/>
          </w:tcPr>
          <w:p w14:paraId="13F05F49">
            <w:pPr>
              <w:jc w:val="center"/>
              <w:rPr>
                <w:rFonts w:hint="default" w:ascii="Times New Roman" w:hAnsi="Times New Roman" w:cs="Times New Roman"/>
                <w:color w:val="auto"/>
                <w:sz w:val="18"/>
                <w:szCs w:val="18"/>
              </w:rPr>
            </w:pPr>
          </w:p>
        </w:tc>
        <w:tc>
          <w:tcPr>
            <w:tcW w:w="754" w:type="pct"/>
            <w:noWrap w:val="0"/>
            <w:vAlign w:val="center"/>
          </w:tcPr>
          <w:p w14:paraId="084C412A">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snapToGrid w:val="0"/>
                <w:color w:val="auto"/>
                <w:kern w:val="0"/>
                <w:sz w:val="18"/>
                <w:szCs w:val="18"/>
              </w:rPr>
              <w:t>废含油棉纱、手套</w:t>
            </w:r>
          </w:p>
        </w:tc>
        <w:tc>
          <w:tcPr>
            <w:tcW w:w="382" w:type="pct"/>
            <w:vMerge w:val="continue"/>
            <w:noWrap w:val="0"/>
            <w:vAlign w:val="center"/>
          </w:tcPr>
          <w:p w14:paraId="739E3EC6">
            <w:pPr>
              <w:pStyle w:val="26"/>
              <w:jc w:val="center"/>
              <w:outlineLvl w:val="0"/>
              <w:rPr>
                <w:rFonts w:hint="default" w:ascii="Times New Roman" w:hAnsi="Times New Roman" w:cs="Times New Roman"/>
                <w:snapToGrid w:val="0"/>
                <w:color w:val="auto"/>
                <w:sz w:val="18"/>
                <w:szCs w:val="18"/>
              </w:rPr>
            </w:pPr>
          </w:p>
        </w:tc>
        <w:tc>
          <w:tcPr>
            <w:tcW w:w="413" w:type="pct"/>
            <w:noWrap w:val="0"/>
            <w:vAlign w:val="center"/>
          </w:tcPr>
          <w:p w14:paraId="503EBCF5">
            <w:pPr>
              <w:pStyle w:val="26"/>
              <w:jc w:val="center"/>
              <w:outlineLvl w:val="0"/>
              <w:rPr>
                <w:rFonts w:hint="default" w:ascii="Times New Roman" w:hAnsi="Times New Roman" w:eastAsia="宋体"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经验系数法</w:t>
            </w:r>
          </w:p>
        </w:tc>
        <w:tc>
          <w:tcPr>
            <w:tcW w:w="291" w:type="pct"/>
            <w:noWrap w:val="0"/>
            <w:vAlign w:val="center"/>
          </w:tcPr>
          <w:p w14:paraId="471FA745">
            <w:pPr>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c>
          <w:tcPr>
            <w:tcW w:w="360" w:type="pct"/>
            <w:vMerge w:val="continue"/>
            <w:noWrap w:val="0"/>
            <w:vAlign w:val="center"/>
          </w:tcPr>
          <w:p w14:paraId="318F8E3C">
            <w:pPr>
              <w:pStyle w:val="26"/>
              <w:jc w:val="center"/>
              <w:outlineLvl w:val="0"/>
              <w:rPr>
                <w:rFonts w:hint="default" w:ascii="Times New Roman" w:hAnsi="Times New Roman" w:cs="Times New Roman"/>
                <w:snapToGrid w:val="0"/>
                <w:color w:val="auto"/>
                <w:sz w:val="18"/>
                <w:szCs w:val="18"/>
              </w:rPr>
            </w:pPr>
          </w:p>
        </w:tc>
        <w:tc>
          <w:tcPr>
            <w:tcW w:w="841" w:type="dxa"/>
            <w:noWrap w:val="0"/>
            <w:vAlign w:val="center"/>
          </w:tcPr>
          <w:p w14:paraId="3B8871E8">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0.01</w:t>
            </w:r>
          </w:p>
        </w:tc>
        <w:tc>
          <w:tcPr>
            <w:tcW w:w="981" w:type="pct"/>
            <w:vMerge w:val="continue"/>
            <w:noWrap w:val="0"/>
            <w:vAlign w:val="center"/>
          </w:tcPr>
          <w:p w14:paraId="6C2F1A2C">
            <w:pPr>
              <w:pStyle w:val="26"/>
              <w:jc w:val="center"/>
              <w:outlineLvl w:val="0"/>
              <w:rPr>
                <w:rFonts w:hint="default" w:ascii="Times New Roman" w:hAnsi="Times New Roman" w:cs="Times New Roman"/>
                <w:snapToGrid w:val="0"/>
                <w:color w:val="auto"/>
                <w:sz w:val="18"/>
                <w:szCs w:val="18"/>
              </w:rPr>
            </w:pPr>
          </w:p>
        </w:tc>
      </w:tr>
      <w:tr w14:paraId="2DB25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noWrap w:val="0"/>
            <w:vAlign w:val="center"/>
          </w:tcPr>
          <w:p w14:paraId="0848972E">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废气处理</w:t>
            </w:r>
          </w:p>
        </w:tc>
        <w:tc>
          <w:tcPr>
            <w:tcW w:w="644" w:type="pct"/>
            <w:noWrap w:val="0"/>
            <w:vAlign w:val="center"/>
          </w:tcPr>
          <w:p w14:paraId="0D9FC1EE">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废气处理设施</w:t>
            </w:r>
          </w:p>
        </w:tc>
        <w:tc>
          <w:tcPr>
            <w:tcW w:w="754" w:type="pct"/>
            <w:noWrap w:val="0"/>
            <w:vAlign w:val="center"/>
          </w:tcPr>
          <w:p w14:paraId="06A9B65D">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废活性炭</w:t>
            </w:r>
          </w:p>
        </w:tc>
        <w:tc>
          <w:tcPr>
            <w:tcW w:w="382" w:type="pct"/>
            <w:vMerge w:val="continue"/>
            <w:noWrap w:val="0"/>
            <w:vAlign w:val="center"/>
          </w:tcPr>
          <w:p w14:paraId="68BE9A1A">
            <w:pPr>
              <w:pStyle w:val="26"/>
              <w:jc w:val="center"/>
              <w:outlineLvl w:val="0"/>
              <w:rPr>
                <w:rFonts w:hint="default" w:ascii="Times New Roman" w:hAnsi="Times New Roman" w:cs="Times New Roman"/>
                <w:snapToGrid w:val="0"/>
                <w:color w:val="auto"/>
                <w:sz w:val="18"/>
                <w:szCs w:val="18"/>
              </w:rPr>
            </w:pPr>
          </w:p>
        </w:tc>
        <w:tc>
          <w:tcPr>
            <w:tcW w:w="413" w:type="pct"/>
            <w:noWrap w:val="0"/>
            <w:vAlign w:val="center"/>
          </w:tcPr>
          <w:p w14:paraId="4384A5DB">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lang w:val="en-US" w:eastAsia="zh-CN"/>
              </w:rPr>
              <w:t>物料衡算法</w:t>
            </w:r>
          </w:p>
        </w:tc>
        <w:tc>
          <w:tcPr>
            <w:tcW w:w="291" w:type="pct"/>
            <w:noWrap w:val="0"/>
            <w:vAlign w:val="center"/>
          </w:tcPr>
          <w:p w14:paraId="6C479700">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9.85</w:t>
            </w:r>
          </w:p>
        </w:tc>
        <w:tc>
          <w:tcPr>
            <w:tcW w:w="360" w:type="pct"/>
            <w:vMerge w:val="continue"/>
            <w:noWrap w:val="0"/>
            <w:vAlign w:val="center"/>
          </w:tcPr>
          <w:p w14:paraId="1104374C">
            <w:pPr>
              <w:pStyle w:val="26"/>
              <w:jc w:val="center"/>
              <w:outlineLvl w:val="0"/>
              <w:rPr>
                <w:rFonts w:hint="default" w:ascii="Times New Roman" w:hAnsi="Times New Roman" w:cs="Times New Roman"/>
                <w:snapToGrid w:val="0"/>
                <w:color w:val="auto"/>
                <w:sz w:val="18"/>
                <w:szCs w:val="18"/>
              </w:rPr>
            </w:pPr>
          </w:p>
        </w:tc>
        <w:tc>
          <w:tcPr>
            <w:tcW w:w="841" w:type="dxa"/>
            <w:noWrap w:val="0"/>
            <w:vAlign w:val="center"/>
          </w:tcPr>
          <w:p w14:paraId="2A185560">
            <w:pPr>
              <w:spacing w:line="24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9.85</w:t>
            </w:r>
          </w:p>
        </w:tc>
        <w:tc>
          <w:tcPr>
            <w:tcW w:w="981" w:type="pct"/>
            <w:vMerge w:val="continue"/>
            <w:noWrap w:val="0"/>
            <w:vAlign w:val="center"/>
          </w:tcPr>
          <w:p w14:paraId="0BD87130">
            <w:pPr>
              <w:pStyle w:val="26"/>
              <w:jc w:val="center"/>
              <w:outlineLvl w:val="0"/>
              <w:rPr>
                <w:rFonts w:hint="default" w:ascii="Times New Roman" w:hAnsi="Times New Roman" w:cs="Times New Roman"/>
                <w:snapToGrid w:val="0"/>
                <w:color w:val="auto"/>
                <w:sz w:val="18"/>
                <w:szCs w:val="18"/>
              </w:rPr>
            </w:pPr>
          </w:p>
        </w:tc>
      </w:tr>
      <w:tr w14:paraId="4435B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65" w:type="pct"/>
            <w:noWrap w:val="0"/>
            <w:vAlign w:val="center"/>
          </w:tcPr>
          <w:p w14:paraId="4A327979">
            <w:pPr>
              <w:pStyle w:val="26"/>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cs="Times New Roman"/>
                <w:snapToGrid w:val="0"/>
                <w:color w:val="auto"/>
                <w:sz w:val="18"/>
                <w:szCs w:val="18"/>
              </w:rPr>
              <w:t>废气处理</w:t>
            </w:r>
          </w:p>
        </w:tc>
        <w:tc>
          <w:tcPr>
            <w:tcW w:w="644" w:type="pct"/>
            <w:noWrap w:val="0"/>
            <w:vAlign w:val="center"/>
          </w:tcPr>
          <w:p w14:paraId="61B98924">
            <w:pPr>
              <w:pStyle w:val="7"/>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废气处理设施</w:t>
            </w:r>
          </w:p>
        </w:tc>
        <w:tc>
          <w:tcPr>
            <w:tcW w:w="754" w:type="pct"/>
            <w:noWrap w:val="0"/>
            <w:vAlign w:val="center"/>
          </w:tcPr>
          <w:p w14:paraId="4BF31508">
            <w:pPr>
              <w:pStyle w:val="7"/>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废过滤棉</w:t>
            </w:r>
          </w:p>
        </w:tc>
        <w:tc>
          <w:tcPr>
            <w:tcW w:w="382" w:type="pct"/>
            <w:vMerge w:val="continue"/>
            <w:noWrap w:val="0"/>
            <w:vAlign w:val="center"/>
          </w:tcPr>
          <w:p w14:paraId="2CA8D1FE">
            <w:pPr>
              <w:pStyle w:val="26"/>
              <w:jc w:val="center"/>
              <w:outlineLvl w:val="0"/>
              <w:rPr>
                <w:rFonts w:hint="default" w:ascii="Times New Roman" w:hAnsi="Times New Roman" w:cs="Times New Roman"/>
                <w:snapToGrid w:val="0"/>
                <w:color w:val="auto"/>
                <w:sz w:val="18"/>
                <w:szCs w:val="18"/>
              </w:rPr>
            </w:pPr>
          </w:p>
        </w:tc>
        <w:tc>
          <w:tcPr>
            <w:tcW w:w="413" w:type="pct"/>
            <w:vMerge w:val="restart"/>
            <w:noWrap w:val="0"/>
            <w:vAlign w:val="center"/>
          </w:tcPr>
          <w:p w14:paraId="0F3DE351">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lang w:val="en-US" w:eastAsia="zh-CN"/>
              </w:rPr>
              <w:t>经验系数法</w:t>
            </w:r>
          </w:p>
        </w:tc>
        <w:tc>
          <w:tcPr>
            <w:tcW w:w="291" w:type="pct"/>
            <w:noWrap w:val="0"/>
            <w:vAlign w:val="center"/>
          </w:tcPr>
          <w:p w14:paraId="28F1F31A">
            <w:pPr>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c>
          <w:tcPr>
            <w:tcW w:w="360" w:type="pct"/>
            <w:vMerge w:val="continue"/>
            <w:noWrap w:val="0"/>
            <w:vAlign w:val="center"/>
          </w:tcPr>
          <w:p w14:paraId="7954692C">
            <w:pPr>
              <w:pStyle w:val="26"/>
              <w:jc w:val="center"/>
              <w:outlineLvl w:val="0"/>
              <w:rPr>
                <w:rFonts w:hint="default" w:ascii="Times New Roman" w:hAnsi="Times New Roman" w:cs="Times New Roman"/>
                <w:snapToGrid w:val="0"/>
                <w:color w:val="auto"/>
                <w:sz w:val="18"/>
                <w:szCs w:val="18"/>
              </w:rPr>
            </w:pPr>
          </w:p>
        </w:tc>
        <w:tc>
          <w:tcPr>
            <w:tcW w:w="841" w:type="dxa"/>
            <w:noWrap w:val="0"/>
            <w:vAlign w:val="center"/>
          </w:tcPr>
          <w:p w14:paraId="5836815B">
            <w:pPr>
              <w:spacing w:line="240" w:lineRule="exact"/>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0.01</w:t>
            </w:r>
          </w:p>
        </w:tc>
        <w:tc>
          <w:tcPr>
            <w:tcW w:w="981" w:type="pct"/>
            <w:vMerge w:val="continue"/>
            <w:noWrap w:val="0"/>
            <w:vAlign w:val="center"/>
          </w:tcPr>
          <w:p w14:paraId="3B865453">
            <w:pPr>
              <w:pStyle w:val="26"/>
              <w:jc w:val="center"/>
              <w:outlineLvl w:val="0"/>
              <w:rPr>
                <w:rFonts w:hint="default" w:ascii="Times New Roman" w:hAnsi="Times New Roman" w:cs="Times New Roman"/>
                <w:snapToGrid w:val="0"/>
                <w:color w:val="auto"/>
                <w:sz w:val="18"/>
                <w:szCs w:val="18"/>
              </w:rPr>
            </w:pPr>
          </w:p>
        </w:tc>
      </w:tr>
      <w:tr w14:paraId="398C9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865" w:type="pct"/>
            <w:noWrap w:val="0"/>
            <w:vAlign w:val="center"/>
          </w:tcPr>
          <w:p w14:paraId="39834FFB">
            <w:pPr>
              <w:pStyle w:val="26"/>
              <w:jc w:val="center"/>
              <w:outlineLvl w:val="0"/>
              <w:rPr>
                <w:rFonts w:hint="default" w:ascii="Times New Roman" w:hAnsi="Times New Roman" w:eastAsia="宋体"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空压机</w:t>
            </w:r>
          </w:p>
        </w:tc>
        <w:tc>
          <w:tcPr>
            <w:tcW w:w="644" w:type="pct"/>
            <w:noWrap w:val="0"/>
            <w:vAlign w:val="center"/>
          </w:tcPr>
          <w:p w14:paraId="457E45CC">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snapToGrid w:val="0"/>
                <w:color w:val="auto"/>
                <w:sz w:val="18"/>
                <w:szCs w:val="18"/>
                <w:lang w:val="en-US" w:eastAsia="zh-CN"/>
              </w:rPr>
              <w:t>空压机</w:t>
            </w:r>
          </w:p>
        </w:tc>
        <w:tc>
          <w:tcPr>
            <w:tcW w:w="754" w:type="pct"/>
            <w:noWrap w:val="0"/>
            <w:vAlign w:val="center"/>
          </w:tcPr>
          <w:p w14:paraId="20518779">
            <w:pPr>
              <w:pStyle w:val="7"/>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空压机含油冷凝液</w:t>
            </w:r>
          </w:p>
        </w:tc>
        <w:tc>
          <w:tcPr>
            <w:tcW w:w="382" w:type="pct"/>
            <w:vMerge w:val="continue"/>
            <w:noWrap w:val="0"/>
            <w:vAlign w:val="center"/>
          </w:tcPr>
          <w:p w14:paraId="7AB064CC">
            <w:pPr>
              <w:pStyle w:val="26"/>
              <w:jc w:val="center"/>
              <w:outlineLvl w:val="0"/>
              <w:rPr>
                <w:rFonts w:hint="default" w:ascii="Times New Roman" w:hAnsi="Times New Roman" w:cs="Times New Roman"/>
                <w:snapToGrid w:val="0"/>
                <w:color w:val="auto"/>
                <w:sz w:val="18"/>
                <w:szCs w:val="18"/>
              </w:rPr>
            </w:pPr>
          </w:p>
        </w:tc>
        <w:tc>
          <w:tcPr>
            <w:tcW w:w="413" w:type="pct"/>
            <w:vMerge w:val="continue"/>
            <w:noWrap w:val="0"/>
            <w:vAlign w:val="center"/>
          </w:tcPr>
          <w:p w14:paraId="0989CC0E">
            <w:pPr>
              <w:pStyle w:val="26"/>
              <w:jc w:val="center"/>
              <w:outlineLvl w:val="0"/>
              <w:rPr>
                <w:rFonts w:hint="default" w:ascii="Times New Roman" w:hAnsi="Times New Roman" w:cs="Times New Roman"/>
                <w:snapToGrid w:val="0"/>
                <w:color w:val="auto"/>
                <w:sz w:val="18"/>
                <w:szCs w:val="18"/>
              </w:rPr>
            </w:pPr>
          </w:p>
        </w:tc>
        <w:tc>
          <w:tcPr>
            <w:tcW w:w="291" w:type="pct"/>
            <w:noWrap w:val="0"/>
            <w:vAlign w:val="center"/>
          </w:tcPr>
          <w:p w14:paraId="4216E1DD">
            <w:pPr>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0.05</w:t>
            </w:r>
          </w:p>
        </w:tc>
        <w:tc>
          <w:tcPr>
            <w:tcW w:w="360" w:type="pct"/>
            <w:vMerge w:val="continue"/>
            <w:noWrap w:val="0"/>
            <w:vAlign w:val="center"/>
          </w:tcPr>
          <w:p w14:paraId="1B9086A9">
            <w:pPr>
              <w:pStyle w:val="26"/>
              <w:jc w:val="center"/>
              <w:outlineLvl w:val="0"/>
              <w:rPr>
                <w:rFonts w:hint="default" w:ascii="Times New Roman" w:hAnsi="Times New Roman" w:cs="Times New Roman"/>
                <w:snapToGrid w:val="0"/>
                <w:color w:val="auto"/>
                <w:sz w:val="18"/>
                <w:szCs w:val="18"/>
              </w:rPr>
            </w:pPr>
          </w:p>
        </w:tc>
        <w:tc>
          <w:tcPr>
            <w:tcW w:w="841" w:type="dxa"/>
            <w:noWrap w:val="0"/>
            <w:vAlign w:val="center"/>
          </w:tcPr>
          <w:p w14:paraId="14A12386">
            <w:pPr>
              <w:spacing w:line="240" w:lineRule="exact"/>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0.05</w:t>
            </w:r>
          </w:p>
        </w:tc>
        <w:tc>
          <w:tcPr>
            <w:tcW w:w="981" w:type="pct"/>
            <w:vMerge w:val="continue"/>
            <w:noWrap w:val="0"/>
            <w:vAlign w:val="center"/>
          </w:tcPr>
          <w:p w14:paraId="7BE3A87E">
            <w:pPr>
              <w:pStyle w:val="26"/>
              <w:jc w:val="center"/>
              <w:outlineLvl w:val="0"/>
              <w:rPr>
                <w:rFonts w:hint="default" w:ascii="Times New Roman" w:hAnsi="Times New Roman" w:cs="Times New Roman"/>
                <w:snapToGrid w:val="0"/>
                <w:color w:val="auto"/>
                <w:sz w:val="18"/>
                <w:szCs w:val="18"/>
              </w:rPr>
            </w:pPr>
          </w:p>
        </w:tc>
      </w:tr>
      <w:tr w14:paraId="42EC3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3058" w:type="pct"/>
            <w:gridSpan w:val="5"/>
            <w:noWrap w:val="0"/>
            <w:vAlign w:val="center"/>
          </w:tcPr>
          <w:p w14:paraId="4F96FC5D">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b/>
                <w:snapToGrid w:val="0"/>
                <w:color w:val="auto"/>
                <w:sz w:val="18"/>
                <w:szCs w:val="18"/>
              </w:rPr>
              <w:t>小计</w:t>
            </w:r>
          </w:p>
        </w:tc>
        <w:tc>
          <w:tcPr>
            <w:tcW w:w="291" w:type="pct"/>
            <w:noWrap w:val="0"/>
            <w:vAlign w:val="center"/>
          </w:tcPr>
          <w:p w14:paraId="08E46E1D">
            <w:pPr>
              <w:pStyle w:val="26"/>
              <w:jc w:val="center"/>
              <w:outlineLvl w:val="0"/>
              <w:rPr>
                <w:rFonts w:hint="default" w:ascii="Times New Roman" w:hAnsi="Times New Roman" w:eastAsia="宋体" w:cs="Times New Roman"/>
                <w:b/>
                <w:snapToGrid w:val="0"/>
                <w:color w:val="auto"/>
                <w:sz w:val="18"/>
                <w:szCs w:val="18"/>
                <w:lang w:val="en-US" w:eastAsia="zh-CN"/>
              </w:rPr>
            </w:pPr>
            <w:r>
              <w:rPr>
                <w:rFonts w:hint="eastAsia" w:ascii="Times New Roman" w:hAnsi="Times New Roman" w:cs="Times New Roman"/>
                <w:b/>
                <w:snapToGrid w:val="0"/>
                <w:color w:val="auto"/>
                <w:sz w:val="18"/>
                <w:szCs w:val="18"/>
                <w:lang w:val="en-US" w:eastAsia="zh-CN"/>
              </w:rPr>
              <w:t>10.702</w:t>
            </w:r>
          </w:p>
        </w:tc>
        <w:tc>
          <w:tcPr>
            <w:tcW w:w="360" w:type="pct"/>
            <w:noWrap w:val="0"/>
            <w:vAlign w:val="center"/>
          </w:tcPr>
          <w:p w14:paraId="557C81E3">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841" w:type="dxa"/>
            <w:noWrap w:val="0"/>
            <w:vAlign w:val="center"/>
          </w:tcPr>
          <w:p w14:paraId="13BDDD2E">
            <w:pPr>
              <w:pStyle w:val="26"/>
              <w:jc w:val="center"/>
              <w:outlineLvl w:val="0"/>
              <w:rPr>
                <w:rFonts w:hint="default" w:ascii="Times New Roman" w:hAnsi="Times New Roman" w:eastAsia="宋体" w:cs="Times New Roman"/>
                <w:snapToGrid w:val="0"/>
                <w:color w:val="auto"/>
                <w:sz w:val="18"/>
                <w:szCs w:val="18"/>
                <w:lang w:eastAsia="zh-CN"/>
              </w:rPr>
            </w:pPr>
            <w:r>
              <w:rPr>
                <w:rFonts w:hint="eastAsia" w:ascii="Times New Roman" w:hAnsi="Times New Roman" w:cs="Times New Roman"/>
                <w:b/>
                <w:snapToGrid w:val="0"/>
                <w:color w:val="auto"/>
                <w:sz w:val="18"/>
                <w:szCs w:val="18"/>
                <w:lang w:val="en-US" w:eastAsia="zh-CN"/>
              </w:rPr>
              <w:t>10.702</w:t>
            </w:r>
          </w:p>
        </w:tc>
        <w:tc>
          <w:tcPr>
            <w:tcW w:w="981" w:type="pct"/>
            <w:noWrap w:val="0"/>
            <w:vAlign w:val="center"/>
          </w:tcPr>
          <w:p w14:paraId="1DC022D4">
            <w:pPr>
              <w:pStyle w:val="26"/>
              <w:jc w:val="center"/>
              <w:outlineLvl w:val="0"/>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bl>
    <w:p w14:paraId="3A851A1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color w:val="auto"/>
          <w:szCs w:val="21"/>
        </w:rPr>
        <w:t>表4-1</w:t>
      </w:r>
      <w:r>
        <w:rPr>
          <w:rFonts w:hint="eastAsia" w:ascii="Times New Roman" w:hAnsi="Times New Roman" w:cs="Times New Roman"/>
          <w:b/>
          <w:color w:val="auto"/>
          <w:szCs w:val="21"/>
          <w:lang w:val="en-US" w:eastAsia="zh-CN"/>
        </w:rPr>
        <w:t>5</w:t>
      </w:r>
      <w:r>
        <w:rPr>
          <w:rFonts w:hint="default" w:ascii="Times New Roman" w:hAnsi="Times New Roman" w:cs="Times New Roman"/>
          <w:b/>
          <w:color w:val="auto"/>
          <w:szCs w:val="21"/>
        </w:rPr>
        <w:t xml:space="preserve">  危险废物汇总表</w:t>
      </w:r>
    </w:p>
    <w:tbl>
      <w:tblPr>
        <w:tblStyle w:val="30"/>
        <w:tblW w:w="501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41"/>
        <w:gridCol w:w="1529"/>
        <w:gridCol w:w="1091"/>
        <w:gridCol w:w="1364"/>
        <w:gridCol w:w="1091"/>
        <w:gridCol w:w="1532"/>
        <w:gridCol w:w="698"/>
        <w:gridCol w:w="1232"/>
        <w:gridCol w:w="1020"/>
        <w:gridCol w:w="977"/>
        <w:gridCol w:w="980"/>
        <w:gridCol w:w="1462"/>
      </w:tblGrid>
      <w:tr w14:paraId="5E2FA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5690B196">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序号</w:t>
            </w:r>
          </w:p>
        </w:tc>
        <w:tc>
          <w:tcPr>
            <w:tcW w:w="565" w:type="pct"/>
            <w:noWrap w:val="0"/>
            <w:vAlign w:val="center"/>
          </w:tcPr>
          <w:p w14:paraId="4AABD274">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rPr>
              <w:t>危险废物</w:t>
            </w:r>
            <w:r>
              <w:rPr>
                <w:rFonts w:hint="default" w:ascii="Times New Roman" w:hAnsi="Times New Roman" w:eastAsia="宋体" w:cs="Times New Roman"/>
                <w:b/>
                <w:color w:val="auto"/>
                <w:sz w:val="18"/>
                <w:szCs w:val="18"/>
                <w:lang w:eastAsia="zh-CN"/>
              </w:rPr>
              <w:t>名称</w:t>
            </w:r>
          </w:p>
        </w:tc>
        <w:tc>
          <w:tcPr>
            <w:tcW w:w="403" w:type="pct"/>
            <w:noWrap w:val="0"/>
            <w:vAlign w:val="center"/>
          </w:tcPr>
          <w:p w14:paraId="07B9C798">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rPr>
              <w:t>危险废物</w:t>
            </w:r>
            <w:r>
              <w:rPr>
                <w:rFonts w:hint="default" w:ascii="Times New Roman" w:hAnsi="Times New Roman" w:eastAsia="宋体" w:cs="Times New Roman"/>
                <w:b/>
                <w:color w:val="auto"/>
                <w:sz w:val="18"/>
                <w:szCs w:val="18"/>
                <w:lang w:eastAsia="zh-CN"/>
              </w:rPr>
              <w:t>类别</w:t>
            </w:r>
          </w:p>
        </w:tc>
        <w:tc>
          <w:tcPr>
            <w:tcW w:w="504" w:type="pct"/>
            <w:noWrap w:val="0"/>
            <w:vAlign w:val="center"/>
          </w:tcPr>
          <w:p w14:paraId="22374AC6">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rPr>
              <w:t>危险废物</w:t>
            </w:r>
            <w:r>
              <w:rPr>
                <w:rFonts w:hint="default" w:ascii="Times New Roman" w:hAnsi="Times New Roman" w:eastAsia="宋体" w:cs="Times New Roman"/>
                <w:b/>
                <w:color w:val="auto"/>
                <w:sz w:val="18"/>
                <w:szCs w:val="18"/>
                <w:lang w:eastAsia="zh-CN"/>
              </w:rPr>
              <w:t>代码</w:t>
            </w:r>
          </w:p>
        </w:tc>
        <w:tc>
          <w:tcPr>
            <w:tcW w:w="403" w:type="pct"/>
            <w:noWrap w:val="0"/>
            <w:vAlign w:val="center"/>
          </w:tcPr>
          <w:p w14:paraId="306D5782">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产生量</w:t>
            </w:r>
          </w:p>
          <w:p w14:paraId="422666F7">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eastAsia" w:ascii="Times New Roman" w:hAnsi="Times New Roman" w:cs="Times New Roman"/>
                <w:b/>
                <w:color w:val="auto"/>
                <w:sz w:val="18"/>
                <w:szCs w:val="18"/>
                <w:lang w:eastAsia="zh-CN"/>
              </w:rPr>
              <w:t>(</w:t>
            </w:r>
            <w:r>
              <w:rPr>
                <w:rFonts w:hint="default" w:ascii="Times New Roman" w:hAnsi="Times New Roman" w:eastAsia="宋体" w:cs="Times New Roman"/>
                <w:b/>
                <w:color w:val="auto"/>
                <w:sz w:val="18"/>
                <w:szCs w:val="18"/>
                <w:lang w:eastAsia="zh-CN"/>
              </w:rPr>
              <w:t>t/a</w:t>
            </w:r>
            <w:r>
              <w:rPr>
                <w:rFonts w:hint="eastAsia" w:ascii="Times New Roman" w:hAnsi="Times New Roman" w:cs="Times New Roman"/>
                <w:b/>
                <w:color w:val="auto"/>
                <w:sz w:val="18"/>
                <w:szCs w:val="18"/>
                <w:lang w:eastAsia="zh-CN"/>
              </w:rPr>
              <w:t>)</w:t>
            </w:r>
          </w:p>
        </w:tc>
        <w:tc>
          <w:tcPr>
            <w:tcW w:w="566" w:type="pct"/>
            <w:noWrap w:val="0"/>
            <w:vAlign w:val="center"/>
          </w:tcPr>
          <w:p w14:paraId="0C4AFA68">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产生工序</w:t>
            </w:r>
          </w:p>
        </w:tc>
        <w:tc>
          <w:tcPr>
            <w:tcW w:w="258" w:type="pct"/>
            <w:noWrap w:val="0"/>
            <w:vAlign w:val="center"/>
          </w:tcPr>
          <w:p w14:paraId="125B066A">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形态</w:t>
            </w:r>
          </w:p>
        </w:tc>
        <w:tc>
          <w:tcPr>
            <w:tcW w:w="455" w:type="pct"/>
            <w:noWrap w:val="0"/>
            <w:vAlign w:val="center"/>
          </w:tcPr>
          <w:p w14:paraId="78EDBA13">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主要成分</w:t>
            </w:r>
          </w:p>
        </w:tc>
        <w:tc>
          <w:tcPr>
            <w:tcW w:w="377" w:type="pct"/>
            <w:noWrap w:val="0"/>
            <w:vAlign w:val="center"/>
          </w:tcPr>
          <w:p w14:paraId="1E658BB1">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有害成分</w:t>
            </w:r>
          </w:p>
        </w:tc>
        <w:tc>
          <w:tcPr>
            <w:tcW w:w="361" w:type="pct"/>
            <w:noWrap w:val="0"/>
            <w:vAlign w:val="center"/>
          </w:tcPr>
          <w:p w14:paraId="5AAD2AA7">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产废周期</w:t>
            </w:r>
          </w:p>
        </w:tc>
        <w:tc>
          <w:tcPr>
            <w:tcW w:w="362" w:type="pct"/>
            <w:noWrap w:val="0"/>
            <w:vAlign w:val="center"/>
          </w:tcPr>
          <w:p w14:paraId="74352822">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危险特性</w:t>
            </w:r>
          </w:p>
        </w:tc>
        <w:tc>
          <w:tcPr>
            <w:tcW w:w="540" w:type="pct"/>
            <w:noWrap w:val="0"/>
            <w:vAlign w:val="center"/>
          </w:tcPr>
          <w:p w14:paraId="51DB5A6F">
            <w:pPr>
              <w:pStyle w:val="95"/>
              <w:adjustRightInd w:val="0"/>
              <w:snapToGrid w:val="0"/>
              <w:spacing w:line="240" w:lineRule="auto"/>
              <w:jc w:val="center"/>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污染防治措施</w:t>
            </w:r>
          </w:p>
        </w:tc>
      </w:tr>
      <w:tr w14:paraId="19599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24DD3839">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c>
          <w:tcPr>
            <w:tcW w:w="565" w:type="pct"/>
            <w:noWrap w:val="0"/>
            <w:vAlign w:val="center"/>
          </w:tcPr>
          <w:p w14:paraId="70270C88">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废矿物油</w:t>
            </w:r>
          </w:p>
        </w:tc>
        <w:tc>
          <w:tcPr>
            <w:tcW w:w="403" w:type="pct"/>
            <w:noWrap w:val="0"/>
            <w:vAlign w:val="center"/>
          </w:tcPr>
          <w:p w14:paraId="705BCE1F">
            <w:pPr>
              <w:pStyle w:val="26"/>
              <w:spacing w:line="240" w:lineRule="auto"/>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color w:val="auto"/>
                <w:sz w:val="18"/>
                <w:szCs w:val="18"/>
              </w:rPr>
              <w:t>HW08</w:t>
            </w:r>
          </w:p>
        </w:tc>
        <w:tc>
          <w:tcPr>
            <w:tcW w:w="504" w:type="pct"/>
            <w:noWrap w:val="0"/>
            <w:vAlign w:val="center"/>
          </w:tcPr>
          <w:p w14:paraId="3C8AD3C1">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900-249-08</w:t>
            </w:r>
          </w:p>
        </w:tc>
        <w:tc>
          <w:tcPr>
            <w:tcW w:w="403" w:type="pct"/>
            <w:noWrap w:val="0"/>
            <w:vAlign w:val="center"/>
          </w:tcPr>
          <w:p w14:paraId="22A04789">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0.74</w:t>
            </w:r>
          </w:p>
        </w:tc>
        <w:tc>
          <w:tcPr>
            <w:tcW w:w="566" w:type="pct"/>
            <w:vMerge w:val="restart"/>
            <w:noWrap w:val="0"/>
            <w:vAlign w:val="center"/>
          </w:tcPr>
          <w:p w14:paraId="6F20C628">
            <w:pPr>
              <w:pStyle w:val="26"/>
              <w:spacing w:line="240" w:lineRule="auto"/>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rPr>
              <w:t>设备维修保养</w:t>
            </w:r>
          </w:p>
        </w:tc>
        <w:tc>
          <w:tcPr>
            <w:tcW w:w="258" w:type="pct"/>
            <w:noWrap w:val="0"/>
            <w:vAlign w:val="center"/>
          </w:tcPr>
          <w:p w14:paraId="4A944584">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液体</w:t>
            </w:r>
          </w:p>
        </w:tc>
        <w:tc>
          <w:tcPr>
            <w:tcW w:w="455" w:type="pct"/>
            <w:noWrap w:val="0"/>
            <w:vAlign w:val="center"/>
          </w:tcPr>
          <w:p w14:paraId="77826CF2">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矿物油</w:t>
            </w:r>
          </w:p>
        </w:tc>
        <w:tc>
          <w:tcPr>
            <w:tcW w:w="377" w:type="pct"/>
            <w:noWrap w:val="0"/>
            <w:vAlign w:val="center"/>
          </w:tcPr>
          <w:p w14:paraId="106372BA">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矿物油</w:t>
            </w:r>
          </w:p>
        </w:tc>
        <w:tc>
          <w:tcPr>
            <w:tcW w:w="361" w:type="pct"/>
            <w:noWrap w:val="0"/>
            <w:vAlign w:val="center"/>
          </w:tcPr>
          <w:p w14:paraId="26444C77">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每年</w:t>
            </w:r>
          </w:p>
        </w:tc>
        <w:tc>
          <w:tcPr>
            <w:tcW w:w="362" w:type="pct"/>
            <w:noWrap w:val="0"/>
            <w:vAlign w:val="center"/>
          </w:tcPr>
          <w:p w14:paraId="1D3F6D3C">
            <w:pPr>
              <w:pStyle w:val="95"/>
              <w:adjustRightInd w:val="0"/>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T、I</w:t>
            </w:r>
          </w:p>
        </w:tc>
        <w:tc>
          <w:tcPr>
            <w:tcW w:w="540" w:type="pct"/>
            <w:vMerge w:val="restart"/>
            <w:noWrap w:val="0"/>
            <w:vAlign w:val="center"/>
          </w:tcPr>
          <w:p w14:paraId="29EEB3DC">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交由有危废资质单位处理</w:t>
            </w:r>
          </w:p>
        </w:tc>
      </w:tr>
      <w:tr w14:paraId="41015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1D05B4B5">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c>
          <w:tcPr>
            <w:tcW w:w="565" w:type="pct"/>
            <w:noWrap w:val="0"/>
            <w:vAlign w:val="center"/>
          </w:tcPr>
          <w:p w14:paraId="457DCDB6">
            <w:pPr>
              <w:spacing w:line="240" w:lineRule="auto"/>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废油桶</w:t>
            </w:r>
          </w:p>
        </w:tc>
        <w:tc>
          <w:tcPr>
            <w:tcW w:w="403" w:type="pct"/>
            <w:noWrap w:val="0"/>
            <w:vAlign w:val="center"/>
          </w:tcPr>
          <w:p w14:paraId="4CB639CE">
            <w:pPr>
              <w:pStyle w:val="26"/>
              <w:spacing w:line="240" w:lineRule="auto"/>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color w:val="auto"/>
                <w:sz w:val="18"/>
                <w:szCs w:val="18"/>
              </w:rPr>
              <w:t>HW49</w:t>
            </w:r>
          </w:p>
        </w:tc>
        <w:tc>
          <w:tcPr>
            <w:tcW w:w="504" w:type="pct"/>
            <w:noWrap w:val="0"/>
            <w:vAlign w:val="center"/>
          </w:tcPr>
          <w:p w14:paraId="0C6445C9">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900-041-49</w:t>
            </w:r>
          </w:p>
        </w:tc>
        <w:tc>
          <w:tcPr>
            <w:tcW w:w="403" w:type="pct"/>
            <w:noWrap w:val="0"/>
            <w:vAlign w:val="center"/>
          </w:tcPr>
          <w:p w14:paraId="64720E01">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0.042</w:t>
            </w:r>
          </w:p>
        </w:tc>
        <w:tc>
          <w:tcPr>
            <w:tcW w:w="566" w:type="pct"/>
            <w:vMerge w:val="continue"/>
            <w:noWrap w:val="0"/>
            <w:vAlign w:val="center"/>
          </w:tcPr>
          <w:p w14:paraId="483A3F00">
            <w:pPr>
              <w:pStyle w:val="26"/>
              <w:spacing w:line="240" w:lineRule="auto"/>
              <w:jc w:val="center"/>
              <w:outlineLvl w:val="0"/>
              <w:rPr>
                <w:rFonts w:hint="default" w:ascii="Times New Roman" w:hAnsi="Times New Roman" w:eastAsia="宋体" w:cs="Times New Roman"/>
                <w:snapToGrid w:val="0"/>
                <w:color w:val="auto"/>
                <w:sz w:val="18"/>
                <w:szCs w:val="18"/>
              </w:rPr>
            </w:pPr>
          </w:p>
        </w:tc>
        <w:tc>
          <w:tcPr>
            <w:tcW w:w="258" w:type="pct"/>
            <w:noWrap w:val="0"/>
            <w:vAlign w:val="center"/>
          </w:tcPr>
          <w:p w14:paraId="642FEBEF">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固态</w:t>
            </w:r>
          </w:p>
        </w:tc>
        <w:tc>
          <w:tcPr>
            <w:tcW w:w="455" w:type="pct"/>
            <w:noWrap w:val="0"/>
            <w:vAlign w:val="center"/>
          </w:tcPr>
          <w:p w14:paraId="30CF4EBC">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矿物油</w:t>
            </w:r>
          </w:p>
        </w:tc>
        <w:tc>
          <w:tcPr>
            <w:tcW w:w="377" w:type="pct"/>
            <w:noWrap w:val="0"/>
            <w:vAlign w:val="center"/>
          </w:tcPr>
          <w:p w14:paraId="3C4BDC16">
            <w:pPr>
              <w:adjustRightInd w:val="0"/>
              <w:snapToGri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矿物油</w:t>
            </w:r>
          </w:p>
        </w:tc>
        <w:tc>
          <w:tcPr>
            <w:tcW w:w="361" w:type="pct"/>
            <w:noWrap w:val="0"/>
            <w:vAlign w:val="center"/>
          </w:tcPr>
          <w:p w14:paraId="6969BDAC">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每月</w:t>
            </w:r>
          </w:p>
        </w:tc>
        <w:tc>
          <w:tcPr>
            <w:tcW w:w="362" w:type="pct"/>
            <w:noWrap w:val="0"/>
            <w:vAlign w:val="center"/>
          </w:tcPr>
          <w:p w14:paraId="0C09D564">
            <w:pPr>
              <w:adjustRightInd w:val="0"/>
              <w:snapToGrid w:val="0"/>
              <w:spacing w:line="240" w:lineRule="auto"/>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T</w:t>
            </w:r>
          </w:p>
        </w:tc>
        <w:tc>
          <w:tcPr>
            <w:tcW w:w="540" w:type="pct"/>
            <w:vMerge w:val="continue"/>
            <w:noWrap w:val="0"/>
            <w:vAlign w:val="center"/>
          </w:tcPr>
          <w:p w14:paraId="569DDF8F">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p>
        </w:tc>
      </w:tr>
      <w:tr w14:paraId="5AA98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4045DA31">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w:t>
            </w:r>
          </w:p>
        </w:tc>
        <w:tc>
          <w:tcPr>
            <w:tcW w:w="565" w:type="pct"/>
            <w:noWrap w:val="0"/>
            <w:vAlign w:val="center"/>
          </w:tcPr>
          <w:p w14:paraId="4F13984C">
            <w:pPr>
              <w:pStyle w:val="7"/>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0"/>
                <w:sz w:val="18"/>
                <w:szCs w:val="18"/>
              </w:rPr>
              <w:t>废含油棉纱、手套</w:t>
            </w:r>
          </w:p>
        </w:tc>
        <w:tc>
          <w:tcPr>
            <w:tcW w:w="403" w:type="pct"/>
            <w:noWrap w:val="0"/>
            <w:vAlign w:val="center"/>
          </w:tcPr>
          <w:p w14:paraId="1072EDC1">
            <w:pPr>
              <w:pStyle w:val="26"/>
              <w:spacing w:line="240" w:lineRule="auto"/>
              <w:jc w:val="center"/>
              <w:outlineLvl w:val="0"/>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color w:val="auto"/>
                <w:sz w:val="18"/>
                <w:szCs w:val="18"/>
              </w:rPr>
              <w:t>HW49</w:t>
            </w:r>
          </w:p>
        </w:tc>
        <w:tc>
          <w:tcPr>
            <w:tcW w:w="504" w:type="pct"/>
            <w:noWrap w:val="0"/>
            <w:vAlign w:val="center"/>
          </w:tcPr>
          <w:p w14:paraId="1DD42D82">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900-041-49</w:t>
            </w:r>
          </w:p>
        </w:tc>
        <w:tc>
          <w:tcPr>
            <w:tcW w:w="403" w:type="pct"/>
            <w:noWrap w:val="0"/>
            <w:vAlign w:val="center"/>
          </w:tcPr>
          <w:p w14:paraId="305EE796">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0.01</w:t>
            </w:r>
          </w:p>
        </w:tc>
        <w:tc>
          <w:tcPr>
            <w:tcW w:w="566" w:type="pct"/>
            <w:vMerge w:val="continue"/>
            <w:noWrap w:val="0"/>
            <w:vAlign w:val="center"/>
          </w:tcPr>
          <w:p w14:paraId="1FF66CED">
            <w:pPr>
              <w:pStyle w:val="26"/>
              <w:spacing w:line="240" w:lineRule="auto"/>
              <w:jc w:val="center"/>
              <w:outlineLvl w:val="0"/>
              <w:rPr>
                <w:rFonts w:hint="default" w:ascii="Times New Roman" w:hAnsi="Times New Roman" w:eastAsia="宋体" w:cs="Times New Roman"/>
                <w:snapToGrid w:val="0"/>
                <w:color w:val="auto"/>
                <w:sz w:val="18"/>
                <w:szCs w:val="18"/>
              </w:rPr>
            </w:pPr>
          </w:p>
        </w:tc>
        <w:tc>
          <w:tcPr>
            <w:tcW w:w="258" w:type="pct"/>
            <w:noWrap w:val="0"/>
            <w:vAlign w:val="center"/>
          </w:tcPr>
          <w:p w14:paraId="09DAE29D">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固体</w:t>
            </w:r>
          </w:p>
        </w:tc>
        <w:tc>
          <w:tcPr>
            <w:tcW w:w="455" w:type="pct"/>
            <w:noWrap w:val="0"/>
            <w:vAlign w:val="center"/>
          </w:tcPr>
          <w:p w14:paraId="6C7CFF40">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纤维、矿物油</w:t>
            </w:r>
          </w:p>
        </w:tc>
        <w:tc>
          <w:tcPr>
            <w:tcW w:w="377" w:type="pct"/>
            <w:noWrap w:val="0"/>
            <w:vAlign w:val="center"/>
          </w:tcPr>
          <w:p w14:paraId="4C6EC4F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矿物油</w:t>
            </w:r>
          </w:p>
        </w:tc>
        <w:tc>
          <w:tcPr>
            <w:tcW w:w="361" w:type="pct"/>
            <w:noWrap w:val="0"/>
            <w:vAlign w:val="center"/>
          </w:tcPr>
          <w:p w14:paraId="21FF0239">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每个月</w:t>
            </w:r>
          </w:p>
        </w:tc>
        <w:tc>
          <w:tcPr>
            <w:tcW w:w="362" w:type="pct"/>
            <w:noWrap w:val="0"/>
            <w:vAlign w:val="center"/>
          </w:tcPr>
          <w:p w14:paraId="6AEE14A7">
            <w:pPr>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T</w:t>
            </w:r>
          </w:p>
        </w:tc>
        <w:tc>
          <w:tcPr>
            <w:tcW w:w="540" w:type="pct"/>
            <w:vMerge w:val="continue"/>
            <w:noWrap w:val="0"/>
            <w:vAlign w:val="center"/>
          </w:tcPr>
          <w:p w14:paraId="73789BBD">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p>
        </w:tc>
      </w:tr>
      <w:tr w14:paraId="2566F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03966B48">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4</w:t>
            </w:r>
          </w:p>
        </w:tc>
        <w:tc>
          <w:tcPr>
            <w:tcW w:w="565" w:type="pct"/>
            <w:noWrap w:val="0"/>
            <w:vAlign w:val="center"/>
          </w:tcPr>
          <w:p w14:paraId="2B1FCBA5">
            <w:pPr>
              <w:pStyle w:val="7"/>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废活性炭</w:t>
            </w:r>
          </w:p>
        </w:tc>
        <w:tc>
          <w:tcPr>
            <w:tcW w:w="403" w:type="pct"/>
            <w:noWrap w:val="0"/>
            <w:vAlign w:val="center"/>
          </w:tcPr>
          <w:p w14:paraId="071A14D8">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color w:val="auto"/>
                <w:sz w:val="18"/>
                <w:szCs w:val="18"/>
              </w:rPr>
              <w:t>HW49</w:t>
            </w:r>
          </w:p>
        </w:tc>
        <w:tc>
          <w:tcPr>
            <w:tcW w:w="504" w:type="pct"/>
            <w:noWrap w:val="0"/>
            <w:vAlign w:val="center"/>
          </w:tcPr>
          <w:p w14:paraId="1340CF7C">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900-039-49</w:t>
            </w:r>
          </w:p>
        </w:tc>
        <w:tc>
          <w:tcPr>
            <w:tcW w:w="403" w:type="pct"/>
            <w:noWrap w:val="0"/>
            <w:vAlign w:val="center"/>
          </w:tcPr>
          <w:p w14:paraId="6D53CBDB">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9.85</w:t>
            </w:r>
          </w:p>
        </w:tc>
        <w:tc>
          <w:tcPr>
            <w:tcW w:w="566" w:type="pct"/>
            <w:noWrap w:val="0"/>
            <w:vAlign w:val="center"/>
          </w:tcPr>
          <w:p w14:paraId="2716D7CA">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rPr>
              <w:t>废气处理</w:t>
            </w:r>
          </w:p>
        </w:tc>
        <w:tc>
          <w:tcPr>
            <w:tcW w:w="258" w:type="pct"/>
            <w:noWrap w:val="0"/>
            <w:vAlign w:val="center"/>
          </w:tcPr>
          <w:p w14:paraId="6D2F0A78">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en-US" w:bidi="ar-SA"/>
              </w:rPr>
            </w:pPr>
            <w:r>
              <w:rPr>
                <w:rFonts w:hint="default" w:ascii="Times New Roman" w:hAnsi="Times New Roman" w:eastAsia="宋体" w:cs="Times New Roman"/>
                <w:color w:val="auto"/>
                <w:sz w:val="18"/>
                <w:szCs w:val="18"/>
                <w:lang w:eastAsia="zh-CN"/>
              </w:rPr>
              <w:t>固体</w:t>
            </w:r>
          </w:p>
        </w:tc>
        <w:tc>
          <w:tcPr>
            <w:tcW w:w="455" w:type="pct"/>
            <w:noWrap w:val="0"/>
            <w:vAlign w:val="center"/>
          </w:tcPr>
          <w:p w14:paraId="1BF1CA74">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eastAsia="zh-CN"/>
              </w:rPr>
              <w:t>带有机废气的活性炭</w:t>
            </w:r>
          </w:p>
        </w:tc>
        <w:tc>
          <w:tcPr>
            <w:tcW w:w="377" w:type="pct"/>
            <w:noWrap w:val="0"/>
            <w:vAlign w:val="center"/>
          </w:tcPr>
          <w:p w14:paraId="6729221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有机物</w:t>
            </w:r>
          </w:p>
        </w:tc>
        <w:tc>
          <w:tcPr>
            <w:tcW w:w="361" w:type="pct"/>
            <w:noWrap w:val="0"/>
            <w:vAlign w:val="center"/>
          </w:tcPr>
          <w:p w14:paraId="1D0A6648">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eastAsia="zh-CN"/>
              </w:rPr>
              <w:t>每</w:t>
            </w:r>
            <w:r>
              <w:rPr>
                <w:rFonts w:hint="default" w:ascii="Times New Roman" w:hAnsi="Times New Roman" w:eastAsia="宋体" w:cs="Times New Roman"/>
                <w:color w:val="auto"/>
                <w:sz w:val="18"/>
                <w:szCs w:val="18"/>
                <w:lang w:val="en-US" w:eastAsia="zh-CN"/>
              </w:rPr>
              <w:t>季度</w:t>
            </w:r>
          </w:p>
        </w:tc>
        <w:tc>
          <w:tcPr>
            <w:tcW w:w="362" w:type="pct"/>
            <w:noWrap w:val="0"/>
            <w:vAlign w:val="center"/>
          </w:tcPr>
          <w:p w14:paraId="3DD80318">
            <w:pPr>
              <w:adjustRightInd w:val="0"/>
              <w:snapToGrid w:val="0"/>
              <w:spacing w:line="240" w:lineRule="auto"/>
              <w:jc w:val="center"/>
              <w:rPr>
                <w:rFonts w:hint="default" w:ascii="Times New Roman" w:hAnsi="Times New Roman" w:eastAsia="宋体" w:cs="Times New Roman"/>
                <w:color w:val="auto"/>
                <w:kern w:val="0"/>
                <w:sz w:val="18"/>
                <w:szCs w:val="18"/>
                <w:lang w:val="en-US" w:eastAsia="en-US" w:bidi="ar-SA"/>
              </w:rPr>
            </w:pPr>
            <w:r>
              <w:rPr>
                <w:rFonts w:hint="default" w:ascii="Times New Roman" w:hAnsi="Times New Roman" w:eastAsia="宋体" w:cs="Times New Roman"/>
                <w:color w:val="auto"/>
                <w:sz w:val="18"/>
                <w:szCs w:val="18"/>
                <w:lang w:val="en-US" w:eastAsia="zh-CN"/>
              </w:rPr>
              <w:t>T</w:t>
            </w:r>
          </w:p>
        </w:tc>
        <w:tc>
          <w:tcPr>
            <w:tcW w:w="540" w:type="pct"/>
            <w:vMerge w:val="continue"/>
            <w:noWrap w:val="0"/>
            <w:vAlign w:val="center"/>
          </w:tcPr>
          <w:p w14:paraId="4F618515">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p>
        </w:tc>
      </w:tr>
      <w:tr w14:paraId="4E2DA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1C8C99C0">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5</w:t>
            </w:r>
          </w:p>
        </w:tc>
        <w:tc>
          <w:tcPr>
            <w:tcW w:w="565" w:type="pct"/>
            <w:noWrap w:val="0"/>
            <w:vAlign w:val="center"/>
          </w:tcPr>
          <w:p w14:paraId="42C9AE63">
            <w:pPr>
              <w:pStyle w:val="7"/>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空压机含油冷凝液</w:t>
            </w:r>
          </w:p>
        </w:tc>
        <w:tc>
          <w:tcPr>
            <w:tcW w:w="403" w:type="pct"/>
            <w:noWrap w:val="0"/>
            <w:vAlign w:val="center"/>
          </w:tcPr>
          <w:p w14:paraId="7386E851">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color w:val="auto"/>
                <w:sz w:val="18"/>
                <w:szCs w:val="18"/>
              </w:rPr>
              <w:t>HW49</w:t>
            </w:r>
          </w:p>
        </w:tc>
        <w:tc>
          <w:tcPr>
            <w:tcW w:w="504" w:type="pct"/>
            <w:noWrap w:val="0"/>
            <w:vAlign w:val="center"/>
          </w:tcPr>
          <w:p w14:paraId="2064631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900-0</w:t>
            </w:r>
            <w:r>
              <w:rPr>
                <w:rFonts w:hint="default" w:ascii="Times New Roman" w:hAnsi="Times New Roman" w:eastAsia="宋体" w:cs="Times New Roman"/>
                <w:color w:val="auto"/>
                <w:sz w:val="18"/>
                <w:szCs w:val="18"/>
                <w:lang w:val="en-US" w:eastAsia="zh-CN"/>
              </w:rPr>
              <w:t>07</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09</w:t>
            </w:r>
          </w:p>
        </w:tc>
        <w:tc>
          <w:tcPr>
            <w:tcW w:w="403" w:type="pct"/>
            <w:noWrap w:val="0"/>
            <w:vAlign w:val="center"/>
          </w:tcPr>
          <w:p w14:paraId="1EF6135B">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0.05</w:t>
            </w:r>
          </w:p>
        </w:tc>
        <w:tc>
          <w:tcPr>
            <w:tcW w:w="566" w:type="pct"/>
            <w:noWrap w:val="0"/>
            <w:vAlign w:val="center"/>
          </w:tcPr>
          <w:p w14:paraId="474238E7">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lang w:val="en-US" w:eastAsia="zh-CN"/>
              </w:rPr>
              <w:t>空压机</w:t>
            </w:r>
          </w:p>
        </w:tc>
        <w:tc>
          <w:tcPr>
            <w:tcW w:w="258" w:type="pct"/>
            <w:noWrap w:val="0"/>
            <w:vAlign w:val="center"/>
          </w:tcPr>
          <w:p w14:paraId="572EC79D">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eastAsia="zh-CN"/>
              </w:rPr>
              <w:t>液体</w:t>
            </w:r>
          </w:p>
        </w:tc>
        <w:tc>
          <w:tcPr>
            <w:tcW w:w="455" w:type="pct"/>
            <w:noWrap w:val="0"/>
            <w:vAlign w:val="center"/>
          </w:tcPr>
          <w:p w14:paraId="08D36BD2">
            <w:pPr>
              <w:adjustRightInd w:val="0"/>
              <w:snapToGrid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矿物油</w:t>
            </w:r>
          </w:p>
        </w:tc>
        <w:tc>
          <w:tcPr>
            <w:tcW w:w="377" w:type="pct"/>
            <w:noWrap w:val="0"/>
            <w:vAlign w:val="center"/>
          </w:tcPr>
          <w:p w14:paraId="40E0F5B7">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矿物油</w:t>
            </w:r>
          </w:p>
        </w:tc>
        <w:tc>
          <w:tcPr>
            <w:tcW w:w="361" w:type="pct"/>
            <w:noWrap w:val="0"/>
            <w:vAlign w:val="center"/>
          </w:tcPr>
          <w:p w14:paraId="156C9BAF">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每月</w:t>
            </w:r>
          </w:p>
        </w:tc>
        <w:tc>
          <w:tcPr>
            <w:tcW w:w="362" w:type="pct"/>
            <w:noWrap w:val="0"/>
            <w:vAlign w:val="center"/>
          </w:tcPr>
          <w:p w14:paraId="768E1ED8">
            <w:pPr>
              <w:adjustRightInd w:val="0"/>
              <w:snapToGrid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T</w:t>
            </w:r>
          </w:p>
        </w:tc>
        <w:tc>
          <w:tcPr>
            <w:tcW w:w="540" w:type="pct"/>
            <w:vMerge w:val="continue"/>
            <w:noWrap w:val="0"/>
            <w:vAlign w:val="center"/>
          </w:tcPr>
          <w:p w14:paraId="0361DB2C">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p>
        </w:tc>
      </w:tr>
      <w:tr w14:paraId="2D687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exact"/>
        </w:trPr>
        <w:tc>
          <w:tcPr>
            <w:tcW w:w="200" w:type="pct"/>
            <w:noWrap w:val="0"/>
            <w:vAlign w:val="center"/>
          </w:tcPr>
          <w:p w14:paraId="5EA8A30A">
            <w:pPr>
              <w:pStyle w:val="95"/>
              <w:adjustRightInd w:val="0"/>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565" w:type="pct"/>
            <w:noWrap w:val="0"/>
            <w:vAlign w:val="center"/>
          </w:tcPr>
          <w:p w14:paraId="78C0B51A">
            <w:pPr>
              <w:pStyle w:val="7"/>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废过滤棉</w:t>
            </w:r>
          </w:p>
        </w:tc>
        <w:tc>
          <w:tcPr>
            <w:tcW w:w="403" w:type="pct"/>
            <w:noWrap w:val="0"/>
            <w:vAlign w:val="center"/>
          </w:tcPr>
          <w:p w14:paraId="7FDB4F0A">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color w:val="auto"/>
                <w:sz w:val="18"/>
                <w:szCs w:val="18"/>
              </w:rPr>
              <w:t>HW49</w:t>
            </w:r>
          </w:p>
        </w:tc>
        <w:tc>
          <w:tcPr>
            <w:tcW w:w="504" w:type="pct"/>
            <w:noWrap w:val="0"/>
            <w:vAlign w:val="center"/>
          </w:tcPr>
          <w:p w14:paraId="2E26E244">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900-041-49</w:t>
            </w:r>
          </w:p>
        </w:tc>
        <w:tc>
          <w:tcPr>
            <w:tcW w:w="403" w:type="pct"/>
            <w:noWrap w:val="0"/>
            <w:vAlign w:val="center"/>
          </w:tcPr>
          <w:p w14:paraId="7CD96266">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0.05</w:t>
            </w:r>
          </w:p>
        </w:tc>
        <w:tc>
          <w:tcPr>
            <w:tcW w:w="566" w:type="pct"/>
            <w:noWrap w:val="0"/>
            <w:vAlign w:val="center"/>
          </w:tcPr>
          <w:p w14:paraId="5ABC38CA">
            <w:pPr>
              <w:pStyle w:val="26"/>
              <w:spacing w:line="240" w:lineRule="auto"/>
              <w:jc w:val="center"/>
              <w:outlineLvl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rPr>
              <w:t>废气处理</w:t>
            </w:r>
          </w:p>
        </w:tc>
        <w:tc>
          <w:tcPr>
            <w:tcW w:w="258" w:type="pct"/>
            <w:noWrap w:val="0"/>
            <w:vAlign w:val="center"/>
          </w:tcPr>
          <w:p w14:paraId="22516821">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eastAsia="zh-CN"/>
              </w:rPr>
              <w:t>固体</w:t>
            </w:r>
          </w:p>
        </w:tc>
        <w:tc>
          <w:tcPr>
            <w:tcW w:w="455" w:type="pct"/>
            <w:noWrap w:val="0"/>
            <w:vAlign w:val="center"/>
          </w:tcPr>
          <w:p w14:paraId="18250D34">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纤维</w:t>
            </w:r>
            <w:r>
              <w:rPr>
                <w:rFonts w:hint="default" w:ascii="Times New Roman" w:hAnsi="Times New Roman" w:eastAsia="宋体" w:cs="Times New Roman"/>
                <w:color w:val="auto"/>
                <w:sz w:val="18"/>
                <w:szCs w:val="18"/>
                <w:lang w:eastAsia="zh-CN"/>
              </w:rPr>
              <w:t>、有机废气</w:t>
            </w:r>
          </w:p>
        </w:tc>
        <w:tc>
          <w:tcPr>
            <w:tcW w:w="377" w:type="pct"/>
            <w:noWrap w:val="0"/>
            <w:vAlign w:val="center"/>
          </w:tcPr>
          <w:p w14:paraId="46A8D0F1">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有机</w:t>
            </w:r>
          </w:p>
        </w:tc>
        <w:tc>
          <w:tcPr>
            <w:tcW w:w="361" w:type="pct"/>
            <w:noWrap w:val="0"/>
            <w:vAlign w:val="center"/>
          </w:tcPr>
          <w:p w14:paraId="609A4F36">
            <w:pPr>
              <w:pStyle w:val="95"/>
              <w:adjustRightInd w:val="0"/>
              <w:snapToGrid w:val="0"/>
              <w:spacing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每年</w:t>
            </w:r>
          </w:p>
        </w:tc>
        <w:tc>
          <w:tcPr>
            <w:tcW w:w="362" w:type="pct"/>
            <w:noWrap w:val="0"/>
            <w:vAlign w:val="center"/>
          </w:tcPr>
          <w:p w14:paraId="627DD30C">
            <w:pPr>
              <w:adjustRightInd w:val="0"/>
              <w:snapToGrid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T</w:t>
            </w:r>
          </w:p>
        </w:tc>
        <w:tc>
          <w:tcPr>
            <w:tcW w:w="540" w:type="pct"/>
            <w:vMerge w:val="continue"/>
            <w:noWrap w:val="0"/>
            <w:vAlign w:val="center"/>
          </w:tcPr>
          <w:p w14:paraId="69E712EA">
            <w:pPr>
              <w:pStyle w:val="95"/>
              <w:adjustRightInd w:val="0"/>
              <w:snapToGrid w:val="0"/>
              <w:spacing w:line="240" w:lineRule="auto"/>
              <w:jc w:val="center"/>
              <w:rPr>
                <w:rFonts w:hint="default" w:ascii="Times New Roman" w:hAnsi="Times New Roman" w:eastAsia="宋体" w:cs="Times New Roman"/>
                <w:color w:val="auto"/>
                <w:sz w:val="18"/>
                <w:szCs w:val="18"/>
                <w:lang w:eastAsia="zh-CN"/>
              </w:rPr>
            </w:pPr>
          </w:p>
        </w:tc>
      </w:tr>
    </w:tbl>
    <w:p w14:paraId="3197384A">
      <w:pPr>
        <w:pStyle w:val="26"/>
        <w:outlineLvl w:val="0"/>
        <w:rPr>
          <w:rFonts w:hint="default" w:ascii="Times New Roman" w:hAnsi="Times New Roman"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35120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5" w:hRule="atLeast"/>
          <w:jc w:val="center"/>
        </w:trPr>
        <w:tc>
          <w:tcPr>
            <w:tcW w:w="746" w:type="dxa"/>
            <w:noWrap w:val="0"/>
            <w:tcMar>
              <w:left w:w="28" w:type="dxa"/>
              <w:right w:w="28" w:type="dxa"/>
            </w:tcMar>
            <w:vAlign w:val="center"/>
          </w:tcPr>
          <w:p w14:paraId="33C3222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7492B52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5074DE0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31FE95D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2ED89E1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0BB0590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noWrap w:val="0"/>
            <w:vAlign w:val="center"/>
          </w:tcPr>
          <w:p w14:paraId="4A5E78C3">
            <w:pPr>
              <w:adjustRightInd w:val="0"/>
              <w:snapToGrid w:val="0"/>
              <w:spacing w:line="360" w:lineRule="auto"/>
              <w:ind w:firstLine="382" w:firstLineChars="200"/>
              <w:rPr>
                <w:rFonts w:hint="default" w:ascii="Times New Roman" w:hAnsi="Times New Roman" w:cs="Times New Roman"/>
                <w:b/>
                <w:bCs/>
                <w:color w:val="auto"/>
                <w:szCs w:val="21"/>
              </w:rPr>
            </w:pPr>
            <w:r>
              <w:rPr>
                <w:rFonts w:hint="default" w:ascii="Times New Roman" w:hAnsi="Times New Roman" w:cs="Times New Roman"/>
                <w:b/>
                <w:bCs/>
                <w:color w:val="auto"/>
                <w:spacing w:val="-10"/>
                <w:szCs w:val="21"/>
              </w:rPr>
              <w:t>（2）固体废物影响及防治措施</w:t>
            </w:r>
          </w:p>
          <w:p w14:paraId="28C2B797">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本项目固体废物主要为一般工业固体废物、危险废物。</w:t>
            </w:r>
          </w:p>
          <w:p w14:paraId="5B2F7E5D">
            <w:pPr>
              <w:spacing w:line="360" w:lineRule="auto"/>
              <w:ind w:firstLine="420" w:firstLineChars="200"/>
              <w:rPr>
                <w:rFonts w:hint="default" w:ascii="Times New Roman" w:hAnsi="Times New Roman" w:cs="Times New Roman"/>
                <w:snapToGrid w:val="0"/>
                <w:color w:val="auto"/>
                <w:kern w:val="0"/>
                <w:szCs w:val="21"/>
              </w:rPr>
            </w:pPr>
            <w:r>
              <w:rPr>
                <w:rFonts w:hint="default" w:ascii="Times New Roman" w:hAnsi="Times New Roman" w:cs="Times New Roman"/>
                <w:color w:val="auto"/>
                <w:szCs w:val="21"/>
              </w:rPr>
              <w:t>一般工业固体废物</w:t>
            </w:r>
            <w:r>
              <w:rPr>
                <w:rFonts w:hint="default" w:ascii="Times New Roman" w:hAnsi="Times New Roman" w:cs="Times New Roman"/>
                <w:color w:val="auto"/>
                <w:szCs w:val="21"/>
                <w:lang w:eastAsia="zh-CN"/>
              </w:rPr>
              <w:t>主要为</w:t>
            </w:r>
            <w:r>
              <w:rPr>
                <w:rFonts w:hint="eastAsia" w:ascii="Times New Roman" w:hAnsi="Times New Roman" w:cs="Times New Roman"/>
                <w:color w:val="auto"/>
                <w:szCs w:val="21"/>
                <w:lang w:eastAsia="zh-CN"/>
              </w:rPr>
              <w:t>废包装材料、废边角料、不合格品</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废包装材料</w:t>
            </w:r>
            <w:r>
              <w:rPr>
                <w:rFonts w:hint="default" w:ascii="Times New Roman" w:hAnsi="Times New Roman" w:cs="Times New Roman"/>
                <w:color w:val="auto"/>
                <w:szCs w:val="21"/>
                <w:lang w:eastAsia="zh-CN"/>
              </w:rPr>
              <w:t>集中收集后交由废品回收单位处理，</w:t>
            </w:r>
            <w:r>
              <w:rPr>
                <w:rFonts w:hint="eastAsia" w:ascii="Times New Roman" w:hAnsi="Times New Roman" w:cs="Times New Roman"/>
                <w:color w:val="auto"/>
                <w:szCs w:val="21"/>
                <w:lang w:eastAsia="zh-CN"/>
              </w:rPr>
              <w:t>废边角料及不合格产品破</w:t>
            </w:r>
            <w:r>
              <w:rPr>
                <w:rFonts w:hint="default" w:ascii="Times New Roman" w:hAnsi="Times New Roman" w:cs="Times New Roman"/>
                <w:color w:val="auto"/>
                <w:szCs w:val="21"/>
                <w:lang w:eastAsia="zh-CN"/>
              </w:rPr>
              <w:t>碎后回用于生产线</w:t>
            </w:r>
            <w:r>
              <w:rPr>
                <w:rFonts w:hint="default" w:ascii="Times New Roman" w:hAnsi="Times New Roman" w:cs="Times New Roman"/>
                <w:color w:val="auto"/>
                <w:szCs w:val="21"/>
              </w:rPr>
              <w:t>，</w:t>
            </w:r>
            <w:r>
              <w:rPr>
                <w:rFonts w:hint="default" w:ascii="Times New Roman" w:hAnsi="Times New Roman" w:eastAsia="宋体" w:cs="Times New Roman"/>
                <w:color w:val="auto"/>
                <w:szCs w:val="21"/>
              </w:rPr>
              <w:t>设一般固废暂存点，</w:t>
            </w:r>
            <w:r>
              <w:rPr>
                <w:rFonts w:hint="default" w:ascii="Times New Roman" w:hAnsi="Times New Roman" w:eastAsia="宋体" w:cs="Times New Roman"/>
                <w:color w:val="auto"/>
                <w:szCs w:val="21"/>
                <w:lang w:eastAsia="zh-CN"/>
              </w:rPr>
              <w:t>位于</w:t>
            </w:r>
            <w:r>
              <w:rPr>
                <w:rFonts w:hint="eastAsia" w:ascii="Times New Roman" w:hAnsi="Times New Roman" w:cs="Times New Roman"/>
                <w:color w:val="auto"/>
                <w:szCs w:val="21"/>
                <w:lang w:val="en-US" w:eastAsia="zh-CN"/>
              </w:rPr>
              <w:t>厂区西南侧</w:t>
            </w:r>
            <w:r>
              <w:rPr>
                <w:rFonts w:hint="default" w:ascii="Times New Roman" w:hAnsi="Times New Roman" w:eastAsia="宋体" w:cs="Times New Roman"/>
                <w:color w:val="auto"/>
                <w:szCs w:val="21"/>
              </w:rPr>
              <w:t>，约</w:t>
            </w:r>
            <w:r>
              <w:rPr>
                <w:rFonts w:hint="default"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，设标识牌</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并做好防渗漏、防雨淋、防扬尘措施。</w:t>
            </w:r>
          </w:p>
          <w:p w14:paraId="34253A72">
            <w:pPr>
              <w:pStyle w:val="7"/>
              <w:spacing w:line="360" w:lineRule="auto"/>
              <w:ind w:firstLine="480"/>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cs="Times New Roman"/>
                <w:color w:val="auto"/>
                <w:szCs w:val="21"/>
              </w:rPr>
              <w:t>本项目危险废物主要为</w:t>
            </w:r>
            <w:r>
              <w:rPr>
                <w:rFonts w:hint="eastAsia" w:cs="Times New Roman"/>
                <w:color w:val="auto"/>
                <w:szCs w:val="21"/>
                <w:lang w:eastAsia="zh-CN"/>
              </w:rPr>
              <w:t>废油桶</w:t>
            </w:r>
            <w:r>
              <w:rPr>
                <w:rFonts w:hint="eastAsia" w:ascii="Times New Roman" w:hAnsi="Times New Roman" w:cs="Times New Roman"/>
                <w:color w:val="auto"/>
                <w:szCs w:val="21"/>
                <w:lang w:eastAsia="zh-CN"/>
              </w:rPr>
              <w:t>、废矿物油、废含油棉纱和手套、废活性炭、废过滤棉、空压机含油冷凝液</w:t>
            </w:r>
            <w:r>
              <w:rPr>
                <w:rFonts w:hint="default" w:ascii="Times New Roman" w:hAnsi="Times New Roman" w:cs="Times New Roman"/>
                <w:color w:val="auto"/>
                <w:szCs w:val="21"/>
              </w:rPr>
              <w:t>，分类收集后暂存于</w:t>
            </w:r>
            <w:r>
              <w:rPr>
                <w:rFonts w:hint="eastAsia" w:ascii="Times New Roman" w:hAnsi="Times New Roman" w:cs="Times New Roman"/>
                <w:color w:val="auto"/>
                <w:szCs w:val="21"/>
                <w:lang w:eastAsia="zh-CN"/>
              </w:rPr>
              <w:t>危险废物贮存库</w:t>
            </w:r>
            <w:r>
              <w:rPr>
                <w:rFonts w:hint="default" w:ascii="Times New Roman" w:hAnsi="Times New Roman" w:cs="Times New Roman"/>
                <w:color w:val="auto"/>
                <w:szCs w:val="21"/>
              </w:rPr>
              <w:t>，定期交有资质单位处置。</w:t>
            </w:r>
            <w:r>
              <w:rPr>
                <w:rFonts w:hint="default" w:ascii="Times New Roman" w:hAnsi="Times New Roman" w:eastAsia="宋体" w:cs="Times New Roman"/>
                <w:b w:val="0"/>
                <w:bCs w:val="0"/>
                <w:snapToGrid w:val="0"/>
                <w:color w:val="auto"/>
                <w:kern w:val="0"/>
                <w:sz w:val="21"/>
                <w:szCs w:val="21"/>
              </w:rPr>
              <w:t>设置一</w:t>
            </w:r>
            <w:r>
              <w:rPr>
                <w:rFonts w:hint="eastAsia" w:ascii="Times New Roman" w:hAnsi="Times New Roman" w:cs="Times New Roman"/>
                <w:b w:val="0"/>
                <w:bCs w:val="0"/>
                <w:snapToGrid w:val="0"/>
                <w:color w:val="auto"/>
                <w:kern w:val="0"/>
                <w:sz w:val="21"/>
                <w:szCs w:val="21"/>
                <w:lang w:eastAsia="zh-CN"/>
              </w:rPr>
              <w:t>个危险废物贮存库，约5</w:t>
            </w:r>
            <w:r>
              <w:rPr>
                <w:rFonts w:hint="default" w:ascii="Times New Roman" w:hAnsi="Times New Roman" w:eastAsia="宋体" w:cs="Times New Roman"/>
                <w:b w:val="0"/>
                <w:bCs w:val="0"/>
                <w:snapToGrid w:val="0"/>
                <w:color w:val="auto"/>
                <w:kern w:val="0"/>
                <w:sz w:val="21"/>
                <w:szCs w:val="21"/>
                <w:lang w:val="en-US" w:eastAsia="zh-CN"/>
              </w:rPr>
              <w:t>m</w:t>
            </w:r>
            <w:r>
              <w:rPr>
                <w:rFonts w:hint="default" w:ascii="Times New Roman" w:hAnsi="Times New Roman" w:eastAsia="宋体" w:cs="Times New Roman"/>
                <w:b w:val="0"/>
                <w:bCs w:val="0"/>
                <w:snapToGrid w:val="0"/>
                <w:color w:val="auto"/>
                <w:kern w:val="0"/>
                <w:sz w:val="21"/>
                <w:szCs w:val="21"/>
                <w:vertAlign w:val="superscript"/>
              </w:rPr>
              <w:t>2</w:t>
            </w:r>
            <w:r>
              <w:rPr>
                <w:rFonts w:hint="default" w:ascii="Times New Roman" w:hAnsi="Times New Roman" w:eastAsia="宋体" w:cs="Times New Roman"/>
                <w:b w:val="0"/>
                <w:bCs w:val="0"/>
                <w:snapToGrid w:val="0"/>
                <w:color w:val="auto"/>
                <w:kern w:val="0"/>
                <w:sz w:val="21"/>
                <w:szCs w:val="21"/>
              </w:rPr>
              <w:t>，</w:t>
            </w:r>
            <w:r>
              <w:rPr>
                <w:rFonts w:hint="default" w:ascii="Times New Roman" w:hAnsi="Times New Roman" w:eastAsia="宋体" w:cs="Times New Roman"/>
                <w:color w:val="auto"/>
                <w:szCs w:val="21"/>
                <w:lang w:eastAsia="zh-CN"/>
              </w:rPr>
              <w:t>位于</w:t>
            </w:r>
            <w:r>
              <w:rPr>
                <w:rFonts w:hint="eastAsia" w:ascii="Times New Roman" w:hAnsi="Times New Roman" w:cs="Times New Roman"/>
                <w:color w:val="auto"/>
                <w:szCs w:val="21"/>
                <w:lang w:val="en-US" w:eastAsia="zh-CN"/>
              </w:rPr>
              <w:t>厂区东南侧</w:t>
            </w:r>
            <w:r>
              <w:rPr>
                <w:rFonts w:hint="default" w:ascii="Times New Roman" w:hAnsi="Times New Roman" w:eastAsia="宋体" w:cs="Times New Roman"/>
                <w:b w:val="0"/>
                <w:bCs w:val="0"/>
                <w:color w:val="auto"/>
                <w:sz w:val="21"/>
                <w:szCs w:val="21"/>
              </w:rPr>
              <w:t>，</w:t>
            </w:r>
            <w:r>
              <w:rPr>
                <w:rFonts w:hint="eastAsia" w:ascii="Times New Roman" w:hAnsi="Times New Roman" w:cs="Times New Roman"/>
                <w:b w:val="0"/>
                <w:bCs w:val="0"/>
                <w:snapToGrid w:val="0"/>
                <w:color w:val="auto"/>
                <w:kern w:val="0"/>
                <w:sz w:val="21"/>
                <w:szCs w:val="21"/>
                <w:lang w:eastAsia="zh-CN"/>
              </w:rPr>
              <w:t>危险废物贮存库</w:t>
            </w:r>
            <w:r>
              <w:rPr>
                <w:rFonts w:hint="default" w:ascii="Times New Roman" w:hAnsi="Times New Roman" w:eastAsia="宋体" w:cs="Times New Roman"/>
                <w:b w:val="0"/>
                <w:bCs w:val="0"/>
                <w:color w:val="auto"/>
                <w:sz w:val="21"/>
                <w:szCs w:val="21"/>
              </w:rPr>
              <w:t>需按照《危险废物贮存污染控制标准》（GB18597-2023）的要求</w:t>
            </w:r>
            <w:r>
              <w:rPr>
                <w:rFonts w:hint="default" w:ascii="Times New Roman" w:hAnsi="Times New Roman" w:eastAsia="宋体" w:cs="Times New Roman"/>
                <w:b w:val="0"/>
                <w:bCs w:val="0"/>
                <w:snapToGrid w:val="0"/>
                <w:color w:val="auto"/>
                <w:kern w:val="0"/>
                <w:sz w:val="21"/>
                <w:szCs w:val="21"/>
              </w:rPr>
              <w:t>执行：</w:t>
            </w:r>
            <w:r>
              <w:rPr>
                <w:rFonts w:hint="eastAsia" w:ascii="Times New Roman" w:hAnsi="Times New Roman" w:cs="Times New Roman"/>
                <w:b w:val="0"/>
                <w:bCs w:val="0"/>
                <w:snapToGrid w:val="0"/>
                <w:color w:val="auto"/>
                <w:kern w:val="0"/>
                <w:sz w:val="21"/>
                <w:szCs w:val="21"/>
                <w:lang w:eastAsia="zh-CN"/>
              </w:rPr>
              <w:t>危险废物贮存库</w:t>
            </w:r>
            <w:r>
              <w:rPr>
                <w:rFonts w:hint="default" w:ascii="Times New Roman" w:hAnsi="Times New Roman" w:eastAsia="宋体" w:cs="Times New Roman"/>
                <w:b w:val="0"/>
                <w:bCs w:val="0"/>
                <w:color w:val="auto"/>
                <w:sz w:val="21"/>
                <w:szCs w:val="21"/>
              </w:rPr>
              <w:t>基础必须防渗，防渗层为至少1m厚</w:t>
            </w:r>
            <w:r>
              <w:rPr>
                <w:rFonts w:hint="default" w:ascii="Times New Roman" w:hAnsi="Times New Roman" w:eastAsia="宋体" w:cs="Times New Roman"/>
                <w:b w:val="0"/>
                <w:bCs w:val="0"/>
                <w:color w:val="auto"/>
                <w:sz w:val="21"/>
                <w:szCs w:val="21"/>
                <w:lang w:eastAsia="zh-CN"/>
              </w:rPr>
              <w:t>黏土</w:t>
            </w:r>
            <w:r>
              <w:rPr>
                <w:rFonts w:hint="default" w:ascii="Times New Roman" w:hAnsi="Times New Roman" w:eastAsia="宋体" w:cs="Times New Roman"/>
                <w:b w:val="0"/>
                <w:bCs w:val="0"/>
                <w:color w:val="auto"/>
                <w:sz w:val="21"/>
                <w:szCs w:val="21"/>
              </w:rPr>
              <w:t>层（渗透系数≤10</w:t>
            </w:r>
            <w:r>
              <w:rPr>
                <w:rFonts w:hint="default" w:ascii="Times New Roman" w:hAnsi="Times New Roman" w:eastAsia="宋体" w:cs="Times New Roman"/>
                <w:b w:val="0"/>
                <w:bCs w:val="0"/>
                <w:color w:val="auto"/>
                <w:sz w:val="21"/>
                <w:szCs w:val="21"/>
                <w:vertAlign w:val="superscript"/>
                <w:lang w:eastAsia="zh-CN"/>
              </w:rPr>
              <w:t>—</w:t>
            </w:r>
            <w:r>
              <w:rPr>
                <w:rFonts w:hint="default" w:ascii="Times New Roman" w:hAnsi="Times New Roman" w:eastAsia="宋体" w:cs="Times New Roman"/>
                <w:b w:val="0"/>
                <w:bCs w:val="0"/>
                <w:color w:val="auto"/>
                <w:sz w:val="21"/>
                <w:szCs w:val="21"/>
                <w:vertAlign w:val="superscript"/>
              </w:rPr>
              <w:t>7</w:t>
            </w:r>
            <w:r>
              <w:rPr>
                <w:rFonts w:hint="default" w:ascii="Times New Roman" w:hAnsi="Times New Roman" w:eastAsia="宋体" w:cs="Times New Roman"/>
                <w:b w:val="0"/>
                <w:bCs w:val="0"/>
                <w:color w:val="auto"/>
                <w:sz w:val="21"/>
                <w:szCs w:val="21"/>
              </w:rPr>
              <w:t>cm/s），或2</w:t>
            </w:r>
            <w:r>
              <w:rPr>
                <w:rFonts w:hint="default" w:ascii="Times New Roman" w:hAnsi="Times New Roman" w:eastAsia="宋体" w:cs="Times New Roman"/>
                <w:b w:val="0"/>
                <w:bCs w:val="0"/>
                <w:color w:val="auto"/>
                <w:sz w:val="21"/>
                <w:szCs w:val="21"/>
                <w:highlight w:val="none"/>
              </w:rPr>
              <w:t>mm</w:t>
            </w:r>
            <w:r>
              <w:rPr>
                <w:rFonts w:hint="default" w:ascii="Times New Roman" w:hAnsi="Times New Roman" w:eastAsia="宋体" w:cs="Times New Roman"/>
                <w:b w:val="0"/>
                <w:bCs w:val="0"/>
                <w:color w:val="auto"/>
                <w:sz w:val="21"/>
                <w:szCs w:val="21"/>
              </w:rPr>
              <w:t>厚高密度聚乙烯，或至少2</w:t>
            </w:r>
            <w:r>
              <w:rPr>
                <w:rFonts w:hint="default" w:ascii="Times New Roman" w:hAnsi="Times New Roman" w:eastAsia="宋体" w:cs="Times New Roman"/>
                <w:b w:val="0"/>
                <w:bCs w:val="0"/>
                <w:color w:val="auto"/>
                <w:sz w:val="21"/>
                <w:szCs w:val="21"/>
                <w:highlight w:val="none"/>
              </w:rPr>
              <w:t>mm</w:t>
            </w:r>
            <w:r>
              <w:rPr>
                <w:rFonts w:hint="default" w:ascii="Times New Roman" w:hAnsi="Times New Roman" w:eastAsia="宋体" w:cs="Times New Roman"/>
                <w:b w:val="0"/>
                <w:bCs w:val="0"/>
                <w:color w:val="auto"/>
                <w:sz w:val="21"/>
                <w:szCs w:val="21"/>
              </w:rPr>
              <w:t>厚的其他人工材料，渗透系数≤10</w:t>
            </w:r>
            <w:r>
              <w:rPr>
                <w:rFonts w:hint="default" w:ascii="Times New Roman" w:hAnsi="Times New Roman" w:eastAsia="宋体" w:cs="Times New Roman"/>
                <w:b w:val="0"/>
                <w:bCs w:val="0"/>
                <w:color w:val="auto"/>
                <w:sz w:val="21"/>
                <w:szCs w:val="21"/>
                <w:vertAlign w:val="superscript"/>
                <w:lang w:eastAsia="zh-CN"/>
              </w:rPr>
              <w:t>—</w:t>
            </w:r>
            <w:r>
              <w:rPr>
                <w:rFonts w:hint="default" w:ascii="Times New Roman" w:hAnsi="Times New Roman" w:eastAsia="宋体" w:cs="Times New Roman"/>
                <w:b w:val="0"/>
                <w:bCs w:val="0"/>
                <w:color w:val="auto"/>
                <w:sz w:val="21"/>
                <w:szCs w:val="21"/>
                <w:vertAlign w:val="superscript"/>
              </w:rPr>
              <w:t>10</w:t>
            </w:r>
            <w:r>
              <w:rPr>
                <w:rFonts w:hint="default" w:ascii="Times New Roman" w:hAnsi="Times New Roman" w:eastAsia="宋体" w:cs="Times New Roman"/>
                <w:b w:val="0"/>
                <w:bCs w:val="0"/>
                <w:color w:val="auto"/>
                <w:sz w:val="21"/>
                <w:szCs w:val="21"/>
              </w:rPr>
              <w:t>cm/s；地面与裙脚要用坚固、防渗的材料建造，建筑材料必须与危险废物相容；</w:t>
            </w:r>
            <w:r>
              <w:rPr>
                <w:rFonts w:hint="eastAsia" w:ascii="Times New Roman" w:hAnsi="Times New Roman" w:cs="Times New Roman"/>
                <w:b w:val="0"/>
                <w:bCs w:val="0"/>
                <w:color w:val="auto"/>
                <w:sz w:val="21"/>
                <w:szCs w:val="21"/>
                <w:lang w:eastAsia="zh-CN"/>
              </w:rPr>
              <w:t>危险废物贮存库</w:t>
            </w:r>
            <w:r>
              <w:rPr>
                <w:rFonts w:hint="default" w:ascii="Times New Roman" w:hAnsi="Times New Roman" w:eastAsia="宋体" w:cs="Times New Roman"/>
                <w:b w:val="0"/>
                <w:bCs w:val="0"/>
                <w:color w:val="auto"/>
                <w:sz w:val="21"/>
                <w:szCs w:val="21"/>
              </w:rPr>
              <w:t>需要</w:t>
            </w:r>
            <w:r>
              <w:rPr>
                <w:rFonts w:hint="default" w:ascii="Times New Roman" w:hAnsi="Times New Roman" w:eastAsia="宋体" w:cs="Times New Roman"/>
                <w:b w:val="0"/>
                <w:bCs w:val="0"/>
                <w:color w:val="auto"/>
                <w:sz w:val="21"/>
                <w:szCs w:val="21"/>
                <w:lang w:eastAsia="zh-CN"/>
              </w:rPr>
              <w:t>防风、防晒、防雨、防漏、防渗、防腐</w:t>
            </w:r>
            <w:r>
              <w:rPr>
                <w:rFonts w:hint="default" w:ascii="Times New Roman" w:hAnsi="Times New Roman" w:eastAsia="宋体" w:cs="Times New Roman"/>
                <w:b w:val="0"/>
                <w:bCs w:val="0"/>
                <w:color w:val="auto"/>
                <w:sz w:val="21"/>
                <w:szCs w:val="21"/>
              </w:rPr>
              <w:t>；不相容的危险废物必须分开存放，并设有隔离间隔断；</w:t>
            </w:r>
            <w:r>
              <w:rPr>
                <w:rFonts w:hint="eastAsia" w:ascii="Times New Roman" w:hAnsi="Times New Roman" w:cs="Times New Roman"/>
                <w:b w:val="0"/>
                <w:bCs w:val="0"/>
                <w:snapToGrid w:val="0"/>
                <w:color w:val="auto"/>
                <w:kern w:val="0"/>
                <w:sz w:val="21"/>
                <w:szCs w:val="21"/>
                <w:lang w:eastAsia="zh-CN"/>
              </w:rPr>
              <w:t>危险废物贮存库</w:t>
            </w:r>
            <w:r>
              <w:rPr>
                <w:rFonts w:hint="default" w:ascii="Times New Roman" w:hAnsi="Times New Roman" w:eastAsia="宋体" w:cs="Times New Roman"/>
                <w:b w:val="0"/>
                <w:bCs w:val="0"/>
                <w:color w:val="auto"/>
                <w:sz w:val="21"/>
                <w:szCs w:val="21"/>
              </w:rPr>
              <w:t>需</w:t>
            </w:r>
            <w:r>
              <w:rPr>
                <w:rFonts w:hint="default" w:ascii="Times New Roman" w:hAnsi="Times New Roman" w:cs="Times New Roman"/>
                <w:b w:val="0"/>
                <w:bCs w:val="0"/>
                <w:snapToGrid w:val="0"/>
                <w:color w:val="auto"/>
                <w:kern w:val="0"/>
                <w:sz w:val="21"/>
                <w:szCs w:val="21"/>
                <w:lang w:val="en-US" w:eastAsia="zh-CN"/>
              </w:rPr>
              <w:t>按照《危险废物识别标志设置技术规范》（HJ1276-2022）</w:t>
            </w:r>
            <w:r>
              <w:rPr>
                <w:rFonts w:hint="default" w:ascii="Times New Roman" w:hAnsi="Times New Roman" w:eastAsia="宋体" w:cs="Times New Roman"/>
                <w:b w:val="0"/>
                <w:bCs w:val="0"/>
                <w:color w:val="auto"/>
                <w:sz w:val="21"/>
                <w:szCs w:val="21"/>
              </w:rPr>
              <w:t>设置警示标志牌；必须定期对所贮存的危险废物包装容器及贮存设施进行检查，发现破损，应及时采取措施清理更换；须</w:t>
            </w:r>
            <w:r>
              <w:rPr>
                <w:rFonts w:hint="default" w:ascii="Times New Roman" w:hAnsi="Times New Roman" w:eastAsia="宋体" w:cs="Times New Roman"/>
                <w:b w:val="0"/>
                <w:bCs w:val="0"/>
                <w:color w:val="auto"/>
                <w:sz w:val="21"/>
                <w:szCs w:val="21"/>
                <w:highlight w:val="none"/>
                <w:lang w:eastAsia="zh-CN"/>
              </w:rPr>
              <w:t>做好</w:t>
            </w:r>
            <w:r>
              <w:rPr>
                <w:rFonts w:hint="default" w:ascii="Times New Roman" w:hAnsi="Times New Roman" w:eastAsia="宋体" w:cs="Times New Roman"/>
                <w:b w:val="0"/>
                <w:bCs w:val="0"/>
                <w:color w:val="auto"/>
                <w:sz w:val="21"/>
                <w:szCs w:val="21"/>
              </w:rPr>
              <w:t>危险废物情况的记录，记录上须注明危险废物的名称、来源、数量、特性和包装容器的类别、入库日期、存放库位、废物出库日期及接收单位名称。</w:t>
            </w:r>
          </w:p>
          <w:p w14:paraId="5AF46D02">
            <w:pPr>
              <w:adjustRightInd w:val="0"/>
              <w:snapToGrid w:val="0"/>
              <w:spacing w:line="360" w:lineRule="auto"/>
              <w:ind w:firstLine="380" w:firstLineChars="200"/>
              <w:rPr>
                <w:rFonts w:hint="default" w:ascii="Times New Roman" w:hAnsi="Times New Roman" w:eastAsia="宋体" w:cs="Times New Roman"/>
                <w:b/>
                <w:bCs/>
                <w:color w:val="auto"/>
                <w:spacing w:val="-10"/>
                <w:szCs w:val="21"/>
                <w:lang w:val="en-US" w:eastAsia="zh-CN"/>
              </w:rPr>
            </w:pPr>
            <w:r>
              <w:rPr>
                <w:rFonts w:hint="default" w:ascii="Times New Roman" w:hAnsi="Times New Roman" w:eastAsia="宋体" w:cs="Times New Roman"/>
                <w:b w:val="0"/>
                <w:bCs w:val="0"/>
                <w:color w:val="auto"/>
                <w:spacing w:val="-10"/>
                <w:szCs w:val="21"/>
              </w:rPr>
              <w:t>生活垃圾集中收集后交由环卫部门统一收集处理</w:t>
            </w:r>
            <w:r>
              <w:rPr>
                <w:rFonts w:hint="default" w:ascii="Times New Roman" w:hAnsi="Times New Roman" w:eastAsia="宋体" w:cs="Times New Roman"/>
                <w:b w:val="0"/>
                <w:bCs w:val="0"/>
                <w:color w:val="auto"/>
                <w:spacing w:val="-10"/>
                <w:szCs w:val="21"/>
                <w:lang w:eastAsia="zh-CN"/>
              </w:rPr>
              <w:t>。</w:t>
            </w:r>
          </w:p>
          <w:p w14:paraId="1C1F5B55">
            <w:pPr>
              <w:adjustRightInd w:val="0"/>
              <w:snapToGrid w:val="0"/>
              <w:spacing w:line="360" w:lineRule="auto"/>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4.10地下水及土壤环境影响及保护措施</w:t>
            </w:r>
          </w:p>
          <w:p w14:paraId="75C5756F">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（1）地下水、土壤污染源、污染物类型及污染途径</w:t>
            </w:r>
          </w:p>
          <w:p w14:paraId="3B83E7DC">
            <w:pPr>
              <w:adjustRightInd w:val="0"/>
              <w:snapToGrid w:val="0"/>
              <w:ind w:firstLine="382" w:firstLineChars="200"/>
              <w:jc w:val="center"/>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表4-1</w:t>
            </w:r>
            <w:r>
              <w:rPr>
                <w:rFonts w:hint="eastAsia" w:ascii="Times New Roman" w:hAnsi="Times New Roman" w:cs="Times New Roman"/>
                <w:b/>
                <w:bCs/>
                <w:color w:val="auto"/>
                <w:spacing w:val="-10"/>
                <w:szCs w:val="21"/>
                <w:lang w:val="en-US" w:eastAsia="zh-CN"/>
              </w:rPr>
              <w:t>6</w:t>
            </w:r>
            <w:r>
              <w:rPr>
                <w:rFonts w:hint="default" w:ascii="Times New Roman" w:hAnsi="Times New Roman" w:cs="Times New Roman"/>
                <w:b/>
                <w:bCs/>
                <w:color w:val="auto"/>
                <w:spacing w:val="-10"/>
                <w:szCs w:val="21"/>
              </w:rPr>
              <w:t xml:space="preserve">  地下水、土壤污染源、污染物类型及污染途径情况一览表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8"/>
              <w:gridCol w:w="2300"/>
              <w:gridCol w:w="2723"/>
              <w:gridCol w:w="1332"/>
            </w:tblGrid>
            <w:tr w14:paraId="745DF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984" w:type="pct"/>
                  <w:noWrap w:val="0"/>
                  <w:vAlign w:val="center"/>
                </w:tcPr>
                <w:p w14:paraId="694C1BB5">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污染源</w:t>
                  </w:r>
                </w:p>
              </w:tc>
              <w:tc>
                <w:tcPr>
                  <w:tcW w:w="1453" w:type="pct"/>
                  <w:noWrap w:val="0"/>
                  <w:vAlign w:val="center"/>
                </w:tcPr>
                <w:p w14:paraId="02522B3E">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污染物类型</w:t>
                  </w:r>
                </w:p>
              </w:tc>
              <w:tc>
                <w:tcPr>
                  <w:tcW w:w="1720" w:type="pct"/>
                  <w:noWrap w:val="0"/>
                  <w:vAlign w:val="center"/>
                </w:tcPr>
                <w:p w14:paraId="679F7FCE">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防治措施</w:t>
                  </w:r>
                </w:p>
              </w:tc>
              <w:tc>
                <w:tcPr>
                  <w:tcW w:w="841" w:type="pct"/>
                  <w:noWrap w:val="0"/>
                  <w:vAlign w:val="center"/>
                </w:tcPr>
                <w:p w14:paraId="2106C458">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污染途径</w:t>
                  </w:r>
                </w:p>
              </w:tc>
            </w:tr>
            <w:tr w14:paraId="58784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trPr>
              <w:tc>
                <w:tcPr>
                  <w:tcW w:w="984" w:type="pct"/>
                  <w:noWrap w:val="0"/>
                  <w:vAlign w:val="center"/>
                </w:tcPr>
                <w:p w14:paraId="5FAA703A">
                  <w:pPr>
                    <w:adjustRightInd w:val="0"/>
                    <w:snapToGrid w:val="0"/>
                    <w:jc w:val="center"/>
                    <w:rPr>
                      <w:rFonts w:hint="default" w:ascii="Times New Roman" w:hAnsi="Times New Roman" w:eastAsia="宋体" w:cs="Times New Roman"/>
                      <w:bCs/>
                      <w:color w:val="auto"/>
                      <w:spacing w:val="-10"/>
                      <w:sz w:val="18"/>
                      <w:szCs w:val="18"/>
                      <w:lang w:eastAsia="zh-CN"/>
                    </w:rPr>
                  </w:pPr>
                  <w:r>
                    <w:rPr>
                      <w:rFonts w:hint="eastAsia" w:ascii="Times New Roman" w:hAnsi="Times New Roman" w:cs="Times New Roman"/>
                      <w:bCs/>
                      <w:color w:val="auto"/>
                      <w:spacing w:val="-10"/>
                      <w:sz w:val="18"/>
                      <w:szCs w:val="18"/>
                      <w:lang w:eastAsia="zh-CN"/>
                    </w:rPr>
                    <w:t>液体物料暂存区</w:t>
                  </w:r>
                </w:p>
              </w:tc>
              <w:tc>
                <w:tcPr>
                  <w:tcW w:w="1453" w:type="pct"/>
                  <w:noWrap w:val="0"/>
                  <w:vAlign w:val="center"/>
                </w:tcPr>
                <w:p w14:paraId="7F4EEDAC">
                  <w:pPr>
                    <w:adjustRightInd w:val="0"/>
                    <w:snapToGrid w:val="0"/>
                    <w:jc w:val="center"/>
                    <w:rPr>
                      <w:rFonts w:hint="default" w:ascii="Times New Roman" w:hAnsi="Times New Roman" w:cs="Times New Roman"/>
                      <w:bCs/>
                      <w:color w:val="auto"/>
                      <w:spacing w:val="-10"/>
                      <w:sz w:val="18"/>
                      <w:szCs w:val="18"/>
                      <w:lang w:eastAsia="zh-CN"/>
                    </w:rPr>
                  </w:pPr>
                  <w:r>
                    <w:rPr>
                      <w:rFonts w:hint="default" w:ascii="Times New Roman" w:hAnsi="Times New Roman" w:cs="Times New Roman"/>
                      <w:bCs/>
                      <w:color w:val="auto"/>
                      <w:spacing w:val="-10"/>
                      <w:sz w:val="18"/>
                      <w:szCs w:val="18"/>
                    </w:rPr>
                    <w:t>液压油、润滑油</w:t>
                  </w:r>
                </w:p>
              </w:tc>
              <w:tc>
                <w:tcPr>
                  <w:tcW w:w="1720" w:type="pct"/>
                  <w:vMerge w:val="restart"/>
                  <w:noWrap w:val="0"/>
                  <w:vAlign w:val="center"/>
                </w:tcPr>
                <w:p w14:paraId="2A8F9E3E">
                  <w:pPr>
                    <w:adjustRightInd w:val="0"/>
                    <w:snapToGrid w:val="0"/>
                    <w:jc w:val="center"/>
                    <w:rPr>
                      <w:rFonts w:hint="default" w:ascii="Times New Roman" w:hAnsi="Times New Roman" w:cs="Times New Roman"/>
                      <w:bCs/>
                      <w:color w:val="auto"/>
                      <w:spacing w:val="-10"/>
                      <w:sz w:val="18"/>
                      <w:szCs w:val="18"/>
                    </w:rPr>
                  </w:pPr>
                  <w:r>
                    <w:rPr>
                      <w:rFonts w:hint="eastAsia" w:ascii="Times New Roman" w:hAnsi="Times New Roman" w:cs="Times New Roman"/>
                      <w:bCs/>
                      <w:color w:val="auto"/>
                      <w:spacing w:val="-10"/>
                      <w:sz w:val="18"/>
                      <w:szCs w:val="18"/>
                      <w:lang w:eastAsia="zh-CN"/>
                    </w:rPr>
                    <w:t>液体物料暂存区</w:t>
                  </w:r>
                  <w:r>
                    <w:rPr>
                      <w:rFonts w:hint="default" w:ascii="Times New Roman" w:hAnsi="Times New Roman" w:eastAsia="宋体" w:cs="Times New Roman"/>
                      <w:bCs/>
                      <w:color w:val="auto"/>
                      <w:spacing w:val="-10"/>
                      <w:sz w:val="18"/>
                      <w:szCs w:val="18"/>
                      <w:lang w:eastAsia="zh-CN"/>
                    </w:rPr>
                    <w:t>和</w:t>
                  </w:r>
                  <w:r>
                    <w:rPr>
                      <w:rFonts w:hint="eastAsia" w:ascii="Times New Roman" w:hAnsi="Times New Roman" w:cs="Times New Roman"/>
                      <w:bCs/>
                      <w:color w:val="auto"/>
                      <w:spacing w:val="-10"/>
                      <w:sz w:val="18"/>
                      <w:szCs w:val="18"/>
                      <w:lang w:eastAsia="zh-CN"/>
                    </w:rPr>
                    <w:t>危险废物贮存库</w:t>
                  </w:r>
                  <w:r>
                    <w:rPr>
                      <w:rFonts w:hint="default" w:ascii="Times New Roman" w:hAnsi="Times New Roman" w:eastAsia="宋体" w:cs="Times New Roman"/>
                      <w:bCs/>
                      <w:color w:val="auto"/>
                      <w:spacing w:val="-10"/>
                      <w:sz w:val="18"/>
                      <w:szCs w:val="18"/>
                      <w:lang w:eastAsia="zh-CN"/>
                    </w:rPr>
                    <w:t>存放液体物料的场所底部均设置</w:t>
                  </w:r>
                  <w:r>
                    <w:rPr>
                      <w:rFonts w:hint="default" w:ascii="Times New Roman" w:hAnsi="Times New Roman" w:eastAsia="宋体" w:cs="Times New Roman"/>
                      <w:bCs/>
                      <w:color w:val="auto"/>
                      <w:spacing w:val="-10"/>
                      <w:sz w:val="18"/>
                      <w:szCs w:val="18"/>
                      <w:highlight w:val="none"/>
                      <w:lang w:eastAsia="zh-CN"/>
                    </w:rPr>
                    <w:t>托盘</w:t>
                  </w:r>
                  <w:r>
                    <w:rPr>
                      <w:rFonts w:hint="default" w:ascii="Times New Roman" w:hAnsi="Times New Roman" w:eastAsia="宋体" w:cs="Times New Roman"/>
                      <w:bCs/>
                      <w:color w:val="auto"/>
                      <w:spacing w:val="-10"/>
                      <w:sz w:val="18"/>
                      <w:szCs w:val="18"/>
                      <w:lang w:eastAsia="zh-CN"/>
                    </w:rPr>
                    <w:t>，且</w:t>
                  </w:r>
                  <w:r>
                    <w:rPr>
                      <w:rFonts w:hint="eastAsia" w:ascii="Times New Roman" w:hAnsi="Times New Roman" w:cs="Times New Roman"/>
                      <w:bCs/>
                      <w:color w:val="auto"/>
                      <w:spacing w:val="-10"/>
                      <w:sz w:val="18"/>
                      <w:szCs w:val="18"/>
                      <w:lang w:eastAsia="zh-CN"/>
                    </w:rPr>
                    <w:t>液体物料暂存区</w:t>
                  </w:r>
                  <w:r>
                    <w:rPr>
                      <w:rFonts w:hint="default" w:ascii="Times New Roman" w:hAnsi="Times New Roman" w:eastAsia="宋体" w:cs="Times New Roman"/>
                      <w:bCs/>
                      <w:color w:val="auto"/>
                      <w:spacing w:val="-10"/>
                      <w:sz w:val="18"/>
                      <w:szCs w:val="18"/>
                      <w:lang w:eastAsia="zh-CN"/>
                    </w:rPr>
                    <w:t>地面硬化处理，</w:t>
                  </w:r>
                  <w:r>
                    <w:rPr>
                      <w:rFonts w:hint="eastAsia" w:ascii="Times New Roman" w:hAnsi="Times New Roman" w:cs="Times New Roman"/>
                      <w:bCs/>
                      <w:color w:val="auto"/>
                      <w:spacing w:val="-10"/>
                      <w:sz w:val="18"/>
                      <w:szCs w:val="18"/>
                      <w:lang w:eastAsia="zh-CN"/>
                    </w:rPr>
                    <w:t>危险废物贮存库</w:t>
                  </w:r>
                  <w:r>
                    <w:rPr>
                      <w:rFonts w:hint="default" w:ascii="Times New Roman" w:hAnsi="Times New Roman" w:eastAsia="宋体" w:cs="Times New Roman"/>
                      <w:bCs/>
                      <w:color w:val="auto"/>
                      <w:spacing w:val="-10"/>
                      <w:sz w:val="18"/>
                      <w:szCs w:val="18"/>
                      <w:lang w:eastAsia="zh-CN"/>
                    </w:rPr>
                    <w:t>地面涂刷环氧树脂进行地面防渗处理，一旦液体物料发生泄漏可及时发现，并用沙子毛巾等进行吸附。</w:t>
                  </w:r>
                </w:p>
              </w:tc>
              <w:tc>
                <w:tcPr>
                  <w:tcW w:w="841" w:type="pct"/>
                  <w:vMerge w:val="restart"/>
                  <w:noWrap w:val="0"/>
                  <w:vAlign w:val="center"/>
                </w:tcPr>
                <w:p w14:paraId="3AEC68E5">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无污染途径</w:t>
                  </w:r>
                </w:p>
              </w:tc>
            </w:tr>
            <w:tr w14:paraId="2F420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9" w:hRule="atLeast"/>
              </w:trPr>
              <w:tc>
                <w:tcPr>
                  <w:tcW w:w="984" w:type="pct"/>
                  <w:noWrap w:val="0"/>
                  <w:vAlign w:val="center"/>
                </w:tcPr>
                <w:p w14:paraId="1F9DCC6A">
                  <w:pPr>
                    <w:adjustRightInd w:val="0"/>
                    <w:snapToGrid w:val="0"/>
                    <w:jc w:val="center"/>
                    <w:rPr>
                      <w:rFonts w:hint="default" w:ascii="Times New Roman" w:hAnsi="Times New Roman" w:eastAsia="宋体" w:cs="Times New Roman"/>
                      <w:bCs/>
                      <w:color w:val="auto"/>
                      <w:spacing w:val="-10"/>
                      <w:sz w:val="18"/>
                      <w:szCs w:val="18"/>
                      <w:lang w:eastAsia="zh-CN"/>
                    </w:rPr>
                  </w:pPr>
                  <w:r>
                    <w:rPr>
                      <w:rFonts w:hint="eastAsia" w:ascii="Times New Roman" w:hAnsi="Times New Roman" w:cs="Times New Roman"/>
                      <w:bCs/>
                      <w:color w:val="auto"/>
                      <w:spacing w:val="-10"/>
                      <w:sz w:val="18"/>
                      <w:szCs w:val="18"/>
                      <w:lang w:eastAsia="zh-CN"/>
                    </w:rPr>
                    <w:t>危险废物贮存库</w:t>
                  </w:r>
                </w:p>
              </w:tc>
              <w:tc>
                <w:tcPr>
                  <w:tcW w:w="1453" w:type="pct"/>
                  <w:noWrap w:val="0"/>
                  <w:vAlign w:val="center"/>
                </w:tcPr>
                <w:p w14:paraId="7B2ADF65">
                  <w:pPr>
                    <w:adjustRightInd w:val="0"/>
                    <w:snapToGrid w:val="0"/>
                    <w:jc w:val="center"/>
                    <w:rPr>
                      <w:rFonts w:hint="default" w:ascii="Times New Roman" w:hAnsi="Times New Roman" w:eastAsia="宋体" w:cs="Times New Roman"/>
                      <w:bCs/>
                      <w:color w:val="auto"/>
                      <w:spacing w:val="-10"/>
                      <w:sz w:val="18"/>
                      <w:szCs w:val="18"/>
                      <w:lang w:val="en-US" w:eastAsia="zh-CN"/>
                    </w:rPr>
                  </w:pPr>
                  <w:r>
                    <w:rPr>
                      <w:rFonts w:hint="default" w:ascii="Times New Roman" w:hAnsi="Times New Roman" w:cs="Times New Roman"/>
                      <w:bCs/>
                      <w:color w:val="auto"/>
                      <w:spacing w:val="-10"/>
                      <w:sz w:val="18"/>
                      <w:szCs w:val="18"/>
                    </w:rPr>
                    <w:t>废液压油、废润滑</w:t>
                  </w:r>
                  <w:r>
                    <w:rPr>
                      <w:rFonts w:hint="default" w:ascii="Times New Roman" w:hAnsi="Times New Roman" w:cs="Times New Roman"/>
                      <w:bCs/>
                      <w:color w:val="auto"/>
                      <w:spacing w:val="-10"/>
                      <w:sz w:val="18"/>
                      <w:szCs w:val="18"/>
                      <w:lang w:val="en-US" w:eastAsia="zh-CN"/>
                    </w:rPr>
                    <w:t>油、</w:t>
                  </w:r>
                  <w:r>
                    <w:rPr>
                      <w:rFonts w:hint="default" w:ascii="Times New Roman" w:hAnsi="Times New Roman" w:cs="Times New Roman"/>
                      <w:bCs/>
                      <w:color w:val="auto"/>
                      <w:spacing w:val="-10"/>
                      <w:sz w:val="18"/>
                      <w:szCs w:val="18"/>
                    </w:rPr>
                    <w:t>废</w:t>
                  </w:r>
                  <w:r>
                    <w:rPr>
                      <w:rFonts w:hint="default" w:ascii="Times New Roman" w:hAnsi="Times New Roman" w:cs="Times New Roman"/>
                      <w:bCs/>
                      <w:color w:val="auto"/>
                      <w:spacing w:val="-10"/>
                      <w:sz w:val="18"/>
                      <w:szCs w:val="18"/>
                      <w:lang w:val="en-US" w:eastAsia="zh-CN"/>
                    </w:rPr>
                    <w:t>空压机油等、空压机含油冷凝液</w:t>
                  </w:r>
                </w:p>
              </w:tc>
              <w:tc>
                <w:tcPr>
                  <w:tcW w:w="1720" w:type="pct"/>
                  <w:vMerge w:val="continue"/>
                  <w:noWrap w:val="0"/>
                  <w:vAlign w:val="center"/>
                </w:tcPr>
                <w:p w14:paraId="3005FED9">
                  <w:pPr>
                    <w:adjustRightInd w:val="0"/>
                    <w:snapToGrid w:val="0"/>
                    <w:jc w:val="center"/>
                    <w:rPr>
                      <w:rFonts w:hint="default" w:ascii="Times New Roman" w:hAnsi="Times New Roman" w:cs="Times New Roman"/>
                      <w:bCs/>
                      <w:color w:val="auto"/>
                      <w:spacing w:val="-10"/>
                      <w:sz w:val="18"/>
                      <w:szCs w:val="18"/>
                    </w:rPr>
                  </w:pPr>
                </w:p>
              </w:tc>
              <w:tc>
                <w:tcPr>
                  <w:tcW w:w="841" w:type="pct"/>
                  <w:vMerge w:val="continue"/>
                  <w:noWrap w:val="0"/>
                  <w:vAlign w:val="center"/>
                </w:tcPr>
                <w:p w14:paraId="312468F0">
                  <w:pPr>
                    <w:adjustRightInd w:val="0"/>
                    <w:snapToGrid w:val="0"/>
                    <w:jc w:val="center"/>
                    <w:rPr>
                      <w:rFonts w:hint="default" w:ascii="Times New Roman" w:hAnsi="Times New Roman" w:cs="Times New Roman"/>
                      <w:bCs/>
                      <w:color w:val="auto"/>
                      <w:spacing w:val="-10"/>
                      <w:sz w:val="18"/>
                      <w:szCs w:val="18"/>
                    </w:rPr>
                  </w:pPr>
                </w:p>
              </w:tc>
            </w:tr>
          </w:tbl>
          <w:p w14:paraId="24535876">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（2）防控措施</w:t>
            </w:r>
          </w:p>
          <w:p w14:paraId="60E78F9E">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本项目地下水及土壤污染防治措施按照“源头控制、分区防治、污染监控、应急响应”相结合的原则，从污染物的产生、入渗、扩散、应急响应全方位进行控制。</w:t>
            </w:r>
          </w:p>
          <w:p w14:paraId="1CFB2B25">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①源头控制措施</w:t>
            </w:r>
          </w:p>
          <w:p w14:paraId="597FEA11">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I</w:t>
            </w:r>
            <w:r>
              <w:rPr>
                <w:rFonts w:hint="default" w:ascii="Times New Roman" w:hAnsi="Times New Roman" w:eastAsia="宋体" w:cs="Times New Roman"/>
                <w:color w:val="auto"/>
                <w:szCs w:val="21"/>
                <w:lang w:eastAsia="zh-CN"/>
              </w:rPr>
              <w:t>.原材料</w:t>
            </w:r>
            <w:r>
              <w:rPr>
                <w:rFonts w:hint="default" w:ascii="Times New Roman" w:hAnsi="Times New Roman" w:eastAsia="宋体" w:cs="Times New Roman"/>
                <w:color w:val="auto"/>
                <w:szCs w:val="21"/>
              </w:rPr>
              <w:t>库房</w:t>
            </w:r>
            <w:r>
              <w:rPr>
                <w:rFonts w:hint="default" w:ascii="Times New Roman" w:hAnsi="Times New Roman" w:eastAsia="宋体" w:cs="Times New Roman"/>
                <w:color w:val="auto"/>
                <w:szCs w:val="21"/>
                <w:lang w:eastAsia="zh-CN"/>
              </w:rPr>
              <w:t>的</w:t>
            </w:r>
            <w:r>
              <w:rPr>
                <w:rFonts w:hint="eastAsia" w:ascii="Times New Roman" w:hAnsi="Times New Roman" w:cs="Times New Roman"/>
                <w:color w:val="auto"/>
                <w:szCs w:val="21"/>
                <w:lang w:eastAsia="zh-CN"/>
              </w:rPr>
              <w:t>液体物料暂存区</w:t>
            </w:r>
            <w:r>
              <w:rPr>
                <w:rFonts w:hint="default" w:ascii="Times New Roman" w:hAnsi="Times New Roman" w:eastAsia="宋体" w:cs="Times New Roman"/>
                <w:color w:val="auto"/>
                <w:szCs w:val="21"/>
              </w:rPr>
              <w:t>以及</w:t>
            </w:r>
            <w:r>
              <w:rPr>
                <w:rFonts w:hint="eastAsia" w:ascii="Times New Roman" w:hAnsi="Times New Roman" w:cs="Times New Roman"/>
                <w:color w:val="auto"/>
                <w:szCs w:val="21"/>
                <w:lang w:eastAsia="zh-CN"/>
              </w:rPr>
              <w:t>危险废物贮存库</w:t>
            </w:r>
            <w:r>
              <w:rPr>
                <w:rFonts w:hint="default" w:ascii="Times New Roman" w:hAnsi="Times New Roman" w:eastAsia="宋体" w:cs="Times New Roman"/>
                <w:color w:val="auto"/>
                <w:szCs w:val="21"/>
                <w:lang w:eastAsia="zh-CN"/>
              </w:rPr>
              <w:t>存放液体物料的区域</w:t>
            </w:r>
            <w:r>
              <w:rPr>
                <w:rFonts w:hint="default" w:ascii="Times New Roman" w:hAnsi="Times New Roman" w:eastAsia="宋体" w:cs="Times New Roman"/>
                <w:color w:val="auto"/>
                <w:szCs w:val="21"/>
              </w:rPr>
              <w:t>按照《危险废物贮存污染控制标准》</w:t>
            </w:r>
            <w:r>
              <w:rPr>
                <w:rFonts w:hint="default" w:ascii="Times New Roman" w:hAnsi="Times New Roman" w:eastAsia="宋体" w:cs="Times New Roman"/>
                <w:b w:val="0"/>
                <w:bCs w:val="0"/>
                <w:color w:val="auto"/>
                <w:sz w:val="21"/>
                <w:szCs w:val="21"/>
              </w:rPr>
              <w:t>（GB18597-2023）</w:t>
            </w:r>
            <w:r>
              <w:rPr>
                <w:rFonts w:hint="default" w:ascii="Times New Roman" w:hAnsi="Times New Roman" w:eastAsia="宋体" w:cs="Times New Roman"/>
                <w:color w:val="auto"/>
                <w:szCs w:val="21"/>
              </w:rPr>
              <w:t>的要求，地面采用坚固、防渗、耐腐蚀的钢筋混凝土材料铺设，同时设置</w:t>
            </w:r>
            <w:r>
              <w:rPr>
                <w:rFonts w:hint="default" w:ascii="Times New Roman" w:hAnsi="Times New Roman" w:eastAsia="宋体" w:cs="Times New Roman"/>
                <w:color w:val="auto"/>
                <w:szCs w:val="21"/>
                <w:highlight w:val="none"/>
              </w:rPr>
              <w:t>托盘</w:t>
            </w:r>
            <w:r>
              <w:rPr>
                <w:rFonts w:hint="default" w:ascii="Times New Roman" w:hAnsi="Times New Roman" w:eastAsia="宋体" w:cs="Times New Roman"/>
                <w:color w:val="auto"/>
                <w:szCs w:val="21"/>
              </w:rPr>
              <w:t>或围堰。</w:t>
            </w:r>
          </w:p>
          <w:p w14:paraId="5702ACBA">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highlight w:val="none"/>
                <w:lang w:val="en-US" w:eastAsia="zh-CN"/>
              </w:rPr>
              <w:t>II.</w:t>
            </w:r>
            <w:r>
              <w:rPr>
                <w:rFonts w:hint="default" w:ascii="Times New Roman" w:hAnsi="Times New Roman" w:eastAsia="宋体" w:cs="Times New Roman"/>
                <w:color w:val="auto"/>
                <w:szCs w:val="21"/>
              </w:rPr>
              <w:t>工作人员应加强场地的检修、加固，防止渗漏，对地下水造成污染。</w:t>
            </w:r>
          </w:p>
          <w:p w14:paraId="20327E83">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②防渗分区防治及措施</w:t>
            </w:r>
          </w:p>
          <w:p w14:paraId="6CB36198">
            <w:pPr>
              <w:adjustRightInd w:val="0"/>
              <w:snapToGrid w:val="0"/>
              <w:spacing w:line="360" w:lineRule="auto"/>
              <w:ind w:firstLine="420" w:firstLineChars="200"/>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color w:val="auto"/>
                <w:sz w:val="21"/>
                <w:szCs w:val="21"/>
              </w:rPr>
              <w:t>根据防渗分区技术方法及本项目的工程分析，将</w:t>
            </w:r>
            <w:r>
              <w:rPr>
                <w:rFonts w:hint="eastAsia" w:ascii="Times New Roman" w:hAnsi="Times New Roman" w:cs="Times New Roman"/>
                <w:color w:val="auto"/>
                <w:sz w:val="21"/>
                <w:szCs w:val="21"/>
                <w:lang w:eastAsia="zh-CN"/>
              </w:rPr>
              <w:t>危险废物贮存库</w:t>
            </w:r>
            <w:r>
              <w:rPr>
                <w:rFonts w:hint="default" w:ascii="Times New Roman" w:hAnsi="Times New Roman" w:eastAsia="宋体" w:cs="Times New Roman"/>
                <w:color w:val="auto"/>
                <w:sz w:val="21"/>
                <w:szCs w:val="21"/>
                <w:lang w:eastAsia="zh-CN"/>
              </w:rPr>
              <w:t>和原材料库房的</w:t>
            </w:r>
            <w:r>
              <w:rPr>
                <w:rFonts w:hint="eastAsia" w:ascii="Times New Roman" w:hAnsi="Times New Roman" w:cs="Times New Roman"/>
                <w:color w:val="auto"/>
                <w:sz w:val="21"/>
                <w:szCs w:val="21"/>
                <w:lang w:eastAsia="zh-CN"/>
              </w:rPr>
              <w:t>液体物料暂存区</w:t>
            </w:r>
            <w:r>
              <w:rPr>
                <w:rFonts w:hint="default" w:ascii="Times New Roman" w:hAnsi="Times New Roman" w:eastAsia="宋体" w:cs="Times New Roman"/>
                <w:color w:val="auto"/>
                <w:sz w:val="21"/>
                <w:szCs w:val="21"/>
              </w:rPr>
              <w:t>划分为重点防渗区；其他</w:t>
            </w:r>
            <w:r>
              <w:rPr>
                <w:rFonts w:hint="default" w:ascii="Times New Roman" w:hAnsi="Times New Roman" w:eastAsia="宋体" w:cs="Times New Roman"/>
                <w:color w:val="auto"/>
                <w:sz w:val="21"/>
                <w:szCs w:val="21"/>
                <w:lang w:eastAsia="zh-CN"/>
              </w:rPr>
              <w:t>区域</w:t>
            </w:r>
            <w:r>
              <w:rPr>
                <w:rFonts w:hint="default" w:ascii="Times New Roman" w:hAnsi="Times New Roman" w:eastAsia="宋体" w:cs="Times New Roman"/>
                <w:color w:val="auto"/>
                <w:sz w:val="21"/>
                <w:szCs w:val="21"/>
              </w:rPr>
              <w:t>划分为一般防渗区。</w:t>
            </w:r>
          </w:p>
          <w:p w14:paraId="5BB4A756">
            <w:pPr>
              <w:adjustRightInd w:val="0"/>
              <w:snapToGrid w:val="0"/>
              <w:spacing w:line="360" w:lineRule="auto"/>
              <w:ind w:firstLine="420" w:firstLineChars="200"/>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重点防渗区：按照《危险废物贮存污染控制标准》</w:t>
            </w:r>
            <w:r>
              <w:rPr>
                <w:rFonts w:hint="default" w:ascii="Times New Roman" w:hAnsi="Times New Roman" w:eastAsia="宋体" w:cs="Times New Roman"/>
                <w:b w:val="0"/>
                <w:bCs w:val="0"/>
                <w:color w:val="auto"/>
                <w:sz w:val="21"/>
                <w:szCs w:val="21"/>
              </w:rPr>
              <w:t>（GB18597-2023）</w:t>
            </w:r>
            <w:r>
              <w:rPr>
                <w:rFonts w:hint="default" w:ascii="Times New Roman" w:hAnsi="Times New Roman" w:eastAsia="宋体" w:cs="Times New Roman"/>
                <w:color w:val="auto"/>
                <w:sz w:val="21"/>
                <w:szCs w:val="21"/>
              </w:rPr>
              <w:t>的要求，地面采用坚固、防渗、耐腐蚀的钢筋混凝土材料铺设，地面按照《环境影响评价技术导则—地下水环境》（HJ610-2016）中等效黏土防渗层Mb≥6.0m，渗透系数K≤1.0×10</w:t>
            </w:r>
            <w:r>
              <w:rPr>
                <w:rFonts w:hint="default" w:ascii="Times New Roman" w:hAnsi="Times New Roman" w:eastAsia="宋体" w:cs="Times New Roman"/>
                <w:color w:val="auto"/>
                <w:sz w:val="21"/>
                <w:szCs w:val="21"/>
                <w:vertAlign w:val="superscript"/>
                <w:lang w:eastAsia="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cm/s的要求。</w:t>
            </w:r>
          </w:p>
          <w:p w14:paraId="78063EE6">
            <w:pPr>
              <w:adjustRightInd w:val="0"/>
              <w:snapToGrid w:val="0"/>
              <w:spacing w:line="360" w:lineRule="auto"/>
              <w:ind w:firstLine="420" w:firstLineChars="200"/>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color w:val="auto"/>
                <w:sz w:val="21"/>
                <w:szCs w:val="21"/>
                <w:highlight w:val="none"/>
              </w:rPr>
              <w:t>II</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rPr>
              <w:t>一般防渗区：防渗层的防渗性能等效黏土防渗层Mb≥1.5m，渗透系数K≤1.0×10</w:t>
            </w:r>
            <w:r>
              <w:rPr>
                <w:rFonts w:hint="default" w:ascii="Times New Roman" w:hAnsi="Times New Roman" w:eastAsia="宋体" w:cs="Times New Roman"/>
                <w:color w:val="auto"/>
                <w:sz w:val="21"/>
                <w:szCs w:val="21"/>
                <w:vertAlign w:val="superscript"/>
                <w:lang w:eastAsia="zh-CN"/>
              </w:rPr>
              <w:t>—</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p w14:paraId="3F0547BC">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③风险事故应急响应</w:t>
            </w:r>
          </w:p>
          <w:p w14:paraId="2DA2F4EF">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发现渗漏时应立即停止运营，组织人员查明渗漏源头，采取补救措施。</w:t>
            </w:r>
          </w:p>
          <w:p w14:paraId="5A818E26">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④跟踪监测</w:t>
            </w:r>
          </w:p>
          <w:p w14:paraId="75E531AF">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本项目不设置地下储罐，所有物料均储存于地面，一旦发生</w:t>
            </w:r>
            <w:r>
              <w:rPr>
                <w:rFonts w:hint="default" w:ascii="Times New Roman" w:hAnsi="Times New Roman" w:eastAsia="宋体" w:cs="Times New Roman"/>
                <w:color w:val="auto"/>
                <w:szCs w:val="21"/>
                <w:lang w:eastAsia="zh-CN"/>
              </w:rPr>
              <w:t>泄漏</w:t>
            </w:r>
            <w:r>
              <w:rPr>
                <w:rFonts w:hint="default" w:ascii="Times New Roman" w:hAnsi="Times New Roman" w:eastAsia="宋体" w:cs="Times New Roman"/>
                <w:color w:val="auto"/>
                <w:szCs w:val="21"/>
              </w:rPr>
              <w:t>可及时发现，可以保证对污染源进行监控。若确因项目生产对周边的地下水、土壤造成污染事故的，建设单位应积极查漏，并切断泄漏源，并采取相应的补救措施杜绝此类事故的发生和消除污染造成的影响，因此本项目可不设置跟踪监测点位。</w:t>
            </w:r>
          </w:p>
          <w:p w14:paraId="03B56768">
            <w:pPr>
              <w:adjustRightInd w:val="0"/>
              <w:snapToGrid w:val="0"/>
              <w:spacing w:line="360" w:lineRule="auto"/>
              <w:ind w:firstLine="420" w:firstLineChars="200"/>
              <w:rPr>
                <w:rFonts w:hint="default" w:ascii="Times New Roman" w:hAnsi="Times New Roman" w:eastAsia="宋体" w:cs="Times New Roman"/>
                <w:b/>
                <w:bCs/>
                <w:color w:val="auto"/>
                <w:spacing w:val="-10"/>
                <w:szCs w:val="21"/>
              </w:rPr>
            </w:pPr>
            <w:r>
              <w:rPr>
                <w:rFonts w:hint="default" w:ascii="Times New Roman" w:hAnsi="Times New Roman" w:eastAsia="宋体" w:cs="Times New Roman"/>
                <w:color w:val="auto"/>
                <w:szCs w:val="21"/>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14:paraId="6F4D9EE2">
            <w:pPr>
              <w:adjustRightInd w:val="0"/>
              <w:snapToGrid w:val="0"/>
              <w:spacing w:line="360" w:lineRule="auto"/>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4.11环境风险环境影响及保护措施</w:t>
            </w:r>
          </w:p>
          <w:p w14:paraId="3B58C97B">
            <w:pPr>
              <w:adjustRightInd w:val="0"/>
              <w:snapToGrid w:val="0"/>
              <w:spacing w:line="360" w:lineRule="auto"/>
              <w:ind w:firstLine="382" w:firstLineChars="200"/>
              <w:rPr>
                <w:rFonts w:hint="default" w:ascii="Times New Roman" w:hAnsi="Times New Roman" w:cs="Times New Roman"/>
                <w:b/>
                <w:bCs/>
                <w:color w:val="auto"/>
                <w:spacing w:val="-10"/>
                <w:szCs w:val="21"/>
              </w:rPr>
            </w:pPr>
            <w:r>
              <w:rPr>
                <w:rFonts w:hint="default" w:ascii="Times New Roman" w:hAnsi="Times New Roman" w:cs="Times New Roman"/>
                <w:b/>
                <w:bCs/>
                <w:color w:val="auto"/>
                <w:spacing w:val="-10"/>
                <w:szCs w:val="21"/>
              </w:rPr>
              <w:t>（1）风险源调查</w:t>
            </w:r>
          </w:p>
          <w:p w14:paraId="49C09C6B">
            <w:pPr>
              <w:adjustRightInd w:val="0"/>
              <w:snapToGrid w:val="0"/>
              <w:spacing w:line="360" w:lineRule="auto"/>
              <w:ind w:firstLine="380" w:firstLineChars="200"/>
              <w:rPr>
                <w:rFonts w:hint="default" w:ascii="Times New Roman" w:hAnsi="Times New Roman" w:cs="Times New Roman"/>
                <w:b/>
                <w:color w:val="auto"/>
                <w:szCs w:val="21"/>
              </w:rPr>
            </w:pPr>
            <w:r>
              <w:rPr>
                <w:rFonts w:hint="default" w:ascii="Times New Roman" w:hAnsi="Times New Roman" w:cs="Times New Roman"/>
                <w:bCs/>
                <w:color w:val="auto"/>
                <w:spacing w:val="-10"/>
                <w:szCs w:val="21"/>
              </w:rPr>
              <w:t>根据</w:t>
            </w:r>
            <w:r>
              <w:rPr>
                <w:rFonts w:hint="default" w:ascii="Times New Roman" w:hAnsi="Times New Roman" w:cs="Times New Roman"/>
                <w:color w:val="auto"/>
              </w:rPr>
              <w:t>《建设项目环境风险评价技术导则》（HJ169-2018）附录B可知</w:t>
            </w:r>
            <w:r>
              <w:rPr>
                <w:rFonts w:hint="default" w:ascii="Times New Roman" w:hAnsi="Times New Roman" w:cs="Times New Roman"/>
                <w:bCs/>
                <w:color w:val="auto"/>
                <w:spacing w:val="-10"/>
                <w:szCs w:val="21"/>
              </w:rPr>
              <w:t>，本项目环境风险物质主要</w:t>
            </w:r>
            <w:r>
              <w:rPr>
                <w:rFonts w:hint="default" w:ascii="Times New Roman" w:hAnsi="Times New Roman" w:eastAsia="宋体" w:cs="Times New Roman"/>
                <w:bCs/>
                <w:color w:val="auto"/>
                <w:spacing w:val="-10"/>
                <w:szCs w:val="21"/>
              </w:rPr>
              <w:t>为</w:t>
            </w:r>
            <w:r>
              <w:rPr>
                <w:rFonts w:hint="eastAsia" w:ascii="Times New Roman" w:hAnsi="Times New Roman" w:cs="Times New Roman"/>
                <w:bCs/>
                <w:color w:val="auto"/>
                <w:spacing w:val="-10"/>
                <w:szCs w:val="21"/>
                <w:lang w:val="en-US" w:eastAsia="zh-CN"/>
              </w:rPr>
              <w:t>润滑油、空压机油、液压油、废矿物油、空压机含油冷凝液</w:t>
            </w:r>
            <w:r>
              <w:rPr>
                <w:rFonts w:hint="default" w:ascii="Times New Roman" w:hAnsi="Times New Roman" w:cs="Times New Roman"/>
                <w:bCs/>
                <w:color w:val="auto"/>
                <w:spacing w:val="-10"/>
                <w:szCs w:val="21"/>
              </w:rPr>
              <w:t>，其中空压机油现买现用，不储存，其统计情况见下表。</w:t>
            </w:r>
          </w:p>
          <w:p w14:paraId="7A5FBF7F">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color w:val="auto"/>
                <w:szCs w:val="21"/>
              </w:rPr>
              <w:t>表4-1</w:t>
            </w:r>
            <w:r>
              <w:rPr>
                <w:rFonts w:hint="eastAsia"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w:t>
            </w:r>
            <w:r>
              <w:rPr>
                <w:rFonts w:hint="default" w:ascii="Times New Roman" w:hAnsi="Times New Roman" w:cs="Times New Roman"/>
                <w:b/>
                <w:bCs/>
                <w:color w:val="auto"/>
                <w:kern w:val="0"/>
                <w:szCs w:val="21"/>
              </w:rPr>
              <w:t>危险物质统计表</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1"/>
              <w:gridCol w:w="724"/>
              <w:gridCol w:w="694"/>
              <w:gridCol w:w="808"/>
              <w:gridCol w:w="578"/>
              <w:gridCol w:w="969"/>
              <w:gridCol w:w="714"/>
              <w:gridCol w:w="714"/>
              <w:gridCol w:w="613"/>
              <w:gridCol w:w="603"/>
              <w:gridCol w:w="762"/>
            </w:tblGrid>
            <w:tr w14:paraId="690286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vMerge w:val="restart"/>
                  <w:noWrap w:val="0"/>
                  <w:vAlign w:val="center"/>
                </w:tcPr>
                <w:p w14:paraId="6EA8CE1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物质名称</w:t>
                  </w:r>
                </w:p>
              </w:tc>
              <w:tc>
                <w:tcPr>
                  <w:tcW w:w="457" w:type="pct"/>
                  <w:vMerge w:val="restart"/>
                  <w:noWrap w:val="0"/>
                  <w:vAlign w:val="center"/>
                </w:tcPr>
                <w:p w14:paraId="27A49AC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CAS号</w:t>
                  </w:r>
                </w:p>
              </w:tc>
              <w:tc>
                <w:tcPr>
                  <w:tcW w:w="438" w:type="pct"/>
                  <w:vMerge w:val="restart"/>
                  <w:noWrap w:val="0"/>
                  <w:vAlign w:val="center"/>
                </w:tcPr>
                <w:p w14:paraId="62567AB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分子式</w:t>
                  </w:r>
                </w:p>
              </w:tc>
              <w:tc>
                <w:tcPr>
                  <w:tcW w:w="510" w:type="pct"/>
                  <w:vMerge w:val="restart"/>
                  <w:noWrap w:val="0"/>
                  <w:vAlign w:val="center"/>
                </w:tcPr>
                <w:p w14:paraId="4946277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外观或性状</w:t>
                  </w:r>
                </w:p>
              </w:tc>
              <w:tc>
                <w:tcPr>
                  <w:tcW w:w="365" w:type="pct"/>
                  <w:vMerge w:val="restart"/>
                  <w:noWrap w:val="0"/>
                  <w:vAlign w:val="center"/>
                </w:tcPr>
                <w:p w14:paraId="2BD3B57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闪点</w:t>
                  </w:r>
                </w:p>
                <w:p w14:paraId="0EC1A96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2" w:type="pct"/>
                  <w:vMerge w:val="restart"/>
                  <w:noWrap w:val="0"/>
                  <w:vAlign w:val="center"/>
                </w:tcPr>
                <w:p w14:paraId="5346A46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沸点</w:t>
                  </w:r>
                </w:p>
                <w:p w14:paraId="0162BDA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51" w:type="pct"/>
                  <w:vMerge w:val="restart"/>
                  <w:noWrap w:val="0"/>
                  <w:vAlign w:val="center"/>
                </w:tcPr>
                <w:p w14:paraId="5727BCF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熔点</w:t>
                  </w:r>
                </w:p>
                <w:p w14:paraId="4B86E11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51" w:type="pct"/>
                  <w:vMerge w:val="restart"/>
                  <w:noWrap w:val="0"/>
                  <w:vAlign w:val="center"/>
                </w:tcPr>
                <w:p w14:paraId="125F891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燃烧性</w:t>
                  </w:r>
                </w:p>
              </w:tc>
              <w:tc>
                <w:tcPr>
                  <w:tcW w:w="768" w:type="pct"/>
                  <w:gridSpan w:val="2"/>
                  <w:noWrap w:val="0"/>
                  <w:vAlign w:val="center"/>
                </w:tcPr>
                <w:p w14:paraId="00F8214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爆炸极限（V%）</w:t>
                  </w:r>
                </w:p>
              </w:tc>
              <w:tc>
                <w:tcPr>
                  <w:tcW w:w="481" w:type="pct"/>
                  <w:vMerge w:val="restart"/>
                  <w:noWrap w:val="0"/>
                  <w:vAlign w:val="center"/>
                </w:tcPr>
                <w:p w14:paraId="752368C2">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SA"/>
                    </w:rPr>
                    <w:t>危险特性</w:t>
                  </w:r>
                </w:p>
              </w:tc>
            </w:tr>
            <w:tr w14:paraId="5D986C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vMerge w:val="continue"/>
                  <w:noWrap w:val="0"/>
                  <w:vAlign w:val="center"/>
                </w:tcPr>
                <w:p w14:paraId="6C53DB4C">
                  <w:pPr>
                    <w:adjustRightInd w:val="0"/>
                    <w:snapToGrid w:val="0"/>
                    <w:jc w:val="center"/>
                    <w:rPr>
                      <w:rFonts w:hint="default" w:ascii="Times New Roman" w:hAnsi="Times New Roman" w:cs="Times New Roman"/>
                      <w:color w:val="auto"/>
                      <w:sz w:val="18"/>
                      <w:szCs w:val="18"/>
                    </w:rPr>
                  </w:pPr>
                </w:p>
              </w:tc>
              <w:tc>
                <w:tcPr>
                  <w:tcW w:w="457" w:type="pct"/>
                  <w:vMerge w:val="continue"/>
                  <w:noWrap w:val="0"/>
                  <w:vAlign w:val="center"/>
                </w:tcPr>
                <w:p w14:paraId="256D0442">
                  <w:pPr>
                    <w:adjustRightInd w:val="0"/>
                    <w:snapToGrid w:val="0"/>
                    <w:jc w:val="center"/>
                    <w:rPr>
                      <w:rFonts w:hint="default" w:ascii="Times New Roman" w:hAnsi="Times New Roman" w:cs="Times New Roman"/>
                      <w:color w:val="auto"/>
                      <w:sz w:val="18"/>
                      <w:szCs w:val="18"/>
                    </w:rPr>
                  </w:pPr>
                </w:p>
              </w:tc>
              <w:tc>
                <w:tcPr>
                  <w:tcW w:w="438" w:type="pct"/>
                  <w:vMerge w:val="continue"/>
                  <w:noWrap w:val="0"/>
                  <w:vAlign w:val="center"/>
                </w:tcPr>
                <w:p w14:paraId="6696A12B">
                  <w:pPr>
                    <w:adjustRightInd w:val="0"/>
                    <w:snapToGrid w:val="0"/>
                    <w:jc w:val="center"/>
                    <w:rPr>
                      <w:rFonts w:hint="default" w:ascii="Times New Roman" w:hAnsi="Times New Roman" w:cs="Times New Roman"/>
                      <w:color w:val="auto"/>
                      <w:sz w:val="18"/>
                      <w:szCs w:val="18"/>
                    </w:rPr>
                  </w:pPr>
                </w:p>
              </w:tc>
              <w:tc>
                <w:tcPr>
                  <w:tcW w:w="510" w:type="pct"/>
                  <w:vMerge w:val="continue"/>
                  <w:noWrap w:val="0"/>
                  <w:vAlign w:val="center"/>
                </w:tcPr>
                <w:p w14:paraId="7DDA7BF2">
                  <w:pPr>
                    <w:adjustRightInd w:val="0"/>
                    <w:snapToGrid w:val="0"/>
                    <w:jc w:val="center"/>
                    <w:rPr>
                      <w:rFonts w:hint="default" w:ascii="Times New Roman" w:hAnsi="Times New Roman" w:cs="Times New Roman"/>
                      <w:color w:val="auto"/>
                      <w:sz w:val="18"/>
                      <w:szCs w:val="18"/>
                    </w:rPr>
                  </w:pPr>
                </w:p>
              </w:tc>
              <w:tc>
                <w:tcPr>
                  <w:tcW w:w="365" w:type="pct"/>
                  <w:vMerge w:val="continue"/>
                  <w:noWrap w:val="0"/>
                  <w:vAlign w:val="center"/>
                </w:tcPr>
                <w:p w14:paraId="2FE246B6">
                  <w:pPr>
                    <w:adjustRightInd w:val="0"/>
                    <w:snapToGrid w:val="0"/>
                    <w:jc w:val="center"/>
                    <w:rPr>
                      <w:rFonts w:hint="default" w:ascii="Times New Roman" w:hAnsi="Times New Roman" w:cs="Times New Roman"/>
                      <w:color w:val="auto"/>
                      <w:sz w:val="18"/>
                      <w:szCs w:val="18"/>
                    </w:rPr>
                  </w:pPr>
                </w:p>
              </w:tc>
              <w:tc>
                <w:tcPr>
                  <w:tcW w:w="612" w:type="pct"/>
                  <w:vMerge w:val="continue"/>
                  <w:noWrap w:val="0"/>
                  <w:vAlign w:val="center"/>
                </w:tcPr>
                <w:p w14:paraId="6DC6604B">
                  <w:pPr>
                    <w:adjustRightInd w:val="0"/>
                    <w:snapToGrid w:val="0"/>
                    <w:jc w:val="center"/>
                    <w:rPr>
                      <w:rFonts w:hint="default" w:ascii="Times New Roman" w:hAnsi="Times New Roman" w:cs="Times New Roman"/>
                      <w:color w:val="auto"/>
                      <w:sz w:val="18"/>
                      <w:szCs w:val="18"/>
                    </w:rPr>
                  </w:pPr>
                </w:p>
              </w:tc>
              <w:tc>
                <w:tcPr>
                  <w:tcW w:w="451" w:type="pct"/>
                  <w:vMerge w:val="continue"/>
                  <w:noWrap w:val="0"/>
                  <w:vAlign w:val="center"/>
                </w:tcPr>
                <w:p w14:paraId="101EDCCC">
                  <w:pPr>
                    <w:adjustRightInd w:val="0"/>
                    <w:snapToGrid w:val="0"/>
                    <w:jc w:val="center"/>
                    <w:rPr>
                      <w:rFonts w:hint="default" w:ascii="Times New Roman" w:hAnsi="Times New Roman" w:cs="Times New Roman"/>
                      <w:color w:val="auto"/>
                      <w:sz w:val="18"/>
                      <w:szCs w:val="18"/>
                    </w:rPr>
                  </w:pPr>
                </w:p>
              </w:tc>
              <w:tc>
                <w:tcPr>
                  <w:tcW w:w="451" w:type="pct"/>
                  <w:vMerge w:val="continue"/>
                  <w:noWrap w:val="0"/>
                  <w:vAlign w:val="center"/>
                </w:tcPr>
                <w:p w14:paraId="22CDEA3D">
                  <w:pPr>
                    <w:adjustRightInd w:val="0"/>
                    <w:snapToGrid w:val="0"/>
                    <w:jc w:val="center"/>
                    <w:rPr>
                      <w:rFonts w:hint="default" w:ascii="Times New Roman" w:hAnsi="Times New Roman" w:cs="Times New Roman"/>
                      <w:color w:val="auto"/>
                      <w:sz w:val="18"/>
                      <w:szCs w:val="18"/>
                    </w:rPr>
                  </w:pPr>
                </w:p>
              </w:tc>
              <w:tc>
                <w:tcPr>
                  <w:tcW w:w="387" w:type="pct"/>
                  <w:noWrap w:val="0"/>
                  <w:vAlign w:val="center"/>
                </w:tcPr>
                <w:p w14:paraId="1CFC60D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下限</w:t>
                  </w:r>
                </w:p>
              </w:tc>
              <w:tc>
                <w:tcPr>
                  <w:tcW w:w="380" w:type="pct"/>
                  <w:noWrap w:val="0"/>
                  <w:vAlign w:val="center"/>
                </w:tcPr>
                <w:p w14:paraId="7C55140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上限</w:t>
                  </w:r>
                </w:p>
              </w:tc>
              <w:tc>
                <w:tcPr>
                  <w:tcW w:w="481" w:type="pct"/>
                  <w:vMerge w:val="continue"/>
                  <w:noWrap w:val="0"/>
                  <w:vAlign w:val="center"/>
                </w:tcPr>
                <w:p w14:paraId="5E848FA1">
                  <w:pPr>
                    <w:adjustRightInd w:val="0"/>
                    <w:snapToGrid w:val="0"/>
                    <w:jc w:val="center"/>
                    <w:rPr>
                      <w:rFonts w:hint="default" w:ascii="Times New Roman" w:hAnsi="Times New Roman" w:cs="Times New Roman"/>
                      <w:color w:val="auto"/>
                      <w:sz w:val="18"/>
                      <w:szCs w:val="18"/>
                    </w:rPr>
                  </w:pPr>
                </w:p>
              </w:tc>
            </w:tr>
            <w:tr w14:paraId="69D69E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noWrap w:val="0"/>
                  <w:vAlign w:val="center"/>
                </w:tcPr>
                <w:p w14:paraId="69E0A45D">
                  <w:pPr>
                    <w:widowControl/>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润滑油</w:t>
                  </w:r>
                </w:p>
              </w:tc>
              <w:tc>
                <w:tcPr>
                  <w:tcW w:w="457" w:type="pct"/>
                  <w:noWrap w:val="0"/>
                  <w:vAlign w:val="center"/>
                </w:tcPr>
                <w:p w14:paraId="69168FF0">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38" w:type="pct"/>
                  <w:noWrap w:val="0"/>
                  <w:vAlign w:val="center"/>
                </w:tcPr>
                <w:p w14:paraId="6E2193F3">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10" w:type="pct"/>
                  <w:noWrap w:val="0"/>
                  <w:vAlign w:val="center"/>
                </w:tcPr>
                <w:p w14:paraId="3F0FDCC7">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液体</w:t>
                  </w:r>
                </w:p>
              </w:tc>
              <w:tc>
                <w:tcPr>
                  <w:tcW w:w="365" w:type="pct"/>
                  <w:noWrap w:val="0"/>
                  <w:vAlign w:val="center"/>
                </w:tcPr>
                <w:p w14:paraId="03C4898E">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230</w:t>
                  </w:r>
                </w:p>
              </w:tc>
              <w:tc>
                <w:tcPr>
                  <w:tcW w:w="612" w:type="pct"/>
                  <w:noWrap w:val="0"/>
                  <w:vAlign w:val="center"/>
                </w:tcPr>
                <w:p w14:paraId="4F1C2EB3">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850</w:t>
                  </w:r>
                </w:p>
              </w:tc>
              <w:tc>
                <w:tcPr>
                  <w:tcW w:w="451" w:type="pct"/>
                  <w:noWrap w:val="0"/>
                  <w:vAlign w:val="center"/>
                </w:tcPr>
                <w:p w14:paraId="5B72E901">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-130</w:t>
                  </w:r>
                </w:p>
              </w:tc>
              <w:tc>
                <w:tcPr>
                  <w:tcW w:w="451" w:type="pct"/>
                  <w:noWrap w:val="0"/>
                  <w:vAlign w:val="center"/>
                </w:tcPr>
                <w:p w14:paraId="0693C9D8">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7" w:type="pct"/>
                  <w:noWrap w:val="0"/>
                  <w:vAlign w:val="center"/>
                </w:tcPr>
                <w:p w14:paraId="7940197F">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0" w:type="pct"/>
                  <w:noWrap w:val="0"/>
                  <w:vAlign w:val="center"/>
                </w:tcPr>
                <w:p w14:paraId="09107D15">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81" w:type="pct"/>
                  <w:noWrap w:val="0"/>
                  <w:vAlign w:val="center"/>
                </w:tcPr>
                <w:p w14:paraId="47F5D481">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易燃易爆</w:t>
                  </w:r>
                </w:p>
              </w:tc>
            </w:tr>
            <w:tr w14:paraId="3E6452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noWrap w:val="0"/>
                  <w:vAlign w:val="center"/>
                </w:tcPr>
                <w:p w14:paraId="7830EAD0">
                  <w:pPr>
                    <w:widowControl/>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液压油</w:t>
                  </w:r>
                </w:p>
              </w:tc>
              <w:tc>
                <w:tcPr>
                  <w:tcW w:w="457" w:type="pct"/>
                  <w:noWrap w:val="0"/>
                  <w:vAlign w:val="center"/>
                </w:tcPr>
                <w:p w14:paraId="7A0F966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38" w:type="pct"/>
                  <w:noWrap w:val="0"/>
                  <w:vAlign w:val="center"/>
                </w:tcPr>
                <w:p w14:paraId="27AC2C6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10" w:type="pct"/>
                  <w:noWrap w:val="0"/>
                  <w:vAlign w:val="center"/>
                </w:tcPr>
                <w:p w14:paraId="6CBC09A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液体</w:t>
                  </w:r>
                </w:p>
              </w:tc>
              <w:tc>
                <w:tcPr>
                  <w:tcW w:w="365" w:type="pct"/>
                  <w:noWrap w:val="0"/>
                  <w:vAlign w:val="center"/>
                </w:tcPr>
                <w:p w14:paraId="7458BD85">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76</w:t>
                  </w:r>
                </w:p>
              </w:tc>
              <w:tc>
                <w:tcPr>
                  <w:tcW w:w="612" w:type="pct"/>
                  <w:noWrap w:val="0"/>
                  <w:vAlign w:val="center"/>
                </w:tcPr>
                <w:p w14:paraId="254DA7BF">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760</w:t>
                  </w:r>
                </w:p>
              </w:tc>
              <w:tc>
                <w:tcPr>
                  <w:tcW w:w="451" w:type="pct"/>
                  <w:noWrap w:val="0"/>
                  <w:vAlign w:val="center"/>
                </w:tcPr>
                <w:p w14:paraId="0CEA392F">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-253</w:t>
                  </w:r>
                </w:p>
              </w:tc>
              <w:tc>
                <w:tcPr>
                  <w:tcW w:w="451" w:type="pct"/>
                  <w:noWrap w:val="0"/>
                  <w:vAlign w:val="center"/>
                </w:tcPr>
                <w:p w14:paraId="5B6CD8ED">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7" w:type="pct"/>
                  <w:noWrap w:val="0"/>
                  <w:vAlign w:val="center"/>
                </w:tcPr>
                <w:p w14:paraId="203CF591">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0" w:type="pct"/>
                  <w:noWrap w:val="0"/>
                  <w:vAlign w:val="center"/>
                </w:tcPr>
                <w:p w14:paraId="2CEB388E">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81" w:type="pct"/>
                  <w:noWrap w:val="0"/>
                  <w:vAlign w:val="center"/>
                </w:tcPr>
                <w:p w14:paraId="728728BB">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易燃易爆</w:t>
                  </w:r>
                </w:p>
              </w:tc>
            </w:tr>
            <w:tr w14:paraId="656220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noWrap w:val="0"/>
                  <w:vAlign w:val="center"/>
                </w:tcPr>
                <w:p w14:paraId="1738FF17">
                  <w:pPr>
                    <w:widowControl/>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废矿物油</w:t>
                  </w:r>
                </w:p>
              </w:tc>
              <w:tc>
                <w:tcPr>
                  <w:tcW w:w="457" w:type="pct"/>
                  <w:noWrap w:val="0"/>
                  <w:vAlign w:val="center"/>
                </w:tcPr>
                <w:p w14:paraId="32DBD5B5">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38" w:type="pct"/>
                  <w:noWrap w:val="0"/>
                  <w:vAlign w:val="center"/>
                </w:tcPr>
                <w:p w14:paraId="59315AC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10" w:type="pct"/>
                  <w:noWrap w:val="0"/>
                  <w:vAlign w:val="center"/>
                </w:tcPr>
                <w:p w14:paraId="5395EFA2">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65" w:type="pct"/>
                  <w:noWrap w:val="0"/>
                  <w:vAlign w:val="center"/>
                </w:tcPr>
                <w:p w14:paraId="56CBDA3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12" w:type="pct"/>
                  <w:noWrap w:val="0"/>
                  <w:vAlign w:val="center"/>
                </w:tcPr>
                <w:p w14:paraId="019ACC8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51" w:type="pct"/>
                  <w:noWrap w:val="0"/>
                  <w:vAlign w:val="center"/>
                </w:tcPr>
                <w:p w14:paraId="2F77C44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51" w:type="pct"/>
                  <w:noWrap w:val="0"/>
                  <w:vAlign w:val="center"/>
                </w:tcPr>
                <w:p w14:paraId="57F0D0C7">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7" w:type="pct"/>
                  <w:noWrap w:val="0"/>
                  <w:vAlign w:val="center"/>
                </w:tcPr>
                <w:p w14:paraId="4951771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80" w:type="pct"/>
                  <w:noWrap w:val="0"/>
                  <w:vAlign w:val="center"/>
                </w:tcPr>
                <w:p w14:paraId="5FE00833">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481" w:type="pct"/>
                  <w:noWrap w:val="0"/>
                  <w:vAlign w:val="center"/>
                </w:tcPr>
                <w:p w14:paraId="39752C6B">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易燃易爆</w:t>
                  </w:r>
                </w:p>
              </w:tc>
            </w:tr>
            <w:tr w14:paraId="13A692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62" w:type="pct"/>
                  <w:noWrap w:val="0"/>
                  <w:vAlign w:val="center"/>
                </w:tcPr>
                <w:p w14:paraId="6205D060">
                  <w:pPr>
                    <w:widowControl/>
                    <w:snapToGrid w:val="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空压机含油冷凝液</w:t>
                  </w:r>
                </w:p>
              </w:tc>
              <w:tc>
                <w:tcPr>
                  <w:tcW w:w="724" w:type="dxa"/>
                  <w:noWrap w:val="0"/>
                  <w:vAlign w:val="center"/>
                </w:tcPr>
                <w:p w14:paraId="0295FA8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94" w:type="dxa"/>
                  <w:noWrap w:val="0"/>
                  <w:vAlign w:val="center"/>
                </w:tcPr>
                <w:p w14:paraId="6374F0E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08" w:type="dxa"/>
                  <w:noWrap w:val="0"/>
                  <w:vAlign w:val="center"/>
                </w:tcPr>
                <w:p w14:paraId="03E9D438">
                  <w:pPr>
                    <w:adjustRightInd w:val="0"/>
                    <w:snapToGri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液体</w:t>
                  </w:r>
                </w:p>
              </w:tc>
              <w:tc>
                <w:tcPr>
                  <w:tcW w:w="578" w:type="dxa"/>
                  <w:noWrap w:val="0"/>
                  <w:vAlign w:val="center"/>
                </w:tcPr>
                <w:p w14:paraId="171FE0F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69" w:type="dxa"/>
                  <w:noWrap w:val="0"/>
                  <w:vAlign w:val="center"/>
                </w:tcPr>
                <w:p w14:paraId="632D37A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14" w:type="dxa"/>
                  <w:noWrap w:val="0"/>
                  <w:vAlign w:val="center"/>
                </w:tcPr>
                <w:p w14:paraId="1C68769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14" w:type="dxa"/>
                  <w:noWrap w:val="0"/>
                  <w:vAlign w:val="center"/>
                </w:tcPr>
                <w:p w14:paraId="5856B86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3" w:type="dxa"/>
                  <w:noWrap w:val="0"/>
                  <w:vAlign w:val="center"/>
                </w:tcPr>
                <w:p w14:paraId="415BE6B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03" w:type="dxa"/>
                  <w:noWrap w:val="0"/>
                  <w:vAlign w:val="center"/>
                </w:tcPr>
                <w:p w14:paraId="2335BB0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2" w:type="dxa"/>
                  <w:noWrap w:val="0"/>
                  <w:vAlign w:val="center"/>
                </w:tcPr>
                <w:p w14:paraId="074FCC07">
                  <w:pPr>
                    <w:adjustRightInd w:val="0"/>
                    <w:snapToGrid w:val="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有毒有害</w:t>
                  </w:r>
                </w:p>
              </w:tc>
            </w:tr>
          </w:tbl>
          <w:p w14:paraId="5E3C9984">
            <w:pPr>
              <w:tabs>
                <w:tab w:val="left" w:pos="3960"/>
                <w:tab w:val="left" w:pos="4500"/>
              </w:tabs>
              <w:spacing w:line="500" w:lineRule="exact"/>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表4-1</w:t>
            </w:r>
            <w:r>
              <w:rPr>
                <w:rFonts w:hint="eastAsia"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  危险物质统计表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03"/>
              <w:gridCol w:w="1851"/>
              <w:gridCol w:w="1395"/>
              <w:gridCol w:w="1196"/>
              <w:gridCol w:w="1606"/>
              <w:gridCol w:w="1262"/>
            </w:tblGrid>
            <w:tr w14:paraId="519C6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blHeader/>
                <w:jc w:val="center"/>
              </w:trPr>
              <w:tc>
                <w:tcPr>
                  <w:tcW w:w="381" w:type="pct"/>
                  <w:noWrap w:val="0"/>
                  <w:vAlign w:val="center"/>
                </w:tcPr>
                <w:p w14:paraId="6C49F1BB">
                  <w:pPr>
                    <w:adjustRightInd w:val="0"/>
                    <w:snapToGrid w:val="0"/>
                    <w:spacing w:line="24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1169" w:type="pct"/>
                  <w:noWrap w:val="0"/>
                  <w:vAlign w:val="center"/>
                </w:tcPr>
                <w:p w14:paraId="654B6A32">
                  <w:pPr>
                    <w:tabs>
                      <w:tab w:val="center" w:pos="4153"/>
                      <w:tab w:val="right" w:pos="8306"/>
                    </w:tabs>
                    <w:adjustRightInd w:val="0"/>
                    <w:snapToGrid w:val="0"/>
                    <w:spacing w:line="24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名称</w:t>
                  </w:r>
                </w:p>
              </w:tc>
              <w:tc>
                <w:tcPr>
                  <w:tcW w:w="881" w:type="pct"/>
                  <w:noWrap w:val="0"/>
                  <w:vAlign w:val="center"/>
                </w:tcPr>
                <w:p w14:paraId="1F5042DB">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储存位置</w:t>
                  </w:r>
                </w:p>
              </w:tc>
              <w:tc>
                <w:tcPr>
                  <w:tcW w:w="755" w:type="pct"/>
                  <w:noWrap w:val="0"/>
                  <w:vAlign w:val="center"/>
                </w:tcPr>
                <w:p w14:paraId="314427D2">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储存方式</w:t>
                  </w:r>
                </w:p>
              </w:tc>
              <w:tc>
                <w:tcPr>
                  <w:tcW w:w="1014" w:type="pct"/>
                  <w:noWrap w:val="0"/>
                  <w:vAlign w:val="center"/>
                </w:tcPr>
                <w:p w14:paraId="6AE767A9">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最大储存量（t）</w:t>
                  </w:r>
                </w:p>
              </w:tc>
              <w:tc>
                <w:tcPr>
                  <w:tcW w:w="797" w:type="pct"/>
                  <w:noWrap w:val="0"/>
                  <w:vAlign w:val="center"/>
                </w:tcPr>
                <w:p w14:paraId="6B12C835">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储存周期</w:t>
                  </w:r>
                </w:p>
              </w:tc>
            </w:tr>
            <w:tr w14:paraId="09B9B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tblHeader/>
                <w:jc w:val="center"/>
              </w:trPr>
              <w:tc>
                <w:tcPr>
                  <w:tcW w:w="381" w:type="pct"/>
                  <w:noWrap w:val="0"/>
                  <w:vAlign w:val="center"/>
                </w:tcPr>
                <w:p w14:paraId="6737D059">
                  <w:pPr>
                    <w:numPr>
                      <w:ilvl w:val="0"/>
                      <w:numId w:val="2"/>
                    </w:numPr>
                    <w:adjustRightInd w:val="0"/>
                    <w:snapToGrid w:val="0"/>
                    <w:spacing w:line="240" w:lineRule="exact"/>
                    <w:jc w:val="center"/>
                    <w:rPr>
                      <w:rFonts w:hint="default" w:ascii="Times New Roman" w:hAnsi="Times New Roman" w:cs="Times New Roman"/>
                      <w:bCs/>
                      <w:color w:val="auto"/>
                      <w:sz w:val="18"/>
                      <w:szCs w:val="18"/>
                    </w:rPr>
                  </w:pPr>
                </w:p>
              </w:tc>
              <w:tc>
                <w:tcPr>
                  <w:tcW w:w="1169" w:type="pct"/>
                  <w:noWrap w:val="0"/>
                  <w:vAlign w:val="center"/>
                </w:tcPr>
                <w:p w14:paraId="2F59A51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润滑油</w:t>
                  </w:r>
                </w:p>
              </w:tc>
              <w:tc>
                <w:tcPr>
                  <w:tcW w:w="881" w:type="pct"/>
                  <w:vMerge w:val="restart"/>
                  <w:noWrap w:val="0"/>
                  <w:vAlign w:val="center"/>
                </w:tcPr>
                <w:p w14:paraId="1BF4A1EC">
                  <w:pPr>
                    <w:adjustRightInd w:val="0"/>
                    <w:snapToGrid w:val="0"/>
                    <w:spacing w:line="240" w:lineRule="exact"/>
                    <w:jc w:val="center"/>
                    <w:rPr>
                      <w:rFonts w:hint="default"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液体物料暂存区</w:t>
                  </w:r>
                </w:p>
              </w:tc>
              <w:tc>
                <w:tcPr>
                  <w:tcW w:w="755" w:type="pct"/>
                  <w:noWrap w:val="0"/>
                  <w:vAlign w:val="center"/>
                </w:tcPr>
                <w:p w14:paraId="35FED85E">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桶装</w:t>
                  </w:r>
                </w:p>
              </w:tc>
              <w:tc>
                <w:tcPr>
                  <w:tcW w:w="1014" w:type="pct"/>
                  <w:noWrap w:val="0"/>
                  <w:vAlign w:val="center"/>
                </w:tcPr>
                <w:p w14:paraId="5F7B0411">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0.18</w:t>
                  </w:r>
                </w:p>
              </w:tc>
              <w:tc>
                <w:tcPr>
                  <w:tcW w:w="797" w:type="pct"/>
                  <w:noWrap w:val="0"/>
                  <w:vAlign w:val="center"/>
                </w:tcPr>
                <w:p w14:paraId="2DB61BD7">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3个月</w:t>
                  </w:r>
                </w:p>
              </w:tc>
            </w:tr>
            <w:tr w14:paraId="20924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tblHeader/>
                <w:jc w:val="center"/>
              </w:trPr>
              <w:tc>
                <w:tcPr>
                  <w:tcW w:w="381" w:type="pct"/>
                  <w:noWrap w:val="0"/>
                  <w:vAlign w:val="center"/>
                </w:tcPr>
                <w:p w14:paraId="7DA35835">
                  <w:pPr>
                    <w:numPr>
                      <w:ilvl w:val="0"/>
                      <w:numId w:val="2"/>
                    </w:numPr>
                    <w:adjustRightInd w:val="0"/>
                    <w:snapToGrid w:val="0"/>
                    <w:spacing w:line="240" w:lineRule="exact"/>
                    <w:jc w:val="center"/>
                    <w:rPr>
                      <w:rFonts w:hint="default" w:ascii="Times New Roman" w:hAnsi="Times New Roman" w:cs="Times New Roman"/>
                      <w:bCs/>
                      <w:color w:val="auto"/>
                      <w:sz w:val="18"/>
                      <w:szCs w:val="18"/>
                    </w:rPr>
                  </w:pPr>
                </w:p>
              </w:tc>
              <w:tc>
                <w:tcPr>
                  <w:tcW w:w="1169" w:type="pct"/>
                  <w:noWrap w:val="0"/>
                  <w:vAlign w:val="center"/>
                </w:tcPr>
                <w:p w14:paraId="411E6D6C">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液压油</w:t>
                  </w:r>
                </w:p>
              </w:tc>
              <w:tc>
                <w:tcPr>
                  <w:tcW w:w="881" w:type="pct"/>
                  <w:vMerge w:val="continue"/>
                  <w:noWrap w:val="0"/>
                  <w:vAlign w:val="center"/>
                </w:tcPr>
                <w:p w14:paraId="6581DDAD">
                  <w:pPr>
                    <w:adjustRightInd w:val="0"/>
                    <w:snapToGrid w:val="0"/>
                    <w:spacing w:line="240" w:lineRule="exact"/>
                    <w:jc w:val="center"/>
                    <w:rPr>
                      <w:rFonts w:hint="default" w:ascii="Times New Roman" w:hAnsi="Times New Roman" w:eastAsia="宋体" w:cs="Times New Roman"/>
                      <w:color w:val="auto"/>
                      <w:sz w:val="18"/>
                      <w:szCs w:val="18"/>
                      <w:lang w:eastAsia="zh-CN"/>
                    </w:rPr>
                  </w:pPr>
                </w:p>
              </w:tc>
              <w:tc>
                <w:tcPr>
                  <w:tcW w:w="755" w:type="pct"/>
                  <w:noWrap w:val="0"/>
                  <w:vAlign w:val="center"/>
                </w:tcPr>
                <w:p w14:paraId="6AB15AB6">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桶装</w:t>
                  </w:r>
                </w:p>
              </w:tc>
              <w:tc>
                <w:tcPr>
                  <w:tcW w:w="1014" w:type="pct"/>
                  <w:noWrap w:val="0"/>
                  <w:vAlign w:val="center"/>
                </w:tcPr>
                <w:p w14:paraId="4CFD4BAF">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0.18</w:t>
                  </w:r>
                </w:p>
              </w:tc>
              <w:tc>
                <w:tcPr>
                  <w:tcW w:w="797" w:type="pct"/>
                  <w:noWrap w:val="0"/>
                  <w:vAlign w:val="center"/>
                </w:tcPr>
                <w:p w14:paraId="040C67E3">
                  <w:pPr>
                    <w:adjustRightInd w:val="0"/>
                    <w:snapToGrid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3个月</w:t>
                  </w:r>
                </w:p>
              </w:tc>
            </w:tr>
            <w:tr w14:paraId="40D19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6" w:hRule="atLeast"/>
                <w:tblHeader/>
                <w:jc w:val="center"/>
              </w:trPr>
              <w:tc>
                <w:tcPr>
                  <w:tcW w:w="381" w:type="pct"/>
                  <w:noWrap w:val="0"/>
                  <w:vAlign w:val="center"/>
                </w:tcPr>
                <w:p w14:paraId="5E941137">
                  <w:pPr>
                    <w:numPr>
                      <w:ilvl w:val="0"/>
                      <w:numId w:val="2"/>
                    </w:numPr>
                    <w:adjustRightInd w:val="0"/>
                    <w:snapToGrid w:val="0"/>
                    <w:spacing w:line="240" w:lineRule="exact"/>
                    <w:jc w:val="center"/>
                    <w:rPr>
                      <w:rFonts w:hint="default" w:ascii="Times New Roman" w:hAnsi="Times New Roman" w:cs="Times New Roman"/>
                      <w:bCs/>
                      <w:color w:val="auto"/>
                      <w:sz w:val="18"/>
                      <w:szCs w:val="18"/>
                    </w:rPr>
                  </w:pPr>
                </w:p>
              </w:tc>
              <w:tc>
                <w:tcPr>
                  <w:tcW w:w="1169" w:type="pct"/>
                  <w:noWrap w:val="0"/>
                  <w:vAlign w:val="center"/>
                </w:tcPr>
                <w:p w14:paraId="0460AC5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废矿物油</w:t>
                  </w:r>
                </w:p>
              </w:tc>
              <w:tc>
                <w:tcPr>
                  <w:tcW w:w="881" w:type="pct"/>
                  <w:vMerge w:val="restart"/>
                  <w:noWrap w:val="0"/>
                  <w:vAlign w:val="center"/>
                </w:tcPr>
                <w:p w14:paraId="6EDDCF6E">
                  <w:pPr>
                    <w:adjustRightInd w:val="0"/>
                    <w:snapToGrid w:val="0"/>
                    <w:spacing w:line="2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危险废物贮存库</w:t>
                  </w:r>
                </w:p>
              </w:tc>
              <w:tc>
                <w:tcPr>
                  <w:tcW w:w="755" w:type="pct"/>
                  <w:noWrap w:val="0"/>
                  <w:vAlign w:val="center"/>
                </w:tcPr>
                <w:p w14:paraId="647978BE">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桶装</w:t>
                  </w:r>
                </w:p>
              </w:tc>
              <w:tc>
                <w:tcPr>
                  <w:tcW w:w="1014" w:type="pct"/>
                  <w:noWrap w:val="0"/>
                  <w:vAlign w:val="center"/>
                </w:tcPr>
                <w:p w14:paraId="12C977E7">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0.74</w:t>
                  </w:r>
                </w:p>
              </w:tc>
              <w:tc>
                <w:tcPr>
                  <w:tcW w:w="797" w:type="pct"/>
                  <w:noWrap w:val="0"/>
                  <w:vAlign w:val="center"/>
                </w:tcPr>
                <w:p w14:paraId="0D472B65">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6个月</w:t>
                  </w:r>
                </w:p>
              </w:tc>
            </w:tr>
            <w:tr w14:paraId="21EC9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6" w:hRule="atLeast"/>
                <w:tblHeader/>
                <w:jc w:val="center"/>
              </w:trPr>
              <w:tc>
                <w:tcPr>
                  <w:tcW w:w="381" w:type="pct"/>
                  <w:noWrap w:val="0"/>
                  <w:vAlign w:val="center"/>
                </w:tcPr>
                <w:p w14:paraId="1A4F14BD">
                  <w:pPr>
                    <w:numPr>
                      <w:ilvl w:val="0"/>
                      <w:numId w:val="2"/>
                    </w:numPr>
                    <w:adjustRightInd w:val="0"/>
                    <w:snapToGrid w:val="0"/>
                    <w:spacing w:line="240" w:lineRule="exact"/>
                    <w:jc w:val="center"/>
                    <w:rPr>
                      <w:rFonts w:hint="default" w:ascii="Times New Roman" w:hAnsi="Times New Roman" w:cs="Times New Roman"/>
                      <w:bCs/>
                      <w:color w:val="auto"/>
                      <w:sz w:val="18"/>
                      <w:szCs w:val="18"/>
                    </w:rPr>
                  </w:pPr>
                </w:p>
              </w:tc>
              <w:tc>
                <w:tcPr>
                  <w:tcW w:w="1169" w:type="pct"/>
                  <w:noWrap w:val="0"/>
                  <w:vAlign w:val="center"/>
                </w:tcPr>
                <w:p w14:paraId="1EF4BF1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lang w:val="en-US" w:eastAsia="zh-CN" w:bidi="ar-SA"/>
                    </w:rPr>
                    <w:t>空压机含油冷凝液</w:t>
                  </w:r>
                </w:p>
              </w:tc>
              <w:tc>
                <w:tcPr>
                  <w:tcW w:w="881" w:type="pct"/>
                  <w:vMerge w:val="continue"/>
                  <w:noWrap w:val="0"/>
                  <w:vAlign w:val="center"/>
                </w:tcPr>
                <w:p w14:paraId="269F3189">
                  <w:pPr>
                    <w:adjustRightInd w:val="0"/>
                    <w:snapToGrid w:val="0"/>
                    <w:spacing w:line="240" w:lineRule="exact"/>
                    <w:jc w:val="center"/>
                    <w:rPr>
                      <w:rFonts w:hint="eastAsia" w:ascii="Times New Roman" w:hAnsi="Times New Roman" w:cs="Times New Roman"/>
                      <w:color w:val="auto"/>
                      <w:sz w:val="18"/>
                      <w:szCs w:val="18"/>
                      <w:lang w:eastAsia="zh-CN"/>
                    </w:rPr>
                  </w:pPr>
                </w:p>
              </w:tc>
              <w:tc>
                <w:tcPr>
                  <w:tcW w:w="755" w:type="pct"/>
                  <w:noWrap w:val="0"/>
                  <w:vAlign w:val="center"/>
                </w:tcPr>
                <w:p w14:paraId="38C6B3F6">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桶装</w:t>
                  </w:r>
                </w:p>
              </w:tc>
              <w:tc>
                <w:tcPr>
                  <w:tcW w:w="1014" w:type="pct"/>
                  <w:noWrap w:val="0"/>
                  <w:vAlign w:val="center"/>
                </w:tcPr>
                <w:p w14:paraId="273C5EF4">
                  <w:pPr>
                    <w:spacing w:line="24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0.05</w:t>
                  </w:r>
                </w:p>
              </w:tc>
              <w:tc>
                <w:tcPr>
                  <w:tcW w:w="797" w:type="pct"/>
                  <w:noWrap w:val="0"/>
                  <w:vAlign w:val="center"/>
                </w:tcPr>
                <w:p w14:paraId="5A53EEE6">
                  <w:pPr>
                    <w:adjustRightInd w:val="0"/>
                    <w:snapToGrid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3个月</w:t>
                  </w:r>
                </w:p>
              </w:tc>
            </w:tr>
          </w:tbl>
          <w:p w14:paraId="253BC415">
            <w:pPr>
              <w:pStyle w:val="97"/>
              <w:snapToGrid/>
              <w:spacing w:line="360" w:lineRule="auto"/>
              <w:ind w:firstLine="42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（2）Q值判定</w:t>
            </w:r>
          </w:p>
          <w:p w14:paraId="62EBB30C">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当只涉及一种危险物质时，计算该物质的总量与其临界量比值，即为</w:t>
            </w:r>
            <w:r>
              <w:rPr>
                <w:rFonts w:hint="default" w:ascii="Times New Roman" w:hAnsi="Times New Roman" w:cs="Times New Roman"/>
                <w:bCs/>
                <w:color w:val="auto"/>
                <w:szCs w:val="21"/>
              </w:rPr>
              <w:t>Q；</w:t>
            </w:r>
          </w:p>
          <w:p w14:paraId="2EE18A81">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当存在多种危险物质时，按下式计算物质总量与其临界量比值</w:t>
            </w:r>
            <w:r>
              <w:rPr>
                <w:rFonts w:hint="default" w:ascii="Times New Roman" w:hAnsi="Times New Roman" w:cs="Times New Roman"/>
                <w:bCs/>
                <w:color w:val="auto"/>
                <w:szCs w:val="21"/>
              </w:rPr>
              <w:t>（Q）</w:t>
            </w:r>
            <w:r>
              <w:rPr>
                <w:rFonts w:hint="default" w:ascii="Times New Roman" w:hAnsi="Times New Roman" w:cs="Times New Roman"/>
                <w:color w:val="auto"/>
                <w:szCs w:val="21"/>
              </w:rPr>
              <w:t>：</w:t>
            </w:r>
          </w:p>
          <w:p w14:paraId="184AAFB8">
            <w:pPr>
              <w:spacing w:line="360" w:lineRule="auto"/>
              <w:ind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position w:val="-30"/>
                <w:szCs w:val="21"/>
              </w:rPr>
              <w:object>
                <v:shape id="_x0000_i1037" o:spt="75" type="#_x0000_t75" style="height:38.95pt;width:124.5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39">
                  <o:LockedField>false</o:LockedField>
                </o:OLEObject>
              </w:object>
            </w:r>
          </w:p>
          <w:p w14:paraId="2E017C6D">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式中：q</w:t>
            </w:r>
            <w:r>
              <w:rPr>
                <w:rFonts w:hint="default" w:ascii="Times New Roman" w:hAnsi="Times New Roman" w:cs="Times New Roman"/>
                <w:color w:val="auto"/>
                <w:szCs w:val="21"/>
                <w:vertAlign w:val="subscript"/>
              </w:rPr>
              <w:t>1</w:t>
            </w:r>
            <w:r>
              <w:rPr>
                <w:rFonts w:hint="default" w:ascii="Times New Roman" w:hAnsi="Times New Roman" w:cs="Times New Roman"/>
                <w:color w:val="auto"/>
                <w:szCs w:val="21"/>
              </w:rPr>
              <w:t>，q</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……q</w:t>
            </w:r>
            <w:r>
              <w:rPr>
                <w:rFonts w:hint="default" w:ascii="Times New Roman" w:hAnsi="Times New Roman" w:cs="Times New Roman"/>
                <w:color w:val="auto"/>
                <w:szCs w:val="21"/>
                <w:vertAlign w:val="subscript"/>
              </w:rPr>
              <w:t>n</w:t>
            </w:r>
            <w:r>
              <w:rPr>
                <w:rFonts w:hint="default" w:ascii="Times New Roman" w:hAnsi="Times New Roman" w:cs="Times New Roman"/>
                <w:color w:val="auto"/>
                <w:szCs w:val="21"/>
              </w:rPr>
              <w:t>——每种危险物质的最大存在总量，t；</w:t>
            </w:r>
          </w:p>
          <w:p w14:paraId="53AF8056">
            <w:pPr>
              <w:spacing w:line="360" w:lineRule="auto"/>
              <w:ind w:firstLine="1050" w:firstLineChars="500"/>
              <w:rPr>
                <w:rFonts w:hint="default" w:ascii="Times New Roman" w:hAnsi="Times New Roman" w:cs="Times New Roman"/>
                <w:color w:val="auto"/>
                <w:szCs w:val="21"/>
              </w:rPr>
            </w:pPr>
            <w:r>
              <w:rPr>
                <w:rFonts w:hint="default" w:ascii="Times New Roman" w:hAnsi="Times New Roman" w:cs="Times New Roman"/>
                <w:color w:val="auto"/>
                <w:szCs w:val="21"/>
              </w:rPr>
              <w:t>Q</w:t>
            </w:r>
            <w:r>
              <w:rPr>
                <w:rFonts w:hint="default" w:ascii="Times New Roman" w:hAnsi="Times New Roman" w:cs="Times New Roman"/>
                <w:color w:val="auto"/>
                <w:szCs w:val="21"/>
                <w:vertAlign w:val="subscript"/>
              </w:rPr>
              <w:t>1</w:t>
            </w:r>
            <w:r>
              <w:rPr>
                <w:rFonts w:hint="default" w:ascii="Times New Roman" w:hAnsi="Times New Roman" w:cs="Times New Roman"/>
                <w:color w:val="auto"/>
                <w:szCs w:val="21"/>
              </w:rPr>
              <w:t>，Q</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……Q</w:t>
            </w:r>
            <w:r>
              <w:rPr>
                <w:rFonts w:hint="default" w:ascii="Times New Roman" w:hAnsi="Times New Roman" w:cs="Times New Roman"/>
                <w:color w:val="auto"/>
                <w:szCs w:val="21"/>
                <w:vertAlign w:val="subscript"/>
              </w:rPr>
              <w:t>n</w:t>
            </w:r>
            <w:r>
              <w:rPr>
                <w:rFonts w:hint="default" w:ascii="Times New Roman" w:hAnsi="Times New Roman" w:cs="Times New Roman"/>
                <w:color w:val="auto"/>
                <w:szCs w:val="21"/>
              </w:rPr>
              <w:t>——每种危险物质的临界量，t。</w:t>
            </w:r>
          </w:p>
          <w:p w14:paraId="3E87248E">
            <w:pPr>
              <w:spacing w:line="360" w:lineRule="auto"/>
              <w:ind w:firstLine="1050" w:firstLineChars="500"/>
              <w:rPr>
                <w:rFonts w:hint="default" w:ascii="Times New Roman" w:hAnsi="Times New Roman" w:cs="Times New Roman"/>
                <w:color w:val="auto"/>
                <w:szCs w:val="21"/>
              </w:rPr>
            </w:pPr>
            <w:r>
              <w:rPr>
                <w:rFonts w:hint="default" w:ascii="Times New Roman" w:hAnsi="Times New Roman" w:cs="Times New Roman"/>
                <w:color w:val="auto"/>
                <w:szCs w:val="21"/>
              </w:rPr>
              <w:t>当Q&lt;1，该项目环境风险潜势为І；</w:t>
            </w:r>
          </w:p>
          <w:p w14:paraId="1F5A0681">
            <w:pPr>
              <w:spacing w:line="360" w:lineRule="auto"/>
              <w:ind w:firstLine="1050" w:firstLineChars="500"/>
              <w:rPr>
                <w:rFonts w:hint="default" w:ascii="Times New Roman" w:hAnsi="Times New Roman" w:cs="Times New Roman"/>
                <w:color w:val="auto"/>
                <w:szCs w:val="21"/>
              </w:rPr>
            </w:pPr>
            <w:r>
              <w:rPr>
                <w:rFonts w:hint="default" w:ascii="Times New Roman" w:hAnsi="Times New Roman" w:cs="Times New Roman"/>
                <w:color w:val="auto"/>
                <w:szCs w:val="21"/>
              </w:rPr>
              <w:t>当Q≥1时，将Q值划分为：（1）1≤Q&lt;10；（2）10≤Q&lt;100；（3）Q≥100。</w:t>
            </w:r>
          </w:p>
          <w:p w14:paraId="28E4F4C8">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本项目危险物质与其临界量比值结果，见下表。</w:t>
            </w:r>
          </w:p>
          <w:p w14:paraId="4AF00BD5">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w:t>
            </w:r>
            <w:r>
              <w:rPr>
                <w:rFonts w:hint="default" w:ascii="Times New Roman" w:hAnsi="Times New Roman" w:cs="Times New Roman"/>
                <w:b/>
                <w:color w:val="auto"/>
                <w:szCs w:val="21"/>
              </w:rPr>
              <w:t>4-</w:t>
            </w:r>
            <w:r>
              <w:rPr>
                <w:rFonts w:hint="eastAsia" w:ascii="Times New Roman" w:hAnsi="Times New Roman" w:cs="Times New Roman"/>
                <w:b/>
                <w:color w:val="auto"/>
                <w:szCs w:val="21"/>
                <w:lang w:val="en-US" w:eastAsia="zh-CN"/>
              </w:rPr>
              <w:t>19</w:t>
            </w:r>
            <w:r>
              <w:rPr>
                <w:rFonts w:hint="default" w:ascii="Times New Roman" w:hAnsi="Times New Roman" w:cs="Times New Roman"/>
                <w:b/>
                <w:bCs/>
                <w:color w:val="auto"/>
                <w:kern w:val="0"/>
                <w:szCs w:val="21"/>
              </w:rPr>
              <w:t xml:space="preserve">  建设项目Q值确定表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3"/>
              <w:gridCol w:w="1371"/>
              <w:gridCol w:w="869"/>
              <w:gridCol w:w="869"/>
              <w:gridCol w:w="1233"/>
              <w:gridCol w:w="1264"/>
              <w:gridCol w:w="1704"/>
            </w:tblGrid>
            <w:tr w14:paraId="63660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381" w:type="pct"/>
                  <w:noWrap w:val="0"/>
                  <w:vAlign w:val="center"/>
                </w:tcPr>
                <w:p w14:paraId="5A6B3E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866" w:type="pct"/>
                  <w:noWrap w:val="0"/>
                  <w:vAlign w:val="center"/>
                </w:tcPr>
                <w:p w14:paraId="17224A2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危险物质名称</w:t>
                  </w:r>
                </w:p>
              </w:tc>
              <w:tc>
                <w:tcPr>
                  <w:tcW w:w="549" w:type="pct"/>
                  <w:noWrap w:val="0"/>
                  <w:vAlign w:val="center"/>
                </w:tcPr>
                <w:p w14:paraId="0C4057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CAS号</w:t>
                  </w:r>
                </w:p>
              </w:tc>
              <w:tc>
                <w:tcPr>
                  <w:tcW w:w="549" w:type="pct"/>
                  <w:noWrap w:val="0"/>
                  <w:vAlign w:val="center"/>
                </w:tcPr>
                <w:p w14:paraId="4F3CA8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风险物质成分</w:t>
                  </w:r>
                </w:p>
              </w:tc>
              <w:tc>
                <w:tcPr>
                  <w:tcW w:w="779" w:type="pct"/>
                  <w:noWrap w:val="0"/>
                  <w:vAlign w:val="center"/>
                </w:tcPr>
                <w:p w14:paraId="438ED5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最大存在总量q</w:t>
                  </w:r>
                  <w:r>
                    <w:rPr>
                      <w:rFonts w:hint="default" w:ascii="Times New Roman" w:hAnsi="Times New Roman" w:cs="Times New Roman"/>
                      <w:color w:val="auto"/>
                      <w:sz w:val="18"/>
                      <w:szCs w:val="18"/>
                      <w:vertAlign w:val="subscript"/>
                    </w:rPr>
                    <w:t>n</w:t>
                  </w:r>
                  <w:r>
                    <w:rPr>
                      <w:rFonts w:hint="default" w:ascii="Times New Roman" w:hAnsi="Times New Roman" w:cs="Times New Roman"/>
                      <w:color w:val="auto"/>
                      <w:sz w:val="18"/>
                      <w:szCs w:val="18"/>
                    </w:rPr>
                    <w:t>/t</w:t>
                  </w:r>
                </w:p>
              </w:tc>
              <w:tc>
                <w:tcPr>
                  <w:tcW w:w="798" w:type="pct"/>
                  <w:noWrap w:val="0"/>
                  <w:vAlign w:val="center"/>
                </w:tcPr>
                <w:p w14:paraId="4FC6F3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临界量Q</w:t>
                  </w:r>
                  <w:r>
                    <w:rPr>
                      <w:rFonts w:hint="default" w:ascii="Times New Roman" w:hAnsi="Times New Roman" w:cs="Times New Roman"/>
                      <w:color w:val="auto"/>
                      <w:sz w:val="18"/>
                      <w:szCs w:val="18"/>
                      <w:vertAlign w:val="subscript"/>
                    </w:rPr>
                    <w:t>n</w:t>
                  </w:r>
                  <w:r>
                    <w:rPr>
                      <w:rFonts w:hint="default" w:ascii="Times New Roman" w:hAnsi="Times New Roman" w:cs="Times New Roman"/>
                      <w:color w:val="auto"/>
                      <w:sz w:val="18"/>
                      <w:szCs w:val="18"/>
                    </w:rPr>
                    <w:t>/t</w:t>
                  </w:r>
                </w:p>
              </w:tc>
              <w:tc>
                <w:tcPr>
                  <w:tcW w:w="1076" w:type="pct"/>
                  <w:noWrap w:val="0"/>
                  <w:vAlign w:val="center"/>
                </w:tcPr>
                <w:p w14:paraId="1A18B4BD">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该种危险物质Q值</w:t>
                  </w:r>
                </w:p>
              </w:tc>
            </w:tr>
            <w:tr w14:paraId="5707A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noWrap w:val="0"/>
                  <w:vAlign w:val="center"/>
                </w:tcPr>
                <w:p w14:paraId="1F6189DE">
                  <w:pPr>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866" w:type="pct"/>
                  <w:noWrap w:val="0"/>
                  <w:vAlign w:val="center"/>
                </w:tcPr>
                <w:p w14:paraId="7F1CFF3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润滑油</w:t>
                  </w:r>
                </w:p>
              </w:tc>
              <w:tc>
                <w:tcPr>
                  <w:tcW w:w="549" w:type="pct"/>
                  <w:noWrap w:val="0"/>
                  <w:vAlign w:val="center"/>
                </w:tcPr>
                <w:p w14:paraId="238F74A7">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49" w:type="pct"/>
                  <w:noWrap w:val="0"/>
                  <w:vAlign w:val="center"/>
                </w:tcPr>
                <w:p w14:paraId="24A86E2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矿物油</w:t>
                  </w:r>
                </w:p>
              </w:tc>
              <w:tc>
                <w:tcPr>
                  <w:tcW w:w="779" w:type="pct"/>
                  <w:noWrap w:val="0"/>
                  <w:vAlign w:val="center"/>
                </w:tcPr>
                <w:p w14:paraId="218FD697">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0.18</w:t>
                  </w:r>
                </w:p>
              </w:tc>
              <w:tc>
                <w:tcPr>
                  <w:tcW w:w="798" w:type="pct"/>
                  <w:noWrap w:val="0"/>
                  <w:vAlign w:val="top"/>
                </w:tcPr>
                <w:p w14:paraId="035BB3ED">
                  <w:pPr>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2500</w:t>
                  </w:r>
                </w:p>
              </w:tc>
              <w:tc>
                <w:tcPr>
                  <w:tcW w:w="1704" w:type="dxa"/>
                  <w:noWrap w:val="0"/>
                  <w:vAlign w:val="center"/>
                </w:tcPr>
                <w:p w14:paraId="5F4598EF">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0.000072</w:t>
                  </w:r>
                </w:p>
              </w:tc>
            </w:tr>
            <w:tr w14:paraId="215C7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8" w:hRule="atLeast"/>
                <w:jc w:val="center"/>
              </w:trPr>
              <w:tc>
                <w:tcPr>
                  <w:tcW w:w="381" w:type="pct"/>
                  <w:noWrap w:val="0"/>
                  <w:vAlign w:val="center"/>
                </w:tcPr>
                <w:p w14:paraId="49EA1E23">
                  <w:pPr>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866" w:type="pct"/>
                  <w:noWrap w:val="0"/>
                  <w:vAlign w:val="center"/>
                </w:tcPr>
                <w:p w14:paraId="2C17EE2E">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液压油</w:t>
                  </w:r>
                </w:p>
              </w:tc>
              <w:tc>
                <w:tcPr>
                  <w:tcW w:w="549" w:type="pct"/>
                  <w:noWrap w:val="0"/>
                  <w:vAlign w:val="center"/>
                </w:tcPr>
                <w:p w14:paraId="50FBFB28">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49" w:type="pct"/>
                  <w:noWrap w:val="0"/>
                  <w:vAlign w:val="center"/>
                </w:tcPr>
                <w:p w14:paraId="5DD581D2">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矿物油</w:t>
                  </w:r>
                </w:p>
              </w:tc>
              <w:tc>
                <w:tcPr>
                  <w:tcW w:w="779" w:type="pct"/>
                  <w:noWrap w:val="0"/>
                  <w:vAlign w:val="center"/>
                </w:tcPr>
                <w:p w14:paraId="5C31C91D">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0.18</w:t>
                  </w:r>
                </w:p>
              </w:tc>
              <w:tc>
                <w:tcPr>
                  <w:tcW w:w="798" w:type="pct"/>
                  <w:noWrap w:val="0"/>
                  <w:vAlign w:val="top"/>
                </w:tcPr>
                <w:p w14:paraId="435FD852">
                  <w:pPr>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2500</w:t>
                  </w:r>
                </w:p>
              </w:tc>
              <w:tc>
                <w:tcPr>
                  <w:tcW w:w="1704" w:type="dxa"/>
                  <w:noWrap w:val="0"/>
                  <w:vAlign w:val="center"/>
                </w:tcPr>
                <w:p w14:paraId="22668C3C">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0.000072</w:t>
                  </w:r>
                </w:p>
              </w:tc>
            </w:tr>
            <w:tr w14:paraId="3E169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381" w:type="pct"/>
                  <w:noWrap w:val="0"/>
                  <w:vAlign w:val="center"/>
                </w:tcPr>
                <w:p w14:paraId="7098EBE8">
                  <w:pPr>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866" w:type="pct"/>
                  <w:noWrap w:val="0"/>
                  <w:vAlign w:val="center"/>
                </w:tcPr>
                <w:p w14:paraId="2552131B">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废矿物油</w:t>
                  </w:r>
                </w:p>
              </w:tc>
              <w:tc>
                <w:tcPr>
                  <w:tcW w:w="549" w:type="pct"/>
                  <w:noWrap w:val="0"/>
                  <w:vAlign w:val="center"/>
                </w:tcPr>
                <w:p w14:paraId="3DE985FA">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549" w:type="pct"/>
                  <w:noWrap w:val="0"/>
                  <w:vAlign w:val="center"/>
                </w:tcPr>
                <w:p w14:paraId="394AFA59">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矿物油</w:t>
                  </w:r>
                </w:p>
              </w:tc>
              <w:tc>
                <w:tcPr>
                  <w:tcW w:w="779" w:type="pct"/>
                  <w:noWrap w:val="0"/>
                  <w:vAlign w:val="center"/>
                </w:tcPr>
                <w:p w14:paraId="267903C1">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0.74</w:t>
                  </w:r>
                </w:p>
              </w:tc>
              <w:tc>
                <w:tcPr>
                  <w:tcW w:w="798" w:type="pct"/>
                  <w:noWrap w:val="0"/>
                  <w:vAlign w:val="center"/>
                </w:tcPr>
                <w:p w14:paraId="68334645">
                  <w:pPr>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2500</w:t>
                  </w:r>
                </w:p>
              </w:tc>
              <w:tc>
                <w:tcPr>
                  <w:tcW w:w="1704" w:type="dxa"/>
                  <w:noWrap w:val="0"/>
                  <w:vAlign w:val="center"/>
                </w:tcPr>
                <w:p w14:paraId="72148574">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0.000296</w:t>
                  </w:r>
                </w:p>
              </w:tc>
            </w:tr>
            <w:tr w14:paraId="41484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381" w:type="pct"/>
                  <w:noWrap w:val="0"/>
                  <w:vAlign w:val="center"/>
                </w:tcPr>
                <w:p w14:paraId="364FA177">
                  <w:pPr>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w:t>
                  </w:r>
                </w:p>
              </w:tc>
              <w:tc>
                <w:tcPr>
                  <w:tcW w:w="866" w:type="pct"/>
                  <w:noWrap w:val="0"/>
                  <w:vAlign w:val="center"/>
                </w:tcPr>
                <w:p w14:paraId="1A816956">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空压机含油冷凝液</w:t>
                  </w:r>
                </w:p>
              </w:tc>
              <w:tc>
                <w:tcPr>
                  <w:tcW w:w="549" w:type="pct"/>
                  <w:noWrap w:val="0"/>
                  <w:vAlign w:val="center"/>
                </w:tcPr>
                <w:p w14:paraId="2D0886C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9" w:type="pct"/>
                  <w:noWrap w:val="0"/>
                  <w:vAlign w:val="center"/>
                </w:tcPr>
                <w:p w14:paraId="261F9054">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矿物油</w:t>
                  </w:r>
                </w:p>
              </w:tc>
              <w:tc>
                <w:tcPr>
                  <w:tcW w:w="779" w:type="pct"/>
                  <w:noWrap w:val="0"/>
                  <w:vAlign w:val="center"/>
                </w:tcPr>
                <w:p w14:paraId="53931263">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0.05</w:t>
                  </w:r>
                </w:p>
              </w:tc>
              <w:tc>
                <w:tcPr>
                  <w:tcW w:w="798" w:type="pct"/>
                  <w:noWrap w:val="0"/>
                  <w:vAlign w:val="center"/>
                </w:tcPr>
                <w:p w14:paraId="2969B6EA">
                  <w:pPr>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2500</w:t>
                  </w:r>
                </w:p>
              </w:tc>
              <w:tc>
                <w:tcPr>
                  <w:tcW w:w="1704" w:type="dxa"/>
                  <w:noWrap w:val="0"/>
                  <w:vAlign w:val="center"/>
                </w:tcPr>
                <w:p w14:paraId="0F1B756B">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0.00002</w:t>
                  </w:r>
                </w:p>
              </w:tc>
            </w:tr>
            <w:tr w14:paraId="54F94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3923" w:type="pct"/>
                  <w:gridSpan w:val="6"/>
                  <w:noWrap w:val="0"/>
                  <w:vAlign w:val="center"/>
                </w:tcPr>
                <w:p w14:paraId="090335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项目Q值Σ</w:t>
                  </w:r>
                </w:p>
              </w:tc>
              <w:tc>
                <w:tcPr>
                  <w:tcW w:w="1704" w:type="dxa"/>
                  <w:noWrap w:val="0"/>
                  <w:vAlign w:val="center"/>
                </w:tcPr>
                <w:p w14:paraId="60204EB3">
                  <w:pPr>
                    <w:spacing w:line="24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kern w:val="2"/>
                      <w:sz w:val="18"/>
                      <w:szCs w:val="18"/>
                      <w:lang w:val="en-US" w:eastAsia="zh-CN" w:bidi="ar-SA"/>
                    </w:rPr>
                    <w:t>0.00046</w:t>
                  </w:r>
                </w:p>
              </w:tc>
            </w:tr>
            <w:tr w14:paraId="1BBB7F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5000" w:type="pct"/>
                  <w:gridSpan w:val="7"/>
                  <w:noWrap w:val="0"/>
                  <w:vAlign w:val="center"/>
                </w:tcPr>
                <w:p w14:paraId="67723D8B">
                  <w:pPr>
                    <w:widowControl/>
                    <w:textAlignment w:val="center"/>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lang w:val="en-US" w:eastAsia="zh-CN"/>
                    </w:rPr>
                    <w:t>①</w:t>
                  </w:r>
                  <w:r>
                    <w:rPr>
                      <w:rFonts w:hint="default" w:ascii="Times New Roman" w:hAnsi="Times New Roman" w:cs="Times New Roman"/>
                      <w:bCs/>
                      <w:color w:val="auto"/>
                      <w:kern w:val="0"/>
                      <w:sz w:val="18"/>
                      <w:szCs w:val="18"/>
                    </w:rPr>
                    <w:t>根据（HJ169-2018）附录B：油类物质临界量2500t</w:t>
                  </w:r>
                </w:p>
              </w:tc>
            </w:tr>
          </w:tbl>
          <w:p w14:paraId="16D43EFF">
            <w:pPr>
              <w:spacing w:line="360" w:lineRule="auto"/>
              <w:ind w:firstLine="480"/>
              <w:rPr>
                <w:rFonts w:hint="default" w:ascii="Times New Roman" w:hAnsi="Times New Roman" w:cs="Times New Roman"/>
                <w:color w:val="auto"/>
                <w:szCs w:val="21"/>
              </w:rPr>
            </w:pPr>
            <w:r>
              <w:rPr>
                <w:rFonts w:hint="default" w:ascii="Times New Roman" w:hAnsi="Times New Roman" w:cs="Times New Roman"/>
                <w:bCs/>
                <w:color w:val="auto"/>
                <w:kern w:val="0"/>
                <w:szCs w:val="21"/>
              </w:rPr>
              <w:t>根据表4-</w:t>
            </w:r>
            <w:r>
              <w:rPr>
                <w:rFonts w:hint="eastAsia" w:ascii="Times New Roman" w:hAnsi="Times New Roman" w:cs="Times New Roman"/>
                <w:bCs/>
                <w:color w:val="auto"/>
                <w:kern w:val="0"/>
                <w:szCs w:val="21"/>
                <w:lang w:val="en-US" w:eastAsia="zh-CN"/>
              </w:rPr>
              <w:t>19</w:t>
            </w:r>
            <w:r>
              <w:rPr>
                <w:rFonts w:hint="default" w:ascii="Times New Roman" w:hAnsi="Times New Roman" w:cs="Times New Roman"/>
                <w:bCs/>
                <w:color w:val="auto"/>
                <w:kern w:val="0"/>
                <w:szCs w:val="21"/>
              </w:rPr>
              <w:t>可知，</w:t>
            </w:r>
            <w:r>
              <w:rPr>
                <w:rFonts w:hint="default" w:ascii="Times New Roman" w:hAnsi="Times New Roman" w:cs="Times New Roman"/>
                <w:color w:val="auto"/>
                <w:szCs w:val="21"/>
              </w:rPr>
              <w:t>本项目Q=</w:t>
            </w:r>
            <w:r>
              <w:rPr>
                <w:rFonts w:hint="eastAsia" w:ascii="Times New Roman" w:hAnsi="Times New Roman" w:cs="Times New Roman"/>
                <w:color w:val="auto"/>
                <w:kern w:val="0"/>
                <w:szCs w:val="21"/>
                <w:lang w:eastAsia="zh-CN"/>
              </w:rPr>
              <w:t>0.00046</w:t>
            </w:r>
            <w:r>
              <w:rPr>
                <w:rFonts w:hint="default" w:ascii="Times New Roman" w:hAnsi="Times New Roman" w:cs="Times New Roman"/>
                <w:color w:val="auto"/>
                <w:szCs w:val="21"/>
              </w:rPr>
              <w:t>（Q＜1），故本项目储存的环境风险物质未超过临界量。</w:t>
            </w:r>
          </w:p>
          <w:p w14:paraId="0CDA1F99">
            <w:pPr>
              <w:spacing w:line="360" w:lineRule="auto"/>
              <w:ind w:firstLine="42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（3）风险防范措施</w:t>
            </w:r>
          </w:p>
          <w:p w14:paraId="705FB7F0">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eastAsia" w:ascii="Times New Roman" w:hAnsi="Times New Roman" w:cs="Times New Roman"/>
                <w:color w:val="auto"/>
                <w:sz w:val="21"/>
                <w:szCs w:val="21"/>
                <w:lang w:val="en-US" w:eastAsia="zh-CN"/>
              </w:rPr>
              <w:t>液压油、润滑油</w:t>
            </w:r>
            <w:r>
              <w:rPr>
                <w:rFonts w:hint="default" w:ascii="Times New Roman" w:hAnsi="Times New Roman" w:cs="Times New Roman"/>
                <w:color w:val="auto"/>
                <w:sz w:val="21"/>
                <w:szCs w:val="21"/>
                <w:lang w:eastAsia="zh-CN"/>
              </w:rPr>
              <w:t>等</w:t>
            </w:r>
            <w:r>
              <w:rPr>
                <w:rFonts w:hint="default" w:ascii="Times New Roman" w:hAnsi="Times New Roman" w:eastAsia="宋体" w:cs="Times New Roman"/>
                <w:color w:val="auto"/>
                <w:sz w:val="21"/>
                <w:szCs w:val="21"/>
              </w:rPr>
              <w:t>液体物料分类存储在密闭的容器中，0-40℃室内贮存，避免极端低温、日光</w:t>
            </w:r>
            <w:r>
              <w:rPr>
                <w:rFonts w:hint="default" w:ascii="Times New Roman" w:hAnsi="Times New Roman" w:eastAsia="宋体" w:cs="Times New Roman"/>
                <w:color w:val="auto"/>
                <w:sz w:val="21"/>
                <w:szCs w:val="21"/>
                <w:lang w:eastAsia="zh-CN"/>
              </w:rPr>
              <w:t>暴晒</w:t>
            </w:r>
            <w:r>
              <w:rPr>
                <w:rFonts w:hint="default" w:ascii="Times New Roman" w:hAnsi="Times New Roman" w:eastAsia="宋体" w:cs="Times New Roman"/>
                <w:color w:val="auto"/>
                <w:sz w:val="21"/>
                <w:szCs w:val="21"/>
              </w:rPr>
              <w:t>和雨淋，远离热源和火源。搬运过程中防止跌落或碰撞。</w:t>
            </w:r>
          </w:p>
          <w:p w14:paraId="69E8C557">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w:t>
            </w:r>
            <w:r>
              <w:rPr>
                <w:rFonts w:hint="eastAsia" w:ascii="Times New Roman" w:hAnsi="Times New Roman" w:cs="Times New Roman"/>
                <w:color w:val="auto"/>
                <w:sz w:val="21"/>
                <w:szCs w:val="21"/>
                <w:lang w:eastAsia="zh-CN"/>
              </w:rPr>
              <w:t>液体物料暂存区</w:t>
            </w:r>
            <w:r>
              <w:rPr>
                <w:rFonts w:hint="default" w:ascii="Times New Roman" w:hAnsi="Times New Roman" w:eastAsia="宋体" w:cs="Times New Roman"/>
                <w:color w:val="auto"/>
                <w:sz w:val="21"/>
                <w:szCs w:val="21"/>
              </w:rPr>
              <w:t>及</w:t>
            </w:r>
            <w:r>
              <w:rPr>
                <w:rFonts w:hint="eastAsia" w:ascii="Times New Roman" w:hAnsi="Times New Roman" w:cs="Times New Roman"/>
                <w:color w:val="auto"/>
                <w:sz w:val="21"/>
                <w:szCs w:val="21"/>
                <w:lang w:eastAsia="zh-CN"/>
              </w:rPr>
              <w:t>危险废物贮存库</w:t>
            </w:r>
            <w:r>
              <w:rPr>
                <w:rFonts w:hint="default" w:ascii="Times New Roman" w:hAnsi="Times New Roman" w:eastAsia="宋体" w:cs="Times New Roman"/>
                <w:color w:val="auto"/>
                <w:sz w:val="21"/>
                <w:szCs w:val="21"/>
              </w:rPr>
              <w:t>地面与裙脚用坚固、防腐防渗材料建造，且各自设置围堰或</w:t>
            </w:r>
            <w:r>
              <w:rPr>
                <w:rFonts w:hint="default" w:ascii="Times New Roman" w:hAnsi="Times New Roman" w:eastAsia="宋体" w:cs="Times New Roman"/>
                <w:color w:val="auto"/>
                <w:sz w:val="21"/>
                <w:szCs w:val="21"/>
                <w:highlight w:val="none"/>
              </w:rPr>
              <w:t>托盘</w:t>
            </w:r>
            <w:r>
              <w:rPr>
                <w:rFonts w:hint="default" w:ascii="Times New Roman" w:hAnsi="Times New Roman" w:eastAsia="宋体" w:cs="Times New Roman"/>
                <w:color w:val="auto"/>
                <w:sz w:val="21"/>
                <w:szCs w:val="21"/>
              </w:rPr>
              <w:t>。</w:t>
            </w:r>
          </w:p>
          <w:p w14:paraId="62ADB540">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w:t>
            </w:r>
            <w:r>
              <w:rPr>
                <w:rFonts w:hint="eastAsia" w:ascii="Times New Roman" w:hAnsi="Times New Roman" w:cs="Times New Roman"/>
                <w:color w:val="auto"/>
                <w:sz w:val="21"/>
                <w:szCs w:val="21"/>
                <w:lang w:eastAsia="zh-CN"/>
              </w:rPr>
              <w:t>液体物料暂存区</w:t>
            </w:r>
            <w:r>
              <w:rPr>
                <w:rFonts w:hint="default" w:ascii="Times New Roman" w:hAnsi="Times New Roman" w:eastAsia="宋体" w:cs="Times New Roman"/>
                <w:color w:val="auto"/>
                <w:sz w:val="21"/>
                <w:szCs w:val="21"/>
              </w:rPr>
              <w:t>及</w:t>
            </w:r>
            <w:r>
              <w:rPr>
                <w:rFonts w:hint="eastAsia" w:ascii="Times New Roman" w:hAnsi="Times New Roman" w:cs="Times New Roman"/>
                <w:color w:val="auto"/>
                <w:sz w:val="21"/>
                <w:szCs w:val="21"/>
                <w:lang w:eastAsia="zh-CN"/>
              </w:rPr>
              <w:t>危险废物贮存库</w:t>
            </w:r>
            <w:r>
              <w:rPr>
                <w:rFonts w:hint="default" w:ascii="Times New Roman" w:hAnsi="Times New Roman" w:eastAsia="宋体" w:cs="Times New Roman"/>
                <w:color w:val="auto"/>
                <w:sz w:val="21"/>
                <w:szCs w:val="21"/>
              </w:rPr>
              <w:t>应配备消防物品如</w:t>
            </w:r>
            <w:r>
              <w:rPr>
                <w:rFonts w:hint="default" w:ascii="Times New Roman" w:hAnsi="Times New Roman" w:eastAsia="宋体" w:cs="Times New Roman"/>
                <w:color w:val="auto"/>
                <w:sz w:val="21"/>
                <w:szCs w:val="21"/>
                <w:highlight w:val="none"/>
                <w:lang w:eastAsia="zh-CN"/>
              </w:rPr>
              <w:t>沙子</w:t>
            </w:r>
            <w:r>
              <w:rPr>
                <w:rFonts w:hint="default" w:ascii="Times New Roman" w:hAnsi="Times New Roman" w:eastAsia="宋体" w:cs="Times New Roman"/>
                <w:color w:val="auto"/>
                <w:sz w:val="21"/>
                <w:szCs w:val="21"/>
              </w:rPr>
              <w:t>、棉纱等，少量泄漏的场合可吸附泄漏物。</w:t>
            </w:r>
          </w:p>
          <w:p w14:paraId="458A280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④建立完善的安全生产管理制度、操作规范，加强生产工人安全环境意识教育，实行持证上岗。建立环境风险应急预案，明确人员责任。加强巡查，发现物料出现泄漏时，</w:t>
            </w:r>
            <w:r>
              <w:rPr>
                <w:rFonts w:hint="default" w:ascii="Times New Roman" w:hAnsi="Times New Roman" w:eastAsia="宋体" w:cs="Times New Roman"/>
                <w:color w:val="auto"/>
                <w:sz w:val="21"/>
                <w:szCs w:val="21"/>
                <w:lang w:eastAsia="zh-CN"/>
              </w:rPr>
              <w:t>应立即</w:t>
            </w:r>
            <w:r>
              <w:rPr>
                <w:rFonts w:hint="default" w:ascii="Times New Roman" w:hAnsi="Times New Roman" w:eastAsia="宋体" w:cs="Times New Roman"/>
                <w:color w:val="auto"/>
                <w:sz w:val="21"/>
                <w:szCs w:val="21"/>
              </w:rPr>
              <w:t>停止生产，及时补漏。</w:t>
            </w:r>
          </w:p>
        </w:tc>
      </w:tr>
    </w:tbl>
    <w:p w14:paraId="32E0063E">
      <w:pPr>
        <w:pStyle w:val="26"/>
        <w:outlineLvl w:val="0"/>
        <w:rPr>
          <w:rFonts w:hint="default" w:ascii="Times New Roman" w:hAnsi="Times New Roman"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902F80">
      <w:pPr>
        <w:pStyle w:val="26"/>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五、</w:t>
      </w:r>
      <w:bookmarkStart w:id="63" w:name="_Hlk54167917"/>
      <w:r>
        <w:rPr>
          <w:rFonts w:hint="default" w:ascii="Times New Roman" w:hAnsi="Times New Roman" w:cs="Times New Roman"/>
          <w:snapToGrid w:val="0"/>
          <w:color w:val="auto"/>
          <w:sz w:val="30"/>
          <w:szCs w:val="30"/>
        </w:rPr>
        <w:t>环境保护措施监督检查清单</w:t>
      </w:r>
      <w:bookmarkEnd w:id="6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627"/>
        <w:gridCol w:w="723"/>
        <w:gridCol w:w="1391"/>
        <w:gridCol w:w="2959"/>
        <w:gridCol w:w="2208"/>
      </w:tblGrid>
      <w:tr w14:paraId="120F1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 w:type="dxa"/>
            <w:tcBorders>
              <w:tl2br w:val="single" w:color="auto" w:sz="4" w:space="0"/>
            </w:tcBorders>
            <w:noWrap w:val="0"/>
            <w:vAlign w:val="top"/>
          </w:tcPr>
          <w:p w14:paraId="011CA2FD">
            <w:pPr>
              <w:adjustRightInd w:val="0"/>
              <w:snapToGrid w:val="0"/>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p w14:paraId="2A2C03B6">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要素</w:t>
            </w:r>
          </w:p>
        </w:tc>
        <w:tc>
          <w:tcPr>
            <w:tcW w:w="1350" w:type="dxa"/>
            <w:gridSpan w:val="2"/>
            <w:noWrap w:val="0"/>
            <w:vAlign w:val="center"/>
          </w:tcPr>
          <w:p w14:paraId="524A9CA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排放口（编号、名称）/污染源</w:t>
            </w:r>
          </w:p>
        </w:tc>
        <w:tc>
          <w:tcPr>
            <w:tcW w:w="1391" w:type="dxa"/>
            <w:noWrap w:val="0"/>
            <w:vAlign w:val="center"/>
          </w:tcPr>
          <w:p w14:paraId="3420483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污染物项目</w:t>
            </w:r>
          </w:p>
        </w:tc>
        <w:tc>
          <w:tcPr>
            <w:tcW w:w="2959" w:type="dxa"/>
            <w:noWrap w:val="0"/>
            <w:vAlign w:val="center"/>
          </w:tcPr>
          <w:p w14:paraId="486B7C9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环境保护措施</w:t>
            </w:r>
          </w:p>
        </w:tc>
        <w:tc>
          <w:tcPr>
            <w:tcW w:w="2208" w:type="dxa"/>
            <w:noWrap w:val="0"/>
            <w:vAlign w:val="center"/>
          </w:tcPr>
          <w:p w14:paraId="309EB7B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541A2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 w:type="dxa"/>
            <w:vMerge w:val="restart"/>
            <w:noWrap w:val="0"/>
            <w:vAlign w:val="center"/>
          </w:tcPr>
          <w:p w14:paraId="1444CB7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627" w:type="dxa"/>
            <w:noWrap w:val="0"/>
            <w:vAlign w:val="center"/>
          </w:tcPr>
          <w:p w14:paraId="61804447">
            <w:pPr>
              <w:pStyle w:val="68"/>
              <w:adjustRightInd/>
              <w:snapToGrid/>
              <w:spacing w:line="240" w:lineRule="auto"/>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有组织</w:t>
            </w:r>
          </w:p>
        </w:tc>
        <w:tc>
          <w:tcPr>
            <w:tcW w:w="723" w:type="dxa"/>
            <w:noWrap w:val="0"/>
            <w:vAlign w:val="center"/>
          </w:tcPr>
          <w:p w14:paraId="17C6B9C3">
            <w:pPr>
              <w:adjustRightInd w:val="0"/>
              <w:snapToGrid w:val="0"/>
              <w:spacing w:beforeLines="10" w:afterLines="10" w:line="259"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val="en-US" w:eastAsia="zh-CN"/>
              </w:rPr>
              <w:t>注塑废气排放口</w:t>
            </w:r>
          </w:p>
        </w:tc>
        <w:tc>
          <w:tcPr>
            <w:tcW w:w="1391" w:type="dxa"/>
            <w:noWrap w:val="0"/>
            <w:vAlign w:val="center"/>
          </w:tcPr>
          <w:p w14:paraId="6062657A">
            <w:pPr>
              <w:pStyle w:val="26"/>
              <w:adjustRightInd w:val="0"/>
              <w:snapToGrid w:val="0"/>
              <w:spacing w:before="0" w:beforeAutospacing="0" w:after="0" w:afterAutospacing="0" w:line="240" w:lineRule="auto"/>
              <w:jc w:val="both"/>
              <w:outlineLvl w:val="0"/>
              <w:rPr>
                <w:rFonts w:hint="default" w:ascii="Times New Roman" w:hAnsi="Times New Roman" w:eastAsia="宋体" w:cs="Times New Roman"/>
                <w:b w:val="0"/>
                <w:bCs/>
                <w:snapToGrid w:val="0"/>
                <w:color w:val="auto"/>
                <w:kern w:val="0"/>
                <w:sz w:val="18"/>
                <w:szCs w:val="18"/>
                <w:vertAlign w:val="baseline"/>
                <w:lang w:val="en-US" w:eastAsia="zh-CN" w:bidi="ar-SA"/>
              </w:rPr>
            </w:pPr>
            <w:r>
              <w:rPr>
                <w:rFonts w:hint="default" w:ascii="Times New Roman" w:hAnsi="Times New Roman" w:eastAsia="宋体" w:cs="Times New Roman"/>
                <w:b w:val="0"/>
                <w:bCs/>
                <w:snapToGrid w:val="0"/>
                <w:color w:val="auto"/>
                <w:kern w:val="0"/>
                <w:sz w:val="18"/>
                <w:szCs w:val="18"/>
                <w:vertAlign w:val="baseline"/>
                <w:lang w:val="en-US" w:eastAsia="zh-CN" w:bidi="ar-SA"/>
              </w:rPr>
              <w:t>非甲烷总烃</w:t>
            </w:r>
            <w:r>
              <w:rPr>
                <w:rFonts w:hint="eastAsia" w:ascii="Times New Roman" w:hAnsi="Times New Roman" w:eastAsia="宋体" w:cs="Times New Roman"/>
                <w:b w:val="0"/>
                <w:bCs/>
                <w:snapToGrid w:val="0"/>
                <w:color w:val="auto"/>
                <w:kern w:val="0"/>
                <w:sz w:val="18"/>
                <w:szCs w:val="18"/>
                <w:vertAlign w:val="baseline"/>
                <w:lang w:val="en-US" w:eastAsia="zh-CN" w:bidi="ar-SA"/>
              </w:rPr>
              <w:t>、颗粒物、</w:t>
            </w:r>
            <w:r>
              <w:rPr>
                <w:rFonts w:hint="default" w:ascii="Times New Roman" w:hAnsi="Times New Roman" w:eastAsia="宋体" w:cs="Times New Roman"/>
                <w:b w:val="0"/>
                <w:bCs/>
                <w:snapToGrid w:val="0"/>
                <w:color w:val="auto"/>
                <w:kern w:val="0"/>
                <w:sz w:val="18"/>
                <w:szCs w:val="18"/>
                <w:vertAlign w:val="baseline"/>
                <w:lang w:val="en-US" w:eastAsia="zh-CN" w:bidi="ar-SA"/>
              </w:rPr>
              <w:t>苯乙烯、丙烯腈、乙苯、甲苯</w:t>
            </w:r>
            <w:r>
              <w:rPr>
                <w:rFonts w:hint="eastAsia" w:ascii="Times New Roman" w:hAnsi="Times New Roman" w:eastAsia="宋体" w:cs="Times New Roman"/>
                <w:b w:val="0"/>
                <w:bCs/>
                <w:snapToGrid w:val="0"/>
                <w:color w:val="auto"/>
                <w:kern w:val="0"/>
                <w:sz w:val="18"/>
                <w:szCs w:val="18"/>
                <w:vertAlign w:val="baseline"/>
                <w:lang w:val="en-US" w:eastAsia="zh-CN" w:bidi="ar-SA"/>
              </w:rPr>
              <w:t>、</w:t>
            </w:r>
            <w:r>
              <w:rPr>
                <w:rFonts w:hint="default" w:ascii="Times New Roman" w:hAnsi="Times New Roman" w:eastAsia="宋体" w:cs="Times New Roman"/>
                <w:b w:val="0"/>
                <w:bCs/>
                <w:snapToGrid w:val="0"/>
                <w:color w:val="auto"/>
                <w:kern w:val="0"/>
                <w:sz w:val="18"/>
                <w:szCs w:val="18"/>
                <w:vertAlign w:val="baseline"/>
                <w:lang w:val="en-US" w:eastAsia="zh-CN" w:bidi="ar-SA"/>
              </w:rPr>
              <w:t>1,3-丁二烯</w:t>
            </w:r>
            <w:r>
              <w:rPr>
                <w:rFonts w:hint="eastAsia" w:ascii="Times New Roman" w:hAnsi="Times New Roman" w:eastAsia="宋体" w:cs="Times New Roman"/>
                <w:b w:val="0"/>
                <w:bCs/>
                <w:snapToGrid w:val="0"/>
                <w:color w:val="auto"/>
                <w:kern w:val="0"/>
                <w:sz w:val="18"/>
                <w:szCs w:val="18"/>
                <w:vertAlign w:val="baseline"/>
                <w:lang w:val="en-US" w:eastAsia="zh-CN" w:bidi="ar-SA"/>
              </w:rPr>
              <w:t>、氨</w:t>
            </w:r>
          </w:p>
        </w:tc>
        <w:tc>
          <w:tcPr>
            <w:tcW w:w="2959" w:type="dxa"/>
            <w:noWrap w:val="0"/>
            <w:vAlign w:val="center"/>
          </w:tcPr>
          <w:p w14:paraId="3866DED7">
            <w:pPr>
              <w:adjustRightInd w:val="0"/>
              <w:snapToGrid w:val="0"/>
              <w:jc w:val="lef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拟在</w:t>
            </w:r>
            <w:r>
              <w:rPr>
                <w:rFonts w:hint="default" w:ascii="Times New Roman" w:hAnsi="Times New Roman" w:cs="Times New Roman"/>
                <w:color w:val="auto"/>
                <w:sz w:val="18"/>
                <w:szCs w:val="18"/>
                <w:lang w:val="en-US" w:eastAsia="zh-CN"/>
              </w:rPr>
              <w:t>注塑机</w:t>
            </w:r>
            <w:r>
              <w:rPr>
                <w:rFonts w:hint="default" w:ascii="Times New Roman" w:hAnsi="Times New Roman" w:cs="Times New Roman"/>
                <w:color w:val="auto"/>
                <w:sz w:val="18"/>
                <w:szCs w:val="18"/>
              </w:rPr>
              <w:t>上方设置集气罩收集</w:t>
            </w:r>
            <w:r>
              <w:rPr>
                <w:rFonts w:hint="default" w:ascii="Times New Roman" w:hAnsi="Times New Roman" w:cs="Times New Roman"/>
                <w:color w:val="auto"/>
                <w:sz w:val="18"/>
                <w:szCs w:val="18"/>
                <w:lang w:val="en-US" w:eastAsia="zh-CN"/>
              </w:rPr>
              <w:t>注塑过程中产生的</w:t>
            </w:r>
            <w:r>
              <w:rPr>
                <w:rFonts w:hint="default" w:ascii="Times New Roman" w:hAnsi="Times New Roman" w:cs="Times New Roman"/>
                <w:color w:val="auto"/>
                <w:sz w:val="18"/>
                <w:szCs w:val="18"/>
                <w:lang w:eastAsia="zh-CN"/>
              </w:rPr>
              <w:t>废气</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废气收集后经过滤棉+两级活性炭处理最后经</w:t>
            </w:r>
            <w:r>
              <w:rPr>
                <w:rFonts w:hint="eastAsia" w:ascii="Times New Roman" w:hAnsi="Times New Roman" w:cs="Times New Roman"/>
                <w:color w:val="auto"/>
                <w:sz w:val="18"/>
                <w:szCs w:val="18"/>
                <w:lang w:val="en-US" w:eastAsia="zh-CN"/>
              </w:rPr>
              <w:t>25m</w:t>
            </w:r>
            <w:r>
              <w:rPr>
                <w:rFonts w:hint="default" w:ascii="Times New Roman" w:hAnsi="Times New Roman" w:cs="Times New Roman"/>
                <w:color w:val="auto"/>
                <w:sz w:val="18"/>
                <w:szCs w:val="18"/>
                <w:lang w:val="en-US" w:eastAsia="zh-CN"/>
              </w:rPr>
              <w:t>高排气筒引至楼顶排放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kern w:val="0"/>
                <w:sz w:val="18"/>
                <w:szCs w:val="18"/>
                <w:lang w:val="en-US" w:eastAsia="zh-CN"/>
              </w:rPr>
              <w:t>风机风量为</w:t>
            </w:r>
            <w:r>
              <w:rPr>
                <w:rFonts w:hint="eastAsia" w:ascii="Times New Roman" w:hAnsi="Times New Roman" w:cs="Times New Roman"/>
                <w:color w:val="auto"/>
                <w:kern w:val="0"/>
                <w:sz w:val="18"/>
                <w:szCs w:val="18"/>
                <w:lang w:val="en-US" w:eastAsia="zh-CN"/>
              </w:rPr>
              <w:t>16</w:t>
            </w:r>
            <w:r>
              <w:rPr>
                <w:rFonts w:hint="default" w:ascii="Times New Roman" w:hAnsi="Times New Roman" w:cs="Times New Roman"/>
                <w:color w:val="auto"/>
                <w:kern w:val="0"/>
                <w:sz w:val="18"/>
                <w:szCs w:val="18"/>
                <w:lang w:val="en-US" w:eastAsia="zh-CN"/>
              </w:rPr>
              <w:t>000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2208" w:type="dxa"/>
            <w:noWrap w:val="0"/>
            <w:vAlign w:val="center"/>
          </w:tcPr>
          <w:p w14:paraId="791BA908">
            <w:pPr>
              <w:pStyle w:val="63"/>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《合成树脂工业污染物排放标准》（GB 31572-2015，含2024年修改单</w:t>
            </w:r>
            <w:r>
              <w:rPr>
                <w:rFonts w:hint="default" w:ascii="Times New Roman" w:hAnsi="Times New Roman" w:cs="Times New Roman"/>
                <w:color w:val="auto"/>
                <w:sz w:val="18"/>
                <w:szCs w:val="18"/>
                <w:highlight w:val="none"/>
                <w:lang w:val="en-US" w:eastAsia="zh-CN"/>
              </w:rPr>
              <w:t>））</w:t>
            </w:r>
          </w:p>
          <w:p w14:paraId="3CFC962A">
            <w:pPr>
              <w:pStyle w:val="63"/>
              <w:spacing w:line="240" w:lineRule="auto"/>
              <w:ind w:firstLine="0" w:firstLineChars="0"/>
              <w:jc w:val="center"/>
              <w:rPr>
                <w:rFonts w:hint="default" w:ascii="Times New Roman" w:hAnsi="Times New Roman" w:eastAsia="宋体" w:cs="Times New Roman"/>
                <w:bCs/>
                <w:color w:val="auto"/>
                <w:spacing w:val="-10"/>
                <w:kern w:val="2"/>
                <w:sz w:val="18"/>
                <w:szCs w:val="18"/>
                <w:lang w:val="en-US" w:eastAsia="zh-CN" w:bidi="ar-SA"/>
              </w:rPr>
            </w:pPr>
            <w:r>
              <w:rPr>
                <w:rFonts w:hint="default" w:ascii="Times New Roman" w:hAnsi="Times New Roman" w:cs="Times New Roman"/>
                <w:color w:val="auto"/>
                <w:sz w:val="18"/>
                <w:szCs w:val="18"/>
                <w:highlight w:val="none"/>
                <w:lang w:val="en-US" w:eastAsia="zh-CN"/>
              </w:rPr>
              <w:t>注：1,3-丁二烯待监测待国家污染物监测方法标准发布后实施</w:t>
            </w:r>
          </w:p>
        </w:tc>
      </w:tr>
      <w:tr w14:paraId="2E98E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92" w:type="dxa"/>
            <w:vMerge w:val="continue"/>
            <w:noWrap w:val="0"/>
            <w:vAlign w:val="center"/>
          </w:tcPr>
          <w:p w14:paraId="2959AC5F">
            <w:pPr>
              <w:adjustRightInd w:val="0"/>
              <w:snapToGrid w:val="0"/>
              <w:jc w:val="center"/>
              <w:rPr>
                <w:rFonts w:hint="default" w:ascii="Times New Roman" w:hAnsi="Times New Roman" w:cs="Times New Roman"/>
                <w:color w:val="auto"/>
                <w:sz w:val="18"/>
                <w:szCs w:val="18"/>
              </w:rPr>
            </w:pPr>
          </w:p>
        </w:tc>
        <w:tc>
          <w:tcPr>
            <w:tcW w:w="627" w:type="dxa"/>
            <w:vMerge w:val="restart"/>
            <w:noWrap w:val="0"/>
            <w:vAlign w:val="center"/>
          </w:tcPr>
          <w:p w14:paraId="2C99106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723" w:type="dxa"/>
            <w:noWrap w:val="0"/>
            <w:vAlign w:val="center"/>
          </w:tcPr>
          <w:p w14:paraId="46CBA06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w:t>
            </w:r>
          </w:p>
        </w:tc>
        <w:tc>
          <w:tcPr>
            <w:tcW w:w="1391" w:type="dxa"/>
            <w:noWrap w:val="0"/>
            <w:vAlign w:val="center"/>
          </w:tcPr>
          <w:p w14:paraId="5E38CCAD">
            <w:pPr>
              <w:pStyle w:val="115"/>
              <w:spacing w:line="240" w:lineRule="auto"/>
              <w:ind w:firstLine="0" w:firstLineChars="0"/>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非甲烷总烃</w:t>
            </w:r>
          </w:p>
          <w:p w14:paraId="1393B771">
            <w:pPr>
              <w:pStyle w:val="115"/>
              <w:spacing w:line="240" w:lineRule="auto"/>
              <w:ind w:firstLine="0" w:firstLineChars="0"/>
              <w:jc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rPr>
              <w:t>颗粒物</w:t>
            </w:r>
          </w:p>
          <w:p w14:paraId="2F87D6C6">
            <w:pPr>
              <w:pStyle w:val="115"/>
              <w:spacing w:line="240" w:lineRule="auto"/>
              <w:ind w:firstLine="0" w:firstLineChars="0"/>
              <w:jc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color w:val="auto"/>
                <w:kern w:val="2"/>
                <w:sz w:val="18"/>
                <w:szCs w:val="18"/>
                <w:lang w:val="en-US" w:eastAsia="zh-CN"/>
              </w:rPr>
              <w:t>甲苯</w:t>
            </w:r>
          </w:p>
          <w:p w14:paraId="43EA78C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臭气浓度</w:t>
            </w:r>
          </w:p>
        </w:tc>
        <w:tc>
          <w:tcPr>
            <w:tcW w:w="2959" w:type="dxa"/>
            <w:vMerge w:val="restart"/>
            <w:noWrap w:val="0"/>
            <w:vAlign w:val="center"/>
          </w:tcPr>
          <w:p w14:paraId="24288C3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加强室内通风，最后在车间内无组织排放</w:t>
            </w:r>
          </w:p>
        </w:tc>
        <w:tc>
          <w:tcPr>
            <w:tcW w:w="2208" w:type="dxa"/>
            <w:noWrap w:val="0"/>
            <w:vAlign w:val="center"/>
          </w:tcPr>
          <w:p w14:paraId="2C1AD65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《合成树脂工业污染物排放标准》（GB 31572-2015，含2024年修改单</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表9标准</w:t>
            </w: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sz w:val="18"/>
                <w:szCs w:val="18"/>
              </w:rPr>
              <w:t>《恶臭污染物排放标准》（</w:t>
            </w:r>
            <w:r>
              <w:rPr>
                <w:rFonts w:hint="eastAsia" w:cs="Times New Roman"/>
                <w:color w:val="auto"/>
                <w:sz w:val="18"/>
                <w:szCs w:val="18"/>
                <w:lang w:eastAsia="zh-CN"/>
              </w:rPr>
              <w:t>GB 14554</w:t>
            </w:r>
            <w:r>
              <w:rPr>
                <w:rFonts w:hint="default" w:ascii="Times New Roman" w:hAnsi="Times New Roman" w:eastAsia="宋体" w:cs="Times New Roman"/>
                <w:color w:val="auto"/>
                <w:sz w:val="18"/>
                <w:szCs w:val="18"/>
              </w:rPr>
              <w:t>-93）表1标准</w:t>
            </w:r>
          </w:p>
        </w:tc>
      </w:tr>
      <w:tr w14:paraId="03F78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92" w:type="dxa"/>
            <w:vMerge w:val="continue"/>
            <w:noWrap w:val="0"/>
            <w:vAlign w:val="center"/>
          </w:tcPr>
          <w:p w14:paraId="6E57E4D5">
            <w:pPr>
              <w:adjustRightInd w:val="0"/>
              <w:snapToGrid w:val="0"/>
              <w:jc w:val="center"/>
              <w:rPr>
                <w:rFonts w:hint="default" w:ascii="Times New Roman" w:hAnsi="Times New Roman" w:cs="Times New Roman"/>
                <w:color w:val="auto"/>
                <w:sz w:val="18"/>
                <w:szCs w:val="18"/>
              </w:rPr>
            </w:pPr>
          </w:p>
        </w:tc>
        <w:tc>
          <w:tcPr>
            <w:tcW w:w="627" w:type="dxa"/>
            <w:vMerge w:val="continue"/>
            <w:noWrap w:val="0"/>
            <w:vAlign w:val="center"/>
          </w:tcPr>
          <w:p w14:paraId="1BB70D6B">
            <w:pPr>
              <w:adjustRightInd w:val="0"/>
              <w:snapToGrid w:val="0"/>
              <w:jc w:val="center"/>
              <w:rPr>
                <w:rFonts w:hint="default" w:ascii="Times New Roman" w:hAnsi="Times New Roman" w:cs="Times New Roman"/>
                <w:color w:val="auto"/>
                <w:sz w:val="18"/>
                <w:szCs w:val="18"/>
              </w:rPr>
            </w:pPr>
          </w:p>
        </w:tc>
        <w:tc>
          <w:tcPr>
            <w:tcW w:w="723" w:type="dxa"/>
            <w:noWrap w:val="0"/>
            <w:vAlign w:val="center"/>
          </w:tcPr>
          <w:p w14:paraId="464385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厂房外1m处</w:t>
            </w:r>
          </w:p>
        </w:tc>
        <w:tc>
          <w:tcPr>
            <w:tcW w:w="1391" w:type="dxa"/>
            <w:noWrap w:val="0"/>
            <w:vAlign w:val="center"/>
          </w:tcPr>
          <w:p w14:paraId="0E2069B9">
            <w:pPr>
              <w:ind w:left="-113" w:right="-113"/>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2959" w:type="dxa"/>
            <w:vMerge w:val="continue"/>
            <w:noWrap w:val="0"/>
            <w:vAlign w:val="center"/>
          </w:tcPr>
          <w:p w14:paraId="36184637">
            <w:pPr>
              <w:adjustRightInd w:val="0"/>
              <w:snapToGrid w:val="0"/>
              <w:jc w:val="left"/>
              <w:rPr>
                <w:rFonts w:hint="default" w:ascii="Times New Roman" w:hAnsi="Times New Roman" w:cs="Times New Roman"/>
                <w:color w:val="auto"/>
                <w:sz w:val="18"/>
                <w:szCs w:val="18"/>
              </w:rPr>
            </w:pPr>
          </w:p>
        </w:tc>
        <w:tc>
          <w:tcPr>
            <w:tcW w:w="2208" w:type="dxa"/>
            <w:noWrap w:val="0"/>
            <w:vAlign w:val="center"/>
          </w:tcPr>
          <w:p w14:paraId="41D3B42D">
            <w:pPr>
              <w:pStyle w:val="63"/>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《挥发性有机物无组织排放控制标准》（</w:t>
            </w:r>
            <w:r>
              <w:rPr>
                <w:rFonts w:hint="eastAsia" w:cs="Times New Roman"/>
                <w:color w:val="auto"/>
                <w:sz w:val="18"/>
                <w:szCs w:val="18"/>
                <w:lang w:eastAsia="zh-CN"/>
              </w:rPr>
              <w:t>GB 37822-2019</w:t>
            </w:r>
            <w:r>
              <w:rPr>
                <w:rFonts w:hint="default" w:ascii="Times New Roman" w:hAnsi="Times New Roman" w:cs="Times New Roman"/>
                <w:color w:val="auto"/>
                <w:sz w:val="18"/>
                <w:szCs w:val="18"/>
              </w:rPr>
              <w:t>）表A.1标准</w:t>
            </w:r>
          </w:p>
        </w:tc>
      </w:tr>
      <w:tr w14:paraId="220EE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92" w:type="dxa"/>
            <w:noWrap w:val="0"/>
            <w:vAlign w:val="center"/>
          </w:tcPr>
          <w:p w14:paraId="6FE26F6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p w14:paraId="65DD15D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tc>
        <w:tc>
          <w:tcPr>
            <w:tcW w:w="1350" w:type="dxa"/>
            <w:gridSpan w:val="2"/>
            <w:noWrap w:val="0"/>
            <w:vAlign w:val="center"/>
          </w:tcPr>
          <w:p w14:paraId="708D202F">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生活污水</w:t>
            </w:r>
          </w:p>
        </w:tc>
        <w:tc>
          <w:tcPr>
            <w:tcW w:w="1391" w:type="dxa"/>
            <w:noWrap w:val="0"/>
            <w:vAlign w:val="center"/>
          </w:tcPr>
          <w:p w14:paraId="49DC357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pH</w:t>
            </w:r>
          </w:p>
          <w:p w14:paraId="7EB419E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p w14:paraId="325EE7E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BOD</w:t>
            </w:r>
            <w:r>
              <w:rPr>
                <w:rFonts w:hint="default" w:ascii="Times New Roman" w:hAnsi="Times New Roman" w:eastAsia="宋体" w:cs="Times New Roman"/>
                <w:color w:val="auto"/>
                <w:sz w:val="18"/>
                <w:szCs w:val="18"/>
                <w:vertAlign w:val="subscript"/>
              </w:rPr>
              <w:t>5</w:t>
            </w:r>
          </w:p>
          <w:p w14:paraId="7322B5C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p w14:paraId="13ADE95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p w14:paraId="785A9DEC">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石油类</w:t>
            </w:r>
          </w:p>
        </w:tc>
        <w:tc>
          <w:tcPr>
            <w:tcW w:w="2959" w:type="dxa"/>
            <w:noWrap w:val="0"/>
            <w:vAlign w:val="center"/>
          </w:tcPr>
          <w:p w14:paraId="77F5B76B">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本项目营运期产生的</w:t>
            </w:r>
            <w:r>
              <w:rPr>
                <w:rFonts w:hint="eastAsia" w:ascii="Times New Roman" w:hAnsi="Times New Roman" w:cs="Times New Roman"/>
                <w:color w:val="auto"/>
                <w:sz w:val="18"/>
                <w:szCs w:val="18"/>
                <w:lang w:val="en-US" w:eastAsia="zh-CN"/>
              </w:rPr>
              <w:t>地面清洁废水与生活污水</w:t>
            </w:r>
            <w:r>
              <w:rPr>
                <w:rFonts w:hint="default" w:ascii="Times New Roman" w:hAnsi="Times New Roman" w:eastAsia="宋体" w:cs="Times New Roman"/>
                <w:color w:val="auto"/>
                <w:sz w:val="18"/>
                <w:szCs w:val="18"/>
                <w:lang w:val="en-US" w:eastAsia="zh-CN"/>
              </w:rPr>
              <w:t>一起</w:t>
            </w:r>
            <w:r>
              <w:rPr>
                <w:rFonts w:hint="eastAsia" w:ascii="Times New Roman" w:hAnsi="Times New Roman" w:cs="Times New Roman"/>
                <w:color w:val="auto"/>
                <w:sz w:val="18"/>
                <w:szCs w:val="18"/>
                <w:lang w:val="en-US" w:eastAsia="zh-CN"/>
              </w:rPr>
              <w:t>排入重庆三花门业现有生化池处理达</w:t>
            </w:r>
            <w:r>
              <w:rPr>
                <w:rFonts w:hint="default" w:ascii="Times New Roman" w:hAnsi="Times New Roman" w:eastAsia="宋体" w:cs="Times New Roman"/>
                <w:color w:val="auto"/>
                <w:sz w:val="18"/>
                <w:szCs w:val="18"/>
              </w:rPr>
              <w:t>《污水综合排放标准》（</w:t>
            </w:r>
            <w:r>
              <w:rPr>
                <w:rFonts w:hint="eastAsia" w:cs="Times New Roman"/>
                <w:color w:val="auto"/>
                <w:sz w:val="18"/>
                <w:szCs w:val="18"/>
                <w:lang w:eastAsia="zh-CN"/>
              </w:rPr>
              <w:t>GB 8978</w:t>
            </w:r>
            <w:r>
              <w:rPr>
                <w:rFonts w:hint="default" w:ascii="Times New Roman" w:hAnsi="Times New Roman" w:eastAsia="宋体" w:cs="Times New Roman"/>
                <w:color w:val="auto"/>
                <w:sz w:val="18"/>
                <w:szCs w:val="18"/>
              </w:rPr>
              <w:t>-1996）三级标准后</w:t>
            </w:r>
            <w:r>
              <w:rPr>
                <w:rFonts w:hint="default" w:ascii="Times New Roman" w:hAnsi="Times New Roman" w:eastAsia="宋体" w:cs="Times New Roman"/>
                <w:color w:val="auto"/>
                <w:sz w:val="18"/>
                <w:szCs w:val="18"/>
                <w:lang w:eastAsia="zh-CN"/>
              </w:rPr>
              <w:t>排</w:t>
            </w:r>
            <w:r>
              <w:rPr>
                <w:rFonts w:hint="default" w:ascii="Times New Roman" w:hAnsi="Times New Roman" w:eastAsia="宋体" w:cs="Times New Roman"/>
                <w:color w:val="auto"/>
                <w:sz w:val="18"/>
                <w:szCs w:val="18"/>
              </w:rPr>
              <w:t>入</w:t>
            </w:r>
            <w:r>
              <w:rPr>
                <w:rFonts w:hint="default" w:ascii="Times New Roman" w:hAnsi="Times New Roman" w:eastAsia="宋体" w:cs="Times New Roman"/>
                <w:color w:val="auto"/>
                <w:sz w:val="18"/>
                <w:szCs w:val="18"/>
                <w:lang w:eastAsia="zh-CN"/>
              </w:rPr>
              <w:t>园区</w:t>
            </w:r>
            <w:r>
              <w:rPr>
                <w:rFonts w:hint="default" w:ascii="Times New Roman" w:hAnsi="Times New Roman" w:eastAsia="宋体" w:cs="Times New Roman"/>
                <w:color w:val="auto"/>
                <w:sz w:val="18"/>
                <w:szCs w:val="18"/>
              </w:rPr>
              <w:t>污水管网</w:t>
            </w:r>
            <w:r>
              <w:rPr>
                <w:rFonts w:hint="default" w:ascii="Times New Roman" w:hAnsi="Times New Roman" w:eastAsia="宋体" w:cs="Times New Roman"/>
                <w:color w:val="auto"/>
                <w:sz w:val="18"/>
                <w:szCs w:val="18"/>
                <w:lang w:eastAsia="zh-CN"/>
              </w:rPr>
              <w:t>，最后</w:t>
            </w:r>
            <w:r>
              <w:rPr>
                <w:rFonts w:hint="default" w:ascii="Times New Roman" w:hAnsi="Times New Roman" w:eastAsia="宋体" w:cs="Times New Roman"/>
                <w:color w:val="auto"/>
                <w:sz w:val="18"/>
                <w:szCs w:val="18"/>
              </w:rPr>
              <w:t>进入</w:t>
            </w:r>
            <w:r>
              <w:rPr>
                <w:rFonts w:hint="eastAsia" w:ascii="Times New Roman" w:hAnsi="Times New Roman" w:cs="Times New Roman"/>
                <w:color w:val="auto"/>
                <w:sz w:val="18"/>
                <w:szCs w:val="18"/>
                <w:lang w:eastAsia="zh-CN"/>
              </w:rPr>
              <w:t>南溪组团A区污水处理厂</w:t>
            </w:r>
            <w:r>
              <w:rPr>
                <w:rFonts w:hint="default" w:ascii="Times New Roman" w:hAnsi="Times New Roman" w:eastAsia="宋体" w:cs="Times New Roman"/>
                <w:color w:val="auto"/>
                <w:sz w:val="18"/>
                <w:szCs w:val="18"/>
              </w:rPr>
              <w:t>进一步处理</w:t>
            </w:r>
            <w:r>
              <w:rPr>
                <w:rFonts w:hint="eastAsia" w:ascii="Times New Roman" w:hAnsi="Times New Roman" w:cs="Times New Roman"/>
                <w:color w:val="auto"/>
                <w:sz w:val="18"/>
                <w:szCs w:val="18"/>
                <w:lang w:eastAsia="zh-CN"/>
              </w:rPr>
              <w:t>达《城镇污水处理厂污染物排放标准》（</w:t>
            </w:r>
            <w:r>
              <w:rPr>
                <w:rFonts w:hint="eastAsia" w:cs="Times New Roman"/>
                <w:color w:val="auto"/>
                <w:sz w:val="18"/>
                <w:szCs w:val="18"/>
                <w:lang w:eastAsia="zh-CN"/>
              </w:rPr>
              <w:t>GB 1891</w:t>
            </w:r>
            <w:r>
              <w:rPr>
                <w:rFonts w:hint="eastAsia" w:ascii="Times New Roman" w:hAnsi="Times New Roman" w:cs="Times New Roman"/>
                <w:color w:val="auto"/>
                <w:sz w:val="18"/>
                <w:szCs w:val="18"/>
                <w:lang w:eastAsia="zh-CN"/>
              </w:rPr>
              <w:t>8-2002）一级B标后排入建梁河，最后汇入嘉陵江</w:t>
            </w:r>
            <w:r>
              <w:rPr>
                <w:rFonts w:hint="default" w:ascii="Times New Roman" w:hAnsi="Times New Roman" w:eastAsia="宋体" w:cs="Times New Roman"/>
                <w:color w:val="auto"/>
                <w:sz w:val="18"/>
                <w:szCs w:val="18"/>
              </w:rPr>
              <w:t>。</w:t>
            </w:r>
          </w:p>
        </w:tc>
        <w:tc>
          <w:tcPr>
            <w:tcW w:w="2208" w:type="dxa"/>
            <w:noWrap w:val="0"/>
            <w:vAlign w:val="center"/>
          </w:tcPr>
          <w:p w14:paraId="2CA1CB7F">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《污水综合排放标准》（</w:t>
            </w:r>
            <w:r>
              <w:rPr>
                <w:rFonts w:hint="eastAsia" w:cs="Times New Roman"/>
                <w:color w:val="auto"/>
                <w:sz w:val="18"/>
                <w:szCs w:val="18"/>
                <w:lang w:eastAsia="zh-CN"/>
              </w:rPr>
              <w:t>GB 8978</w:t>
            </w:r>
            <w:r>
              <w:rPr>
                <w:rFonts w:hint="default" w:ascii="Times New Roman" w:hAnsi="Times New Roman" w:eastAsia="宋体" w:cs="Times New Roman"/>
                <w:color w:val="auto"/>
                <w:sz w:val="18"/>
                <w:szCs w:val="18"/>
              </w:rPr>
              <w:t>-1996）三级标准</w:t>
            </w:r>
          </w:p>
        </w:tc>
      </w:tr>
      <w:tr w14:paraId="7BC18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 w:type="dxa"/>
            <w:noWrap w:val="0"/>
            <w:vAlign w:val="center"/>
          </w:tcPr>
          <w:p w14:paraId="49DD2CE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w:t>
            </w:r>
          </w:p>
        </w:tc>
        <w:tc>
          <w:tcPr>
            <w:tcW w:w="1350" w:type="dxa"/>
            <w:gridSpan w:val="2"/>
            <w:noWrap w:val="0"/>
            <w:vAlign w:val="center"/>
          </w:tcPr>
          <w:p w14:paraId="08D57296">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生产设备</w:t>
            </w:r>
          </w:p>
        </w:tc>
        <w:tc>
          <w:tcPr>
            <w:tcW w:w="1391" w:type="dxa"/>
            <w:noWrap w:val="0"/>
            <w:vAlign w:val="center"/>
          </w:tcPr>
          <w:p w14:paraId="3872D4B8">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噪声</w:t>
            </w:r>
          </w:p>
        </w:tc>
        <w:tc>
          <w:tcPr>
            <w:tcW w:w="2959" w:type="dxa"/>
            <w:noWrap w:val="0"/>
            <w:vAlign w:val="center"/>
          </w:tcPr>
          <w:p w14:paraId="70162A2D">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基础减振、消音、厂房隔声</w:t>
            </w:r>
          </w:p>
        </w:tc>
        <w:tc>
          <w:tcPr>
            <w:tcW w:w="2208" w:type="dxa"/>
            <w:noWrap w:val="0"/>
            <w:vAlign w:val="center"/>
          </w:tcPr>
          <w:p w14:paraId="21C3A630">
            <w:pPr>
              <w:adjustRightInd w:val="0"/>
              <w:snapToGrid w:val="0"/>
              <w:jc w:val="center"/>
              <w:rPr>
                <w:rFonts w:hint="default" w:ascii="Times New Roman" w:hAnsi="Times New Roman" w:cs="Times New Roman"/>
                <w:bCs/>
                <w:color w:val="auto"/>
                <w:spacing w:val="-10"/>
                <w:sz w:val="18"/>
                <w:szCs w:val="18"/>
              </w:rPr>
            </w:pPr>
            <w:r>
              <w:rPr>
                <w:rFonts w:hint="default" w:ascii="Times New Roman" w:hAnsi="Times New Roman" w:cs="Times New Roman"/>
                <w:bCs/>
                <w:color w:val="auto"/>
                <w:spacing w:val="-10"/>
                <w:sz w:val="18"/>
                <w:szCs w:val="18"/>
              </w:rPr>
              <w:t>《工业企业厂界环境噪声排放标准》（</w:t>
            </w:r>
            <w:r>
              <w:rPr>
                <w:rFonts w:hint="eastAsia" w:cs="Times New Roman"/>
                <w:bCs/>
                <w:color w:val="auto"/>
                <w:spacing w:val="-10"/>
                <w:sz w:val="18"/>
                <w:szCs w:val="18"/>
                <w:lang w:eastAsia="zh-CN"/>
              </w:rPr>
              <w:t>GB 12348</w:t>
            </w:r>
            <w:r>
              <w:rPr>
                <w:rFonts w:hint="default" w:ascii="Times New Roman" w:hAnsi="Times New Roman" w:cs="Times New Roman"/>
                <w:bCs/>
                <w:color w:val="auto"/>
                <w:spacing w:val="-10"/>
                <w:sz w:val="18"/>
                <w:szCs w:val="18"/>
              </w:rPr>
              <w:t>-2008）中3类标准</w:t>
            </w:r>
          </w:p>
        </w:tc>
      </w:tr>
      <w:tr w14:paraId="5FDC8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92" w:type="dxa"/>
            <w:noWrap w:val="0"/>
            <w:vAlign w:val="center"/>
          </w:tcPr>
          <w:p w14:paraId="23E22D8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电磁辐射</w:t>
            </w:r>
          </w:p>
        </w:tc>
        <w:tc>
          <w:tcPr>
            <w:tcW w:w="1350" w:type="dxa"/>
            <w:gridSpan w:val="2"/>
            <w:noWrap w:val="0"/>
            <w:vAlign w:val="center"/>
          </w:tcPr>
          <w:p w14:paraId="714D236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91" w:type="dxa"/>
            <w:noWrap w:val="0"/>
            <w:vAlign w:val="center"/>
          </w:tcPr>
          <w:p w14:paraId="0813E50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959" w:type="dxa"/>
            <w:noWrap w:val="0"/>
            <w:vAlign w:val="center"/>
          </w:tcPr>
          <w:p w14:paraId="0B450A9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208" w:type="dxa"/>
            <w:noWrap w:val="0"/>
            <w:vAlign w:val="center"/>
          </w:tcPr>
          <w:p w14:paraId="7809C73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03019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892" w:type="dxa"/>
            <w:noWrap w:val="0"/>
            <w:vAlign w:val="center"/>
          </w:tcPr>
          <w:p w14:paraId="6BABD14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固体废物</w:t>
            </w:r>
          </w:p>
        </w:tc>
        <w:tc>
          <w:tcPr>
            <w:tcW w:w="7908" w:type="dxa"/>
            <w:gridSpan w:val="5"/>
            <w:noWrap w:val="0"/>
            <w:vAlign w:val="center"/>
          </w:tcPr>
          <w:p w14:paraId="77CB7377">
            <w:pPr>
              <w:spacing w:line="240" w:lineRule="auto"/>
              <w:rPr>
                <w:rFonts w:hint="default" w:ascii="Times New Roman" w:hAnsi="Times New Roman" w:cs="Times New Roman"/>
                <w:snapToGrid w:val="0"/>
                <w:color w:val="auto"/>
                <w:kern w:val="0"/>
                <w:sz w:val="18"/>
                <w:szCs w:val="18"/>
              </w:rPr>
            </w:pPr>
            <w:r>
              <w:rPr>
                <w:rFonts w:hint="default" w:ascii="Times New Roman" w:hAnsi="Times New Roman" w:cs="Times New Roman"/>
                <w:b/>
                <w:color w:val="auto"/>
                <w:sz w:val="18"/>
                <w:szCs w:val="18"/>
              </w:rPr>
              <w:t>①一般工业固体废物：</w:t>
            </w:r>
            <w:r>
              <w:rPr>
                <w:rFonts w:hint="default" w:ascii="Times New Roman" w:hAnsi="Times New Roman" w:cs="Times New Roman"/>
                <w:color w:val="auto"/>
                <w:sz w:val="18"/>
                <w:szCs w:val="18"/>
              </w:rPr>
              <w:t>一般工业固体废物</w:t>
            </w:r>
            <w:r>
              <w:rPr>
                <w:rFonts w:hint="default" w:ascii="Times New Roman" w:hAnsi="Times New Roman" w:cs="Times New Roman"/>
                <w:color w:val="auto"/>
                <w:sz w:val="18"/>
                <w:szCs w:val="18"/>
                <w:lang w:eastAsia="zh-CN"/>
              </w:rPr>
              <w:t>主要为</w:t>
            </w:r>
            <w:r>
              <w:rPr>
                <w:rFonts w:hint="eastAsia" w:ascii="Times New Roman" w:hAnsi="Times New Roman" w:cs="Times New Roman"/>
                <w:color w:val="auto"/>
                <w:sz w:val="18"/>
                <w:szCs w:val="18"/>
                <w:lang w:eastAsia="zh-CN"/>
              </w:rPr>
              <w:t>废包装材料、废边角料、不合格品</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废包装材料</w:t>
            </w:r>
            <w:r>
              <w:rPr>
                <w:rFonts w:hint="default" w:ascii="Times New Roman" w:hAnsi="Times New Roman" w:cs="Times New Roman"/>
                <w:color w:val="auto"/>
                <w:sz w:val="18"/>
                <w:szCs w:val="18"/>
                <w:lang w:eastAsia="zh-CN"/>
              </w:rPr>
              <w:t>集中收集后交由废品回收单位处理，</w:t>
            </w:r>
            <w:r>
              <w:rPr>
                <w:rFonts w:hint="eastAsia" w:ascii="Times New Roman" w:hAnsi="Times New Roman" w:cs="Times New Roman"/>
                <w:color w:val="auto"/>
                <w:sz w:val="18"/>
                <w:szCs w:val="18"/>
                <w:lang w:eastAsia="zh-CN"/>
              </w:rPr>
              <w:t>废边角料及不合格产品破</w:t>
            </w:r>
            <w:r>
              <w:rPr>
                <w:rFonts w:hint="default" w:ascii="Times New Roman" w:hAnsi="Times New Roman" w:cs="Times New Roman"/>
                <w:color w:val="auto"/>
                <w:sz w:val="18"/>
                <w:szCs w:val="18"/>
                <w:lang w:eastAsia="zh-CN"/>
              </w:rPr>
              <w:t>碎后回用于生产线</w:t>
            </w:r>
            <w:r>
              <w:rPr>
                <w:rFonts w:hint="default" w:ascii="Times New Roman" w:hAnsi="Times New Roman" w:cs="Times New Roman"/>
                <w:color w:val="auto"/>
                <w:sz w:val="18"/>
                <w:szCs w:val="18"/>
              </w:rPr>
              <w:t>，</w:t>
            </w:r>
            <w:r>
              <w:rPr>
                <w:rFonts w:hint="default" w:ascii="Times New Roman" w:hAnsi="Times New Roman" w:eastAsia="宋体" w:cs="Times New Roman"/>
                <w:color w:val="auto"/>
                <w:sz w:val="18"/>
                <w:szCs w:val="18"/>
              </w:rPr>
              <w:t>设一般固废暂存点，</w:t>
            </w:r>
            <w:r>
              <w:rPr>
                <w:rFonts w:hint="default" w:ascii="Times New Roman" w:hAnsi="Times New Roman" w:eastAsia="宋体" w:cs="Times New Roman"/>
                <w:color w:val="auto"/>
                <w:sz w:val="18"/>
                <w:szCs w:val="18"/>
                <w:lang w:eastAsia="zh-CN"/>
              </w:rPr>
              <w:t>位于</w:t>
            </w:r>
            <w:r>
              <w:rPr>
                <w:rFonts w:hint="eastAsia" w:ascii="Times New Roman" w:hAnsi="Times New Roman" w:cs="Times New Roman"/>
                <w:color w:val="auto"/>
                <w:sz w:val="18"/>
                <w:szCs w:val="18"/>
                <w:lang w:val="en-US" w:eastAsia="zh-CN"/>
              </w:rPr>
              <w:t>厂区西南侧</w:t>
            </w:r>
            <w:r>
              <w:rPr>
                <w:rFonts w:hint="default" w:ascii="Times New Roman" w:hAnsi="Times New Roman" w:eastAsia="宋体" w:cs="Times New Roman"/>
                <w:color w:val="auto"/>
                <w:sz w:val="18"/>
                <w:szCs w:val="18"/>
              </w:rPr>
              <w:t>，约</w:t>
            </w:r>
            <w:r>
              <w:rPr>
                <w:rFonts w:hint="eastAsia"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，设标识牌</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并做好防渗漏、防雨淋、防扬尘措施。</w:t>
            </w:r>
          </w:p>
          <w:p w14:paraId="43CB17F6">
            <w:pPr>
              <w:spacing w:line="240" w:lineRule="auto"/>
              <w:rPr>
                <w:rFonts w:hint="default" w:ascii="Times New Roman" w:hAnsi="Times New Roman" w:cs="Times New Roman"/>
                <w:bCs/>
                <w:color w:val="auto"/>
                <w:sz w:val="18"/>
                <w:szCs w:val="18"/>
                <w:lang w:eastAsia="zh-CN"/>
              </w:rPr>
            </w:pPr>
            <w:r>
              <w:rPr>
                <w:rFonts w:hint="default" w:ascii="Times New Roman" w:hAnsi="Times New Roman" w:cs="Times New Roman"/>
                <w:b/>
                <w:color w:val="auto"/>
                <w:sz w:val="18"/>
                <w:szCs w:val="18"/>
              </w:rPr>
              <w:t>②危险废物：</w:t>
            </w:r>
            <w:r>
              <w:rPr>
                <w:rFonts w:hint="default" w:ascii="Times New Roman" w:hAnsi="Times New Roman" w:cs="Times New Roman"/>
                <w:color w:val="auto"/>
                <w:sz w:val="18"/>
                <w:szCs w:val="18"/>
              </w:rPr>
              <w:t>主要为</w:t>
            </w:r>
            <w:r>
              <w:rPr>
                <w:rFonts w:hint="eastAsia" w:cs="Times New Roman"/>
                <w:color w:val="auto"/>
                <w:sz w:val="18"/>
                <w:szCs w:val="18"/>
                <w:lang w:eastAsia="zh-CN"/>
              </w:rPr>
              <w:t>废油桶</w:t>
            </w:r>
            <w:r>
              <w:rPr>
                <w:rFonts w:hint="eastAsia" w:ascii="Times New Roman" w:hAnsi="Times New Roman" w:cs="Times New Roman"/>
                <w:color w:val="auto"/>
                <w:sz w:val="18"/>
                <w:szCs w:val="18"/>
                <w:lang w:eastAsia="zh-CN"/>
              </w:rPr>
              <w:t>、废矿物油、废含油棉纱和手套、废活性炭、废过滤棉、空压机含油冷凝液</w:t>
            </w:r>
            <w:r>
              <w:rPr>
                <w:rFonts w:hint="default" w:ascii="Times New Roman" w:hAnsi="Times New Roman" w:cs="Times New Roman"/>
                <w:color w:val="auto"/>
                <w:sz w:val="18"/>
                <w:szCs w:val="18"/>
              </w:rPr>
              <w:t>，分类收集后暂存于</w:t>
            </w:r>
            <w:r>
              <w:rPr>
                <w:rFonts w:hint="eastAsia" w:ascii="Times New Roman" w:hAnsi="Times New Roman" w:cs="Times New Roman"/>
                <w:color w:val="auto"/>
                <w:sz w:val="18"/>
                <w:szCs w:val="18"/>
                <w:lang w:eastAsia="zh-CN"/>
              </w:rPr>
              <w:t>危险废物贮存库</w:t>
            </w:r>
            <w:r>
              <w:rPr>
                <w:rFonts w:hint="default" w:ascii="Times New Roman" w:hAnsi="Times New Roman" w:cs="Times New Roman"/>
                <w:color w:val="auto"/>
                <w:sz w:val="18"/>
                <w:szCs w:val="18"/>
              </w:rPr>
              <w:t>，定期交有资质单位处置。</w:t>
            </w:r>
            <w:r>
              <w:rPr>
                <w:rFonts w:hint="default" w:ascii="Times New Roman" w:hAnsi="Times New Roman" w:eastAsia="宋体" w:cs="Times New Roman"/>
                <w:b w:val="0"/>
                <w:bCs w:val="0"/>
                <w:snapToGrid w:val="0"/>
                <w:color w:val="auto"/>
                <w:kern w:val="0"/>
                <w:sz w:val="18"/>
                <w:szCs w:val="18"/>
              </w:rPr>
              <w:t>设置一个</w:t>
            </w:r>
            <w:r>
              <w:rPr>
                <w:rFonts w:hint="eastAsia" w:ascii="Times New Roman" w:hAnsi="Times New Roman" w:cs="Times New Roman"/>
                <w:b w:val="0"/>
                <w:bCs w:val="0"/>
                <w:snapToGrid w:val="0"/>
                <w:color w:val="auto"/>
                <w:kern w:val="0"/>
                <w:sz w:val="18"/>
                <w:szCs w:val="18"/>
                <w:lang w:eastAsia="zh-CN"/>
              </w:rPr>
              <w:t>危险废物贮存库</w:t>
            </w:r>
            <w:r>
              <w:rPr>
                <w:rFonts w:hint="default" w:ascii="Times New Roman" w:hAnsi="Times New Roman" w:eastAsia="宋体" w:cs="Times New Roman"/>
                <w:b w:val="0"/>
                <w:bCs w:val="0"/>
                <w:snapToGrid w:val="0"/>
                <w:color w:val="auto"/>
                <w:kern w:val="0"/>
                <w:sz w:val="18"/>
                <w:szCs w:val="18"/>
              </w:rPr>
              <w:t>，约</w:t>
            </w:r>
            <w:r>
              <w:rPr>
                <w:rFonts w:hint="default" w:ascii="Times New Roman" w:hAnsi="Times New Roman" w:cs="Times New Roman"/>
                <w:b w:val="0"/>
                <w:bCs w:val="0"/>
                <w:snapToGrid w:val="0"/>
                <w:color w:val="auto"/>
                <w:kern w:val="0"/>
                <w:sz w:val="18"/>
                <w:szCs w:val="18"/>
                <w:lang w:val="en-US" w:eastAsia="zh-CN"/>
              </w:rPr>
              <w:t>5</w:t>
            </w:r>
            <w:r>
              <w:rPr>
                <w:rFonts w:hint="default" w:ascii="Times New Roman" w:hAnsi="Times New Roman" w:eastAsia="宋体" w:cs="Times New Roman"/>
                <w:b w:val="0"/>
                <w:bCs w:val="0"/>
                <w:snapToGrid w:val="0"/>
                <w:color w:val="auto"/>
                <w:kern w:val="0"/>
                <w:sz w:val="18"/>
                <w:szCs w:val="18"/>
                <w:lang w:val="en-US" w:eastAsia="zh-CN"/>
              </w:rPr>
              <w:t>m</w:t>
            </w:r>
            <w:r>
              <w:rPr>
                <w:rFonts w:hint="default" w:ascii="Times New Roman" w:hAnsi="Times New Roman" w:eastAsia="宋体" w:cs="Times New Roman"/>
                <w:b w:val="0"/>
                <w:bCs w:val="0"/>
                <w:snapToGrid w:val="0"/>
                <w:color w:val="auto"/>
                <w:kern w:val="0"/>
                <w:sz w:val="18"/>
                <w:szCs w:val="18"/>
                <w:vertAlign w:val="superscript"/>
              </w:rPr>
              <w:t>2</w:t>
            </w:r>
            <w:r>
              <w:rPr>
                <w:rFonts w:hint="default" w:ascii="Times New Roman" w:hAnsi="Times New Roman" w:eastAsia="宋体" w:cs="Times New Roman"/>
                <w:b w:val="0"/>
                <w:bCs w:val="0"/>
                <w:snapToGrid w:val="0"/>
                <w:color w:val="auto"/>
                <w:kern w:val="0"/>
                <w:sz w:val="18"/>
                <w:szCs w:val="18"/>
              </w:rPr>
              <w:t>，</w:t>
            </w:r>
            <w:r>
              <w:rPr>
                <w:rFonts w:hint="default" w:ascii="Times New Roman" w:hAnsi="Times New Roman" w:eastAsia="宋体" w:cs="Times New Roman"/>
                <w:color w:val="auto"/>
                <w:sz w:val="18"/>
                <w:szCs w:val="18"/>
                <w:lang w:eastAsia="zh-CN"/>
              </w:rPr>
              <w:t>位于</w:t>
            </w:r>
            <w:r>
              <w:rPr>
                <w:rFonts w:hint="eastAsia" w:ascii="Times New Roman" w:hAnsi="Times New Roman" w:cs="Times New Roman"/>
                <w:color w:val="auto"/>
                <w:sz w:val="18"/>
                <w:szCs w:val="18"/>
                <w:lang w:val="en-US" w:eastAsia="zh-CN"/>
              </w:rPr>
              <w:t>厂区东南侧</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设标识牌</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并做好</w:t>
            </w:r>
            <w:r>
              <w:rPr>
                <w:rFonts w:hint="default" w:ascii="Times New Roman" w:hAnsi="Times New Roman" w:cs="Times New Roman"/>
                <w:bCs/>
                <w:color w:val="auto"/>
                <w:sz w:val="18"/>
                <w:szCs w:val="18"/>
              </w:rPr>
              <w:t>防风、防晒、防雨、防漏、防渗、防腐以及其他环境污染防治措施</w:t>
            </w:r>
            <w:r>
              <w:rPr>
                <w:rFonts w:hint="default" w:ascii="Times New Roman" w:hAnsi="Times New Roman" w:cs="Times New Roman"/>
                <w:bCs/>
                <w:color w:val="auto"/>
                <w:sz w:val="18"/>
                <w:szCs w:val="18"/>
                <w:lang w:eastAsia="zh-CN"/>
              </w:rPr>
              <w:t>。</w:t>
            </w:r>
          </w:p>
          <w:p w14:paraId="71ED7ED8">
            <w:pPr>
              <w:spacing w:line="240" w:lineRule="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color w:val="auto"/>
                <w:sz w:val="18"/>
                <w:szCs w:val="18"/>
              </w:rPr>
              <w:t>③生活垃圾：</w:t>
            </w:r>
            <w:r>
              <w:rPr>
                <w:rFonts w:hint="default" w:ascii="Times New Roman" w:hAnsi="Times New Roman" w:eastAsia="宋体" w:cs="Times New Roman"/>
                <w:color w:val="auto"/>
                <w:sz w:val="18"/>
                <w:szCs w:val="18"/>
              </w:rPr>
              <w:t>集中收集后交由环卫部门统一收集处理。</w:t>
            </w:r>
          </w:p>
        </w:tc>
      </w:tr>
      <w:tr w14:paraId="0D87B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92" w:type="dxa"/>
            <w:noWrap w:val="0"/>
            <w:vAlign w:val="center"/>
          </w:tcPr>
          <w:p w14:paraId="06A7DD7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土壤及地下水污染防治措施</w:t>
            </w:r>
          </w:p>
        </w:tc>
        <w:tc>
          <w:tcPr>
            <w:tcW w:w="7908" w:type="dxa"/>
            <w:gridSpan w:val="5"/>
            <w:noWrap w:val="0"/>
            <w:vAlign w:val="center"/>
          </w:tcPr>
          <w:p w14:paraId="3591102A">
            <w:pPr>
              <w:adjustRightInd w:val="0"/>
              <w:snapToGrid w:val="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①</w:t>
            </w:r>
            <w:r>
              <w:rPr>
                <w:rFonts w:hint="default" w:ascii="Times New Roman" w:hAnsi="Times New Roman" w:eastAsia="宋体" w:cs="Times New Roman"/>
                <w:color w:val="auto"/>
                <w:sz w:val="18"/>
                <w:szCs w:val="18"/>
                <w:lang w:eastAsia="zh-CN"/>
              </w:rPr>
              <w:t>原材料</w:t>
            </w:r>
            <w:r>
              <w:rPr>
                <w:rFonts w:hint="default" w:ascii="Times New Roman" w:hAnsi="Times New Roman" w:eastAsia="宋体" w:cs="Times New Roman"/>
                <w:color w:val="auto"/>
                <w:sz w:val="18"/>
                <w:szCs w:val="18"/>
              </w:rPr>
              <w:t>库房</w:t>
            </w:r>
            <w:r>
              <w:rPr>
                <w:rFonts w:hint="default" w:ascii="Times New Roman" w:hAnsi="Times New Roman" w:eastAsia="宋体" w:cs="Times New Roman"/>
                <w:color w:val="auto"/>
                <w:sz w:val="18"/>
                <w:szCs w:val="18"/>
                <w:lang w:eastAsia="zh-CN"/>
              </w:rPr>
              <w:t>的</w:t>
            </w:r>
            <w:r>
              <w:rPr>
                <w:rFonts w:hint="eastAsia" w:ascii="Times New Roman" w:hAnsi="Times New Roman" w:cs="Times New Roman"/>
                <w:color w:val="auto"/>
                <w:sz w:val="18"/>
                <w:szCs w:val="18"/>
                <w:lang w:eastAsia="zh-CN"/>
              </w:rPr>
              <w:t>液体物料暂存区</w:t>
            </w:r>
            <w:r>
              <w:rPr>
                <w:rFonts w:hint="default" w:ascii="Times New Roman" w:hAnsi="Times New Roman" w:eastAsia="宋体" w:cs="Times New Roman"/>
                <w:color w:val="auto"/>
                <w:sz w:val="18"/>
                <w:szCs w:val="18"/>
              </w:rPr>
              <w:t>以及</w:t>
            </w:r>
            <w:r>
              <w:rPr>
                <w:rFonts w:hint="eastAsia" w:ascii="Times New Roman" w:hAnsi="Times New Roman" w:cs="Times New Roman"/>
                <w:color w:val="auto"/>
                <w:sz w:val="18"/>
                <w:szCs w:val="18"/>
                <w:lang w:eastAsia="zh-CN"/>
              </w:rPr>
              <w:t>危险废物贮存库</w:t>
            </w:r>
            <w:r>
              <w:rPr>
                <w:rFonts w:hint="default" w:ascii="Times New Roman" w:hAnsi="Times New Roman" w:eastAsia="宋体" w:cs="Times New Roman"/>
                <w:color w:val="auto"/>
                <w:sz w:val="18"/>
                <w:szCs w:val="18"/>
                <w:lang w:eastAsia="zh-CN"/>
              </w:rPr>
              <w:t>存放液体物料的区域</w:t>
            </w:r>
            <w:r>
              <w:rPr>
                <w:rFonts w:hint="default" w:ascii="Times New Roman" w:hAnsi="Times New Roman" w:eastAsia="宋体" w:cs="Times New Roman"/>
                <w:color w:val="auto"/>
                <w:sz w:val="18"/>
                <w:szCs w:val="18"/>
              </w:rPr>
              <w:t>按照《危险废物贮存污染控制标准》（GB18597-2023）的要求，地面采用坚固、防渗、耐腐蚀的钢筋混凝土材料铺设，同时设置托盘或围堰。</w:t>
            </w:r>
          </w:p>
          <w:p w14:paraId="22B3CC58">
            <w:pPr>
              <w:adjustRightInd w:val="0"/>
              <w:snapToGrid w:val="0"/>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②工作人员应加强场地的检修、加固，防止渗漏，对地下水造成污染。</w:t>
            </w:r>
          </w:p>
        </w:tc>
      </w:tr>
      <w:tr w14:paraId="01B8C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92" w:type="dxa"/>
            <w:noWrap w:val="0"/>
            <w:vAlign w:val="center"/>
          </w:tcPr>
          <w:p w14:paraId="0E89E80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生态保护措施</w:t>
            </w:r>
          </w:p>
        </w:tc>
        <w:tc>
          <w:tcPr>
            <w:tcW w:w="7908" w:type="dxa"/>
            <w:gridSpan w:val="5"/>
            <w:noWrap w:val="0"/>
            <w:vAlign w:val="center"/>
          </w:tcPr>
          <w:p w14:paraId="6C427DC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6B50C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92" w:type="dxa"/>
            <w:noWrap w:val="0"/>
            <w:vAlign w:val="center"/>
          </w:tcPr>
          <w:p w14:paraId="3DA0992D">
            <w:pPr>
              <w:adjustRightInd w:val="0"/>
              <w:snapToGrid w:val="0"/>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环境风险</w:t>
            </w:r>
          </w:p>
          <w:p w14:paraId="2C87391D">
            <w:pPr>
              <w:adjustRightInd w:val="0"/>
              <w:snapToGrid w:val="0"/>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防范措施</w:t>
            </w:r>
          </w:p>
        </w:tc>
        <w:tc>
          <w:tcPr>
            <w:tcW w:w="7908" w:type="dxa"/>
            <w:gridSpan w:val="5"/>
            <w:noWrap w:val="0"/>
            <w:vAlign w:val="center"/>
          </w:tcPr>
          <w:p w14:paraId="07C13BBC">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w:t>
            </w:r>
            <w:r>
              <w:rPr>
                <w:rFonts w:hint="eastAsia" w:ascii="Times New Roman" w:hAnsi="Times New Roman" w:cs="Times New Roman"/>
                <w:color w:val="auto"/>
                <w:sz w:val="18"/>
                <w:szCs w:val="18"/>
                <w:lang w:val="en-US" w:eastAsia="zh-CN"/>
              </w:rPr>
              <w:t>液压油、润滑油</w:t>
            </w:r>
            <w:r>
              <w:rPr>
                <w:rFonts w:hint="default" w:ascii="Times New Roman" w:hAnsi="Times New Roman" w:cs="Times New Roman"/>
                <w:color w:val="auto"/>
                <w:sz w:val="18"/>
                <w:szCs w:val="18"/>
                <w:lang w:eastAsia="zh-CN"/>
              </w:rPr>
              <w:t>等</w:t>
            </w:r>
            <w:r>
              <w:rPr>
                <w:rFonts w:hint="default" w:ascii="Times New Roman" w:hAnsi="Times New Roman" w:cs="Times New Roman"/>
                <w:color w:val="auto"/>
                <w:sz w:val="18"/>
                <w:szCs w:val="18"/>
              </w:rPr>
              <w:t>液体物料分类存储在密闭的容器中，0-40℃室内贮存，避免极端低温、日光</w:t>
            </w:r>
            <w:r>
              <w:rPr>
                <w:rFonts w:hint="default" w:ascii="Times New Roman" w:hAnsi="Times New Roman" w:cs="Times New Roman"/>
                <w:color w:val="auto"/>
                <w:sz w:val="18"/>
                <w:szCs w:val="18"/>
                <w:lang w:eastAsia="zh-CN"/>
              </w:rPr>
              <w:t>暴晒</w:t>
            </w:r>
            <w:r>
              <w:rPr>
                <w:rFonts w:hint="default" w:ascii="Times New Roman" w:hAnsi="Times New Roman" w:cs="Times New Roman"/>
                <w:color w:val="auto"/>
                <w:sz w:val="18"/>
                <w:szCs w:val="18"/>
              </w:rPr>
              <w:t>和雨淋，远离热源和火源。搬运过程中防止跌落或碰撞。</w:t>
            </w:r>
          </w:p>
          <w:p w14:paraId="718A63C1">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w:t>
            </w:r>
            <w:r>
              <w:rPr>
                <w:rFonts w:hint="eastAsia" w:ascii="Times New Roman" w:hAnsi="Times New Roman" w:cs="Times New Roman"/>
                <w:color w:val="auto"/>
                <w:sz w:val="18"/>
                <w:szCs w:val="18"/>
                <w:lang w:eastAsia="zh-CN"/>
              </w:rPr>
              <w:t>液体物料暂存区</w:t>
            </w:r>
            <w:r>
              <w:rPr>
                <w:rFonts w:hint="default" w:ascii="Times New Roman" w:hAnsi="Times New Roman" w:cs="Times New Roman"/>
                <w:color w:val="auto"/>
                <w:sz w:val="18"/>
                <w:szCs w:val="18"/>
              </w:rPr>
              <w:t>及</w:t>
            </w:r>
            <w:r>
              <w:rPr>
                <w:rFonts w:hint="eastAsia" w:ascii="Times New Roman" w:hAnsi="Times New Roman" w:cs="Times New Roman"/>
                <w:color w:val="auto"/>
                <w:sz w:val="18"/>
                <w:szCs w:val="18"/>
                <w:lang w:eastAsia="zh-CN"/>
              </w:rPr>
              <w:t>危险废物贮存库</w:t>
            </w:r>
            <w:r>
              <w:rPr>
                <w:rFonts w:hint="default" w:ascii="Times New Roman" w:hAnsi="Times New Roman" w:cs="Times New Roman"/>
                <w:color w:val="auto"/>
                <w:sz w:val="18"/>
                <w:szCs w:val="18"/>
              </w:rPr>
              <w:t>地面与裙脚用坚固、防腐防渗材料建造，且各自设置围堰或托盘。</w:t>
            </w:r>
          </w:p>
          <w:p w14:paraId="64DC1141">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w:t>
            </w:r>
            <w:r>
              <w:rPr>
                <w:rFonts w:hint="eastAsia" w:ascii="Times New Roman" w:hAnsi="Times New Roman" w:cs="Times New Roman"/>
                <w:color w:val="auto"/>
                <w:sz w:val="18"/>
                <w:szCs w:val="18"/>
                <w:lang w:eastAsia="zh-CN"/>
              </w:rPr>
              <w:t>液体物料暂存区</w:t>
            </w:r>
            <w:r>
              <w:rPr>
                <w:rFonts w:hint="default" w:ascii="Times New Roman" w:hAnsi="Times New Roman" w:cs="Times New Roman"/>
                <w:color w:val="auto"/>
                <w:sz w:val="18"/>
                <w:szCs w:val="18"/>
              </w:rPr>
              <w:t>及</w:t>
            </w:r>
            <w:r>
              <w:rPr>
                <w:rFonts w:hint="eastAsia" w:ascii="Times New Roman" w:hAnsi="Times New Roman" w:cs="Times New Roman"/>
                <w:color w:val="auto"/>
                <w:sz w:val="18"/>
                <w:szCs w:val="18"/>
                <w:lang w:eastAsia="zh-CN"/>
              </w:rPr>
              <w:t>危险废物贮存库</w:t>
            </w:r>
            <w:r>
              <w:rPr>
                <w:rFonts w:hint="default" w:ascii="Times New Roman" w:hAnsi="Times New Roman" w:cs="Times New Roman"/>
                <w:color w:val="auto"/>
                <w:sz w:val="18"/>
                <w:szCs w:val="18"/>
              </w:rPr>
              <w:t>应配备消防物品如</w:t>
            </w:r>
            <w:r>
              <w:rPr>
                <w:rFonts w:hint="default" w:ascii="Times New Roman" w:hAnsi="Times New Roman" w:cs="Times New Roman"/>
                <w:color w:val="auto"/>
                <w:sz w:val="18"/>
                <w:szCs w:val="18"/>
                <w:lang w:eastAsia="zh-CN"/>
              </w:rPr>
              <w:t>沙子</w:t>
            </w:r>
            <w:r>
              <w:rPr>
                <w:rFonts w:hint="default" w:ascii="Times New Roman" w:hAnsi="Times New Roman" w:cs="Times New Roman"/>
                <w:color w:val="auto"/>
                <w:sz w:val="18"/>
                <w:szCs w:val="18"/>
              </w:rPr>
              <w:t>、棉纱等，少量泄漏的场合可吸附泄漏物。</w:t>
            </w:r>
          </w:p>
          <w:p w14:paraId="5F8B91E6">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④建立完善的安全生产管理制度、操作规范，加强生产工人安全环境意识教育，实行持证上岗。建立环境风险应急预案，明确人员责任。加强巡查，发现物料出现泄漏时，</w:t>
            </w:r>
            <w:r>
              <w:rPr>
                <w:rFonts w:hint="default" w:ascii="Times New Roman" w:hAnsi="Times New Roman" w:cs="Times New Roman"/>
                <w:color w:val="auto"/>
                <w:sz w:val="18"/>
                <w:szCs w:val="18"/>
                <w:lang w:eastAsia="zh-CN"/>
              </w:rPr>
              <w:t>应立即</w:t>
            </w:r>
            <w:r>
              <w:rPr>
                <w:rFonts w:hint="default" w:ascii="Times New Roman" w:hAnsi="Times New Roman" w:cs="Times New Roman"/>
                <w:color w:val="auto"/>
                <w:sz w:val="18"/>
                <w:szCs w:val="18"/>
              </w:rPr>
              <w:t>停止生产，及时补漏。</w:t>
            </w:r>
          </w:p>
        </w:tc>
      </w:tr>
      <w:tr w14:paraId="07452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92" w:type="dxa"/>
            <w:noWrap w:val="0"/>
            <w:vAlign w:val="center"/>
          </w:tcPr>
          <w:p w14:paraId="18FF9B0C">
            <w:pPr>
              <w:adjustRightInd w:val="0"/>
              <w:snapToGrid w:val="0"/>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其他环境</w:t>
            </w:r>
          </w:p>
          <w:p w14:paraId="2A773FF0">
            <w:pPr>
              <w:adjustRightInd w:val="0"/>
              <w:snapToGrid w:val="0"/>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管理要求</w:t>
            </w:r>
          </w:p>
        </w:tc>
        <w:tc>
          <w:tcPr>
            <w:tcW w:w="7908" w:type="dxa"/>
            <w:gridSpan w:val="5"/>
            <w:noWrap w:val="0"/>
            <w:vAlign w:val="center"/>
          </w:tcPr>
          <w:p w14:paraId="6372C52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14:paraId="4372467C">
      <w:pPr>
        <w:pStyle w:val="26"/>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cs="Times New Roman"/>
          <w:snapToGrid w:val="0"/>
          <w:color w:val="auto"/>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10D7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949F07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综上所述，本项目符合国家产业政策和用地规划。在采取相应有效的污染治理措施后，能实现污染物达标排放，对周边环境影响在可接受范围内。因此，从环境保护角度分析，本项目的环境影响是可行的。</w:t>
            </w:r>
          </w:p>
          <w:p w14:paraId="0FC91C20">
            <w:pPr>
              <w:adjustRightInd w:val="0"/>
              <w:snapToGrid w:val="0"/>
              <w:spacing w:line="360" w:lineRule="auto"/>
              <w:ind w:firstLine="480" w:firstLineChars="200"/>
              <w:rPr>
                <w:rFonts w:hint="default" w:ascii="Times New Roman" w:hAnsi="Times New Roman" w:cs="Times New Roman"/>
                <w:color w:val="auto"/>
                <w:sz w:val="24"/>
              </w:rPr>
            </w:pPr>
          </w:p>
          <w:p w14:paraId="54BF3C0F">
            <w:pPr>
              <w:adjustRightInd w:val="0"/>
              <w:snapToGrid w:val="0"/>
              <w:spacing w:line="360" w:lineRule="auto"/>
              <w:ind w:firstLine="480" w:firstLineChars="200"/>
              <w:rPr>
                <w:rFonts w:hint="default" w:ascii="Times New Roman" w:hAnsi="Times New Roman" w:cs="Times New Roman"/>
                <w:color w:val="auto"/>
                <w:sz w:val="24"/>
              </w:rPr>
            </w:pPr>
          </w:p>
          <w:p w14:paraId="412C7920">
            <w:pPr>
              <w:adjustRightInd w:val="0"/>
              <w:snapToGrid w:val="0"/>
              <w:spacing w:line="360" w:lineRule="auto"/>
              <w:ind w:firstLine="480" w:firstLineChars="200"/>
              <w:rPr>
                <w:rFonts w:hint="default" w:ascii="Times New Roman" w:hAnsi="Times New Roman" w:cs="Times New Roman"/>
                <w:color w:val="auto"/>
                <w:sz w:val="24"/>
              </w:rPr>
            </w:pPr>
          </w:p>
          <w:p w14:paraId="3876BEB0">
            <w:pPr>
              <w:adjustRightInd w:val="0"/>
              <w:snapToGrid w:val="0"/>
              <w:spacing w:line="360" w:lineRule="auto"/>
              <w:ind w:firstLine="480" w:firstLineChars="200"/>
              <w:rPr>
                <w:rFonts w:hint="default" w:ascii="Times New Roman" w:hAnsi="Times New Roman" w:cs="Times New Roman"/>
                <w:color w:val="auto"/>
                <w:sz w:val="24"/>
              </w:rPr>
            </w:pPr>
          </w:p>
          <w:p w14:paraId="0A9B9130">
            <w:pPr>
              <w:adjustRightInd w:val="0"/>
              <w:snapToGrid w:val="0"/>
              <w:spacing w:line="360" w:lineRule="auto"/>
              <w:ind w:firstLine="480" w:firstLineChars="200"/>
              <w:rPr>
                <w:rFonts w:hint="default" w:ascii="Times New Roman" w:hAnsi="Times New Roman" w:cs="Times New Roman"/>
                <w:color w:val="auto"/>
                <w:sz w:val="24"/>
              </w:rPr>
            </w:pPr>
          </w:p>
          <w:p w14:paraId="6F68C1B5">
            <w:pPr>
              <w:adjustRightInd w:val="0"/>
              <w:snapToGrid w:val="0"/>
              <w:spacing w:line="360" w:lineRule="auto"/>
              <w:ind w:firstLine="480" w:firstLineChars="200"/>
              <w:rPr>
                <w:rFonts w:hint="default" w:ascii="Times New Roman" w:hAnsi="Times New Roman" w:cs="Times New Roman"/>
                <w:color w:val="auto"/>
                <w:sz w:val="24"/>
              </w:rPr>
            </w:pPr>
          </w:p>
          <w:p w14:paraId="39BEEF27">
            <w:pPr>
              <w:adjustRightInd w:val="0"/>
              <w:snapToGrid w:val="0"/>
              <w:spacing w:line="360" w:lineRule="auto"/>
              <w:ind w:firstLine="480" w:firstLineChars="200"/>
              <w:rPr>
                <w:rFonts w:hint="default" w:ascii="Times New Roman" w:hAnsi="Times New Roman" w:cs="Times New Roman"/>
                <w:color w:val="auto"/>
                <w:sz w:val="24"/>
              </w:rPr>
            </w:pPr>
          </w:p>
          <w:p w14:paraId="3735256D">
            <w:pPr>
              <w:adjustRightInd w:val="0"/>
              <w:snapToGrid w:val="0"/>
              <w:spacing w:line="360" w:lineRule="auto"/>
              <w:ind w:firstLine="480" w:firstLineChars="200"/>
              <w:rPr>
                <w:rFonts w:hint="default" w:ascii="Times New Roman" w:hAnsi="Times New Roman" w:cs="Times New Roman"/>
                <w:color w:val="auto"/>
                <w:sz w:val="24"/>
              </w:rPr>
            </w:pPr>
          </w:p>
          <w:p w14:paraId="54124404">
            <w:pPr>
              <w:adjustRightInd w:val="0"/>
              <w:snapToGrid w:val="0"/>
              <w:spacing w:line="360" w:lineRule="auto"/>
              <w:ind w:firstLine="480" w:firstLineChars="200"/>
              <w:rPr>
                <w:rFonts w:hint="default" w:ascii="Times New Roman" w:hAnsi="Times New Roman" w:cs="Times New Roman"/>
                <w:color w:val="auto"/>
                <w:sz w:val="24"/>
              </w:rPr>
            </w:pPr>
          </w:p>
          <w:p w14:paraId="5745C819">
            <w:pPr>
              <w:adjustRightInd w:val="0"/>
              <w:snapToGrid w:val="0"/>
              <w:spacing w:line="360" w:lineRule="auto"/>
              <w:ind w:firstLine="480" w:firstLineChars="200"/>
              <w:rPr>
                <w:rFonts w:hint="default" w:ascii="Times New Roman" w:hAnsi="Times New Roman" w:cs="Times New Roman"/>
                <w:color w:val="auto"/>
                <w:sz w:val="24"/>
              </w:rPr>
            </w:pPr>
          </w:p>
          <w:p w14:paraId="5E877CFB">
            <w:pPr>
              <w:adjustRightInd w:val="0"/>
              <w:snapToGrid w:val="0"/>
              <w:spacing w:line="360" w:lineRule="auto"/>
              <w:ind w:firstLine="480" w:firstLineChars="200"/>
              <w:rPr>
                <w:rFonts w:hint="default" w:ascii="Times New Roman" w:hAnsi="Times New Roman" w:cs="Times New Roman"/>
                <w:color w:val="auto"/>
                <w:sz w:val="24"/>
              </w:rPr>
            </w:pPr>
          </w:p>
          <w:p w14:paraId="05CDE339">
            <w:pPr>
              <w:adjustRightInd w:val="0"/>
              <w:snapToGrid w:val="0"/>
              <w:spacing w:line="360" w:lineRule="auto"/>
              <w:ind w:firstLine="480" w:firstLineChars="200"/>
              <w:rPr>
                <w:rFonts w:hint="default" w:ascii="Times New Roman" w:hAnsi="Times New Roman" w:cs="Times New Roman"/>
                <w:color w:val="auto"/>
                <w:sz w:val="24"/>
              </w:rPr>
            </w:pPr>
          </w:p>
          <w:p w14:paraId="17F1AF6A">
            <w:pPr>
              <w:adjustRightInd w:val="0"/>
              <w:snapToGrid w:val="0"/>
              <w:spacing w:line="360" w:lineRule="auto"/>
              <w:ind w:firstLine="480" w:firstLineChars="200"/>
              <w:rPr>
                <w:rFonts w:hint="default" w:ascii="Times New Roman" w:hAnsi="Times New Roman" w:cs="Times New Roman"/>
                <w:color w:val="auto"/>
                <w:sz w:val="24"/>
              </w:rPr>
            </w:pPr>
          </w:p>
          <w:p w14:paraId="0949C082">
            <w:pPr>
              <w:adjustRightInd w:val="0"/>
              <w:snapToGrid w:val="0"/>
              <w:spacing w:line="360" w:lineRule="auto"/>
              <w:ind w:firstLine="480" w:firstLineChars="200"/>
              <w:rPr>
                <w:rFonts w:hint="default" w:ascii="Times New Roman" w:hAnsi="Times New Roman" w:cs="Times New Roman"/>
                <w:color w:val="auto"/>
                <w:sz w:val="24"/>
              </w:rPr>
            </w:pPr>
          </w:p>
          <w:p w14:paraId="1052263E">
            <w:pPr>
              <w:adjustRightInd w:val="0"/>
              <w:snapToGrid w:val="0"/>
              <w:spacing w:line="360" w:lineRule="auto"/>
              <w:ind w:firstLine="480" w:firstLineChars="200"/>
              <w:rPr>
                <w:rFonts w:hint="default" w:ascii="Times New Roman" w:hAnsi="Times New Roman" w:cs="Times New Roman"/>
                <w:color w:val="auto"/>
                <w:sz w:val="24"/>
              </w:rPr>
            </w:pPr>
          </w:p>
          <w:p w14:paraId="585A85D8">
            <w:pPr>
              <w:adjustRightInd w:val="0"/>
              <w:snapToGrid w:val="0"/>
              <w:spacing w:line="360" w:lineRule="auto"/>
              <w:ind w:firstLine="480" w:firstLineChars="200"/>
              <w:rPr>
                <w:rFonts w:hint="default" w:ascii="Times New Roman" w:hAnsi="Times New Roman" w:cs="Times New Roman"/>
                <w:color w:val="auto"/>
                <w:sz w:val="24"/>
              </w:rPr>
            </w:pPr>
          </w:p>
          <w:p w14:paraId="3CC60554">
            <w:pPr>
              <w:adjustRightInd w:val="0"/>
              <w:snapToGrid w:val="0"/>
              <w:spacing w:line="360" w:lineRule="auto"/>
              <w:ind w:firstLine="480" w:firstLineChars="200"/>
              <w:rPr>
                <w:rFonts w:hint="default" w:ascii="Times New Roman" w:hAnsi="Times New Roman" w:cs="Times New Roman"/>
                <w:color w:val="auto"/>
                <w:sz w:val="24"/>
              </w:rPr>
            </w:pPr>
          </w:p>
          <w:p w14:paraId="5E9DAF82">
            <w:pPr>
              <w:adjustRightInd w:val="0"/>
              <w:snapToGrid w:val="0"/>
              <w:spacing w:line="360" w:lineRule="auto"/>
              <w:ind w:firstLine="480" w:firstLineChars="200"/>
              <w:rPr>
                <w:rFonts w:hint="default" w:ascii="Times New Roman" w:hAnsi="Times New Roman" w:cs="Times New Roman"/>
                <w:color w:val="auto"/>
                <w:sz w:val="24"/>
              </w:rPr>
            </w:pPr>
          </w:p>
          <w:p w14:paraId="6FDC2AAE">
            <w:pPr>
              <w:adjustRightInd w:val="0"/>
              <w:snapToGrid w:val="0"/>
              <w:spacing w:line="360" w:lineRule="auto"/>
              <w:ind w:firstLine="480" w:firstLineChars="200"/>
              <w:rPr>
                <w:rFonts w:hint="default" w:ascii="Times New Roman" w:hAnsi="Times New Roman" w:cs="Times New Roman"/>
                <w:color w:val="auto"/>
                <w:sz w:val="24"/>
              </w:rPr>
            </w:pPr>
          </w:p>
          <w:p w14:paraId="769D2022">
            <w:pPr>
              <w:adjustRightInd w:val="0"/>
              <w:snapToGrid w:val="0"/>
              <w:spacing w:line="360" w:lineRule="auto"/>
              <w:ind w:firstLine="480" w:firstLineChars="200"/>
              <w:rPr>
                <w:rFonts w:hint="default" w:ascii="Times New Roman" w:hAnsi="Times New Roman" w:cs="Times New Roman"/>
                <w:color w:val="auto"/>
                <w:sz w:val="24"/>
              </w:rPr>
            </w:pPr>
          </w:p>
          <w:p w14:paraId="36320B14">
            <w:pPr>
              <w:adjustRightInd w:val="0"/>
              <w:snapToGrid w:val="0"/>
              <w:spacing w:line="360" w:lineRule="auto"/>
              <w:ind w:firstLine="480" w:firstLineChars="200"/>
              <w:rPr>
                <w:rFonts w:hint="default" w:ascii="Times New Roman" w:hAnsi="Times New Roman" w:cs="Times New Roman"/>
                <w:color w:val="auto"/>
                <w:sz w:val="24"/>
              </w:rPr>
            </w:pPr>
          </w:p>
          <w:p w14:paraId="60055B59">
            <w:pPr>
              <w:adjustRightInd w:val="0"/>
              <w:snapToGrid w:val="0"/>
              <w:spacing w:line="360" w:lineRule="auto"/>
              <w:ind w:firstLine="480" w:firstLineChars="200"/>
              <w:rPr>
                <w:rFonts w:hint="default" w:ascii="Times New Roman" w:hAnsi="Times New Roman" w:cs="Times New Roman"/>
                <w:color w:val="auto"/>
                <w:sz w:val="24"/>
              </w:rPr>
            </w:pPr>
          </w:p>
          <w:p w14:paraId="721196E4">
            <w:pPr>
              <w:adjustRightInd w:val="0"/>
              <w:snapToGrid w:val="0"/>
              <w:spacing w:line="360" w:lineRule="auto"/>
              <w:ind w:firstLine="480" w:firstLineChars="200"/>
              <w:rPr>
                <w:rFonts w:hint="default" w:ascii="Times New Roman" w:hAnsi="Times New Roman" w:cs="Times New Roman"/>
                <w:color w:val="auto"/>
                <w:sz w:val="24"/>
              </w:rPr>
            </w:pPr>
          </w:p>
          <w:p w14:paraId="38BA4CAB">
            <w:pPr>
              <w:adjustRightInd w:val="0"/>
              <w:snapToGrid w:val="0"/>
              <w:spacing w:line="360" w:lineRule="auto"/>
              <w:ind w:firstLine="480" w:firstLineChars="200"/>
              <w:rPr>
                <w:rFonts w:hint="default" w:ascii="Times New Roman" w:hAnsi="Times New Roman" w:cs="Times New Roman"/>
                <w:color w:val="auto"/>
                <w:sz w:val="24"/>
              </w:rPr>
            </w:pPr>
          </w:p>
        </w:tc>
      </w:tr>
    </w:tbl>
    <w:p w14:paraId="2EB376E7">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DF2B85">
      <w:pPr>
        <w:pStyle w:val="26"/>
        <w:adjustRightInd w:val="0"/>
        <w:snapToGrid w:val="0"/>
        <w:spacing w:before="0" w:beforeAutospacing="0" w:after="0" w:afterAutospacing="0"/>
        <w:outlineLvl w:val="0"/>
        <w:rPr>
          <w:rFonts w:hint="default" w:ascii="Times New Roman" w:hAnsi="Times New Roman" w:cs="Times New Roman"/>
          <w:snapToGrid w:val="0"/>
          <w:color w:val="auto"/>
          <w:sz w:val="32"/>
          <w:szCs w:val="32"/>
        </w:rPr>
      </w:pPr>
      <w:r>
        <w:rPr>
          <w:rFonts w:hint="default" w:ascii="Times New Roman" w:hAnsi="Times New Roman" w:cs="Times New Roman"/>
          <w:snapToGrid w:val="0"/>
          <w:color w:val="auto"/>
          <w:sz w:val="32"/>
          <w:szCs w:val="32"/>
        </w:rPr>
        <w:t>附表</w:t>
      </w:r>
    </w:p>
    <w:p w14:paraId="5F649797">
      <w:pPr>
        <w:pStyle w:val="26"/>
        <w:adjustRightInd w:val="0"/>
        <w:snapToGrid w:val="0"/>
        <w:spacing w:before="0" w:beforeAutospacing="0" w:after="0" w:afterAutospacing="0"/>
        <w:jc w:val="center"/>
        <w:outlineLvl w:val="0"/>
        <w:rPr>
          <w:rFonts w:hint="default" w:ascii="Times New Roman" w:hAnsi="Times New Roman" w:cs="Times New Roman"/>
          <w:snapToGrid w:val="0"/>
          <w:color w:val="auto"/>
          <w:sz w:val="38"/>
          <w:szCs w:val="38"/>
        </w:rPr>
      </w:pPr>
      <w:r>
        <w:rPr>
          <w:rFonts w:hint="default" w:ascii="Times New Roman" w:hAnsi="Times New Roman" w:cs="Times New Roman"/>
          <w:snapToGrid w:val="0"/>
          <w:color w:val="auto"/>
          <w:sz w:val="38"/>
          <w:szCs w:val="38"/>
        </w:rPr>
        <w:t>建设项目污染物排放量汇总表</w:t>
      </w:r>
    </w:p>
    <w:tbl>
      <w:tblPr>
        <w:tblStyle w:val="3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041"/>
        <w:gridCol w:w="1503"/>
        <w:gridCol w:w="1276"/>
        <w:gridCol w:w="1701"/>
        <w:gridCol w:w="1559"/>
        <w:gridCol w:w="1761"/>
        <w:gridCol w:w="1641"/>
        <w:gridCol w:w="1144"/>
      </w:tblGrid>
      <w:tr w14:paraId="400CE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62" w:type="dxa"/>
            <w:tcBorders>
              <w:tl2br w:val="single" w:color="auto" w:sz="4" w:space="0"/>
            </w:tcBorders>
            <w:noWrap w:val="0"/>
            <w:tcMar>
              <w:left w:w="28" w:type="dxa"/>
              <w:right w:w="28" w:type="dxa"/>
            </w:tcMar>
            <w:vAlign w:val="center"/>
          </w:tcPr>
          <w:p w14:paraId="104C08D6">
            <w:pPr>
              <w:pStyle w:val="59"/>
              <w:spacing w:beforeLines="0" w:afterLines="0" w:line="240" w:lineRule="auto"/>
              <w:ind w:left="816" w:hanging="396"/>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14:paraId="45529CC4">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2041" w:type="dxa"/>
            <w:noWrap w:val="0"/>
            <w:tcMar>
              <w:left w:w="28" w:type="dxa"/>
              <w:right w:w="28" w:type="dxa"/>
            </w:tcMar>
            <w:vAlign w:val="center"/>
          </w:tcPr>
          <w:p w14:paraId="2B5294EA">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503" w:type="dxa"/>
            <w:noWrap w:val="0"/>
            <w:tcMar>
              <w:left w:w="28" w:type="dxa"/>
              <w:right w:w="28" w:type="dxa"/>
            </w:tcMar>
            <w:vAlign w:val="center"/>
          </w:tcPr>
          <w:p w14:paraId="1E7DCC55">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noWrap w:val="0"/>
            <w:tcMar>
              <w:left w:w="28" w:type="dxa"/>
              <w:right w:w="28" w:type="dxa"/>
            </w:tcMar>
            <w:vAlign w:val="center"/>
          </w:tcPr>
          <w:p w14:paraId="4B737F7B">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现有工程许可排放量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noWrap w:val="0"/>
            <w:tcMar>
              <w:left w:w="28" w:type="dxa"/>
              <w:right w:w="28" w:type="dxa"/>
            </w:tcMar>
            <w:vAlign w:val="center"/>
          </w:tcPr>
          <w:p w14:paraId="5D12742C">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noWrap w:val="0"/>
            <w:tcMar>
              <w:left w:w="28" w:type="dxa"/>
              <w:right w:w="28" w:type="dxa"/>
            </w:tcMar>
            <w:vAlign w:val="center"/>
          </w:tcPr>
          <w:p w14:paraId="7D5ED119">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761" w:type="dxa"/>
            <w:noWrap w:val="0"/>
            <w:tcMar>
              <w:left w:w="28" w:type="dxa"/>
              <w:right w:w="28" w:type="dxa"/>
            </w:tcMar>
            <w:vAlign w:val="center"/>
          </w:tcPr>
          <w:p w14:paraId="02E1F047">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641" w:type="dxa"/>
            <w:noWrap w:val="0"/>
            <w:tcMar>
              <w:left w:w="28" w:type="dxa"/>
              <w:right w:w="28" w:type="dxa"/>
            </w:tcMar>
            <w:vAlign w:val="center"/>
          </w:tcPr>
          <w:p w14:paraId="66C5458F">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144" w:type="dxa"/>
            <w:noWrap w:val="0"/>
            <w:tcMar>
              <w:left w:w="28" w:type="dxa"/>
              <w:right w:w="28" w:type="dxa"/>
            </w:tcMar>
            <w:vAlign w:val="center"/>
          </w:tcPr>
          <w:p w14:paraId="68254961">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677B1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62" w:type="dxa"/>
            <w:noWrap w:val="0"/>
            <w:vAlign w:val="center"/>
          </w:tcPr>
          <w:p w14:paraId="7A1147D8">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2041" w:type="dxa"/>
            <w:noWrap w:val="0"/>
            <w:vAlign w:val="center"/>
          </w:tcPr>
          <w:p w14:paraId="172AB411">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非甲烷总烃</w:t>
            </w:r>
          </w:p>
        </w:tc>
        <w:tc>
          <w:tcPr>
            <w:tcW w:w="1503" w:type="dxa"/>
            <w:noWrap w:val="0"/>
            <w:vAlign w:val="center"/>
          </w:tcPr>
          <w:p w14:paraId="7FE8D0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5F90F7B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7D656AE6">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536F73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0.518</w:t>
            </w:r>
          </w:p>
        </w:tc>
        <w:tc>
          <w:tcPr>
            <w:tcW w:w="1761" w:type="dxa"/>
            <w:noWrap w:val="0"/>
            <w:vAlign w:val="center"/>
          </w:tcPr>
          <w:p w14:paraId="1B8D352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0DB74A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0.518</w:t>
            </w:r>
          </w:p>
        </w:tc>
        <w:tc>
          <w:tcPr>
            <w:tcW w:w="1144" w:type="dxa"/>
            <w:noWrap w:val="0"/>
            <w:vAlign w:val="center"/>
          </w:tcPr>
          <w:p w14:paraId="60AD12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+0.518</w:t>
            </w:r>
          </w:p>
        </w:tc>
      </w:tr>
      <w:tr w14:paraId="36B4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62" w:type="dxa"/>
            <w:vMerge w:val="restart"/>
            <w:noWrap w:val="0"/>
            <w:vAlign w:val="center"/>
          </w:tcPr>
          <w:p w14:paraId="7EB12E34">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2041" w:type="dxa"/>
            <w:noWrap w:val="0"/>
            <w:vAlign w:val="center"/>
          </w:tcPr>
          <w:p w14:paraId="48A5AB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03" w:type="dxa"/>
            <w:noWrap w:val="0"/>
            <w:vAlign w:val="center"/>
          </w:tcPr>
          <w:p w14:paraId="4F214D8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2E59D2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24A4A101">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73C18AA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1761" w:type="dxa"/>
            <w:noWrap w:val="0"/>
            <w:vAlign w:val="center"/>
          </w:tcPr>
          <w:p w14:paraId="1247299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381E38B8">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1144" w:type="dxa"/>
            <w:noWrap w:val="0"/>
            <w:vAlign w:val="center"/>
          </w:tcPr>
          <w:p w14:paraId="707CEC06">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0.017 </w:t>
            </w:r>
          </w:p>
        </w:tc>
      </w:tr>
      <w:tr w14:paraId="6E45B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62" w:type="dxa"/>
            <w:vMerge w:val="continue"/>
            <w:noWrap w:val="0"/>
            <w:vAlign w:val="center"/>
          </w:tcPr>
          <w:p w14:paraId="4726E7BA">
            <w:pPr>
              <w:pStyle w:val="59"/>
              <w:spacing w:beforeLines="0" w:afterLines="0" w:line="240" w:lineRule="auto"/>
              <w:ind w:left="840" w:hanging="42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7FC5B6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03" w:type="dxa"/>
            <w:noWrap w:val="0"/>
            <w:vAlign w:val="center"/>
          </w:tcPr>
          <w:p w14:paraId="4BBF466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37DEC91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22B8738E">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590625A6">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cs="Times New Roman"/>
                <w:i w:val="0"/>
                <w:iCs w:val="0"/>
                <w:color w:val="auto"/>
                <w:kern w:val="0"/>
                <w:sz w:val="21"/>
                <w:szCs w:val="21"/>
                <w:u w:val="none"/>
                <w:lang w:val="en-US" w:eastAsia="zh-CN" w:bidi="ar"/>
              </w:rPr>
              <w:t>2</w:t>
            </w:r>
          </w:p>
        </w:tc>
        <w:tc>
          <w:tcPr>
            <w:tcW w:w="1761" w:type="dxa"/>
            <w:noWrap w:val="0"/>
            <w:vAlign w:val="center"/>
          </w:tcPr>
          <w:p w14:paraId="6AB879A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30E77B2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cs="Times New Roman"/>
                <w:i w:val="0"/>
                <w:iCs w:val="0"/>
                <w:color w:val="auto"/>
                <w:kern w:val="0"/>
                <w:sz w:val="21"/>
                <w:szCs w:val="21"/>
                <w:u w:val="none"/>
                <w:lang w:val="en-US" w:eastAsia="zh-CN" w:bidi="ar"/>
              </w:rPr>
              <w:t>2</w:t>
            </w:r>
          </w:p>
        </w:tc>
        <w:tc>
          <w:tcPr>
            <w:tcW w:w="1144" w:type="dxa"/>
            <w:noWrap w:val="0"/>
            <w:vAlign w:val="center"/>
          </w:tcPr>
          <w:p w14:paraId="0BBC271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cs="Times New Roman"/>
                <w:i w:val="0"/>
                <w:iCs w:val="0"/>
                <w:color w:val="auto"/>
                <w:kern w:val="0"/>
                <w:sz w:val="21"/>
                <w:szCs w:val="21"/>
                <w:u w:val="none"/>
                <w:lang w:val="en-US" w:eastAsia="zh-CN" w:bidi="ar"/>
              </w:rPr>
              <w:t>2</w:t>
            </w:r>
          </w:p>
        </w:tc>
      </w:tr>
      <w:tr w14:paraId="3AA55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162" w:type="dxa"/>
            <w:vMerge w:val="restart"/>
            <w:noWrap w:val="0"/>
            <w:vAlign w:val="center"/>
          </w:tcPr>
          <w:p w14:paraId="4FFDD466">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48277EB3">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2041" w:type="dxa"/>
            <w:noWrap w:val="0"/>
            <w:vAlign w:val="center"/>
          </w:tcPr>
          <w:p w14:paraId="38D47E4D">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废包装材料</w:t>
            </w:r>
          </w:p>
        </w:tc>
        <w:tc>
          <w:tcPr>
            <w:tcW w:w="1503" w:type="dxa"/>
            <w:noWrap w:val="0"/>
            <w:vAlign w:val="center"/>
          </w:tcPr>
          <w:p w14:paraId="61E6869B">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7EE24DA0">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7F284EC4">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1425C77A">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761" w:type="dxa"/>
            <w:noWrap w:val="0"/>
            <w:vAlign w:val="center"/>
          </w:tcPr>
          <w:p w14:paraId="0C4E9C3A">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0FBC0F4F">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1144" w:type="dxa"/>
            <w:noWrap w:val="0"/>
            <w:vAlign w:val="center"/>
          </w:tcPr>
          <w:p w14:paraId="645D9613">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r>
      <w:tr w14:paraId="6E783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162" w:type="dxa"/>
            <w:vMerge w:val="continue"/>
            <w:noWrap w:val="0"/>
            <w:vAlign w:val="center"/>
          </w:tcPr>
          <w:p w14:paraId="1838EF3C">
            <w:pPr>
              <w:pStyle w:val="59"/>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5C63FF9B">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废边角料</w:t>
            </w:r>
          </w:p>
        </w:tc>
        <w:tc>
          <w:tcPr>
            <w:tcW w:w="1503" w:type="dxa"/>
            <w:noWrap w:val="0"/>
            <w:vAlign w:val="center"/>
          </w:tcPr>
          <w:p w14:paraId="276B6A51">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314209A5">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3A5EDF4D">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7A647D37">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1761" w:type="dxa"/>
            <w:noWrap w:val="0"/>
            <w:vAlign w:val="center"/>
          </w:tcPr>
          <w:p w14:paraId="3857B7E1">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480E6D62">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40</w:t>
            </w:r>
          </w:p>
        </w:tc>
        <w:tc>
          <w:tcPr>
            <w:tcW w:w="1144" w:type="dxa"/>
            <w:noWrap w:val="0"/>
            <w:vAlign w:val="center"/>
          </w:tcPr>
          <w:p w14:paraId="3BE64859">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+40</w:t>
            </w:r>
          </w:p>
        </w:tc>
      </w:tr>
      <w:tr w14:paraId="0D092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62" w:type="dxa"/>
            <w:vMerge w:val="continue"/>
            <w:noWrap w:val="0"/>
            <w:vAlign w:val="center"/>
          </w:tcPr>
          <w:p w14:paraId="1C6B3253">
            <w:pPr>
              <w:pStyle w:val="59"/>
              <w:spacing w:beforeLines="0" w:afterLines="0" w:line="240" w:lineRule="auto"/>
              <w:ind w:left="840" w:hanging="42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72DA29BF">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不合格品</w:t>
            </w:r>
          </w:p>
        </w:tc>
        <w:tc>
          <w:tcPr>
            <w:tcW w:w="1503" w:type="dxa"/>
            <w:noWrap w:val="0"/>
            <w:vAlign w:val="center"/>
          </w:tcPr>
          <w:p w14:paraId="1967F657">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2090CF57">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3C2E93BF">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1C5B4A30">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10</w:t>
            </w:r>
          </w:p>
        </w:tc>
        <w:tc>
          <w:tcPr>
            <w:tcW w:w="1761" w:type="dxa"/>
            <w:noWrap w:val="0"/>
            <w:vAlign w:val="center"/>
          </w:tcPr>
          <w:p w14:paraId="39270D22">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6082CA02">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1144" w:type="dxa"/>
            <w:noWrap w:val="0"/>
            <w:vAlign w:val="center"/>
          </w:tcPr>
          <w:p w14:paraId="18143338">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r>
      <w:tr w14:paraId="38EE7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162" w:type="dxa"/>
            <w:vMerge w:val="restart"/>
            <w:noWrap w:val="0"/>
            <w:vAlign w:val="center"/>
          </w:tcPr>
          <w:p w14:paraId="3C6F315F">
            <w:pPr>
              <w:pStyle w:val="59"/>
              <w:spacing w:before="24" w:after="24"/>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2041" w:type="dxa"/>
            <w:noWrap w:val="0"/>
            <w:vAlign w:val="center"/>
          </w:tcPr>
          <w:p w14:paraId="0618350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废矿物油</w:t>
            </w:r>
          </w:p>
        </w:tc>
        <w:tc>
          <w:tcPr>
            <w:tcW w:w="1503" w:type="dxa"/>
            <w:noWrap w:val="0"/>
            <w:vAlign w:val="center"/>
          </w:tcPr>
          <w:p w14:paraId="54246D80">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4192D67E">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67B7C644">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7E610704">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0.74</w:t>
            </w:r>
          </w:p>
        </w:tc>
        <w:tc>
          <w:tcPr>
            <w:tcW w:w="1761" w:type="dxa"/>
            <w:noWrap w:val="0"/>
            <w:vAlign w:val="center"/>
          </w:tcPr>
          <w:p w14:paraId="6B32D178">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1D347D1F">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0.74</w:t>
            </w:r>
          </w:p>
        </w:tc>
        <w:tc>
          <w:tcPr>
            <w:tcW w:w="1144" w:type="dxa"/>
            <w:noWrap w:val="0"/>
            <w:vAlign w:val="center"/>
          </w:tcPr>
          <w:p w14:paraId="31A7989E">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+0.74</w:t>
            </w:r>
          </w:p>
        </w:tc>
      </w:tr>
      <w:tr w14:paraId="303BA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162" w:type="dxa"/>
            <w:vMerge w:val="continue"/>
            <w:noWrap w:val="0"/>
            <w:vAlign w:val="center"/>
          </w:tcPr>
          <w:p w14:paraId="090B3DB8">
            <w:pPr>
              <w:pStyle w:val="59"/>
              <w:spacing w:before="24" w:after="24"/>
              <w:ind w:left="0" w:leftChars="0" w:firstLine="0" w:firstLineChars="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55D0559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废油桶</w:t>
            </w:r>
          </w:p>
        </w:tc>
        <w:tc>
          <w:tcPr>
            <w:tcW w:w="1503" w:type="dxa"/>
            <w:noWrap w:val="0"/>
            <w:vAlign w:val="center"/>
          </w:tcPr>
          <w:p w14:paraId="502ABDC0">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1236C4EF">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2A3B11C8">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4DE61754">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0.042</w:t>
            </w:r>
          </w:p>
        </w:tc>
        <w:tc>
          <w:tcPr>
            <w:tcW w:w="1761" w:type="dxa"/>
            <w:noWrap w:val="0"/>
            <w:vAlign w:val="center"/>
          </w:tcPr>
          <w:p w14:paraId="638AE48B">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20EA135E">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0.042</w:t>
            </w:r>
          </w:p>
        </w:tc>
        <w:tc>
          <w:tcPr>
            <w:tcW w:w="1144" w:type="dxa"/>
            <w:noWrap w:val="0"/>
            <w:vAlign w:val="center"/>
          </w:tcPr>
          <w:p w14:paraId="1DE15874">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+0.042</w:t>
            </w:r>
          </w:p>
        </w:tc>
      </w:tr>
      <w:tr w14:paraId="11316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162" w:type="dxa"/>
            <w:vMerge w:val="continue"/>
            <w:noWrap w:val="0"/>
            <w:vAlign w:val="center"/>
          </w:tcPr>
          <w:p w14:paraId="0F76F179">
            <w:pPr>
              <w:pStyle w:val="59"/>
              <w:spacing w:before="24" w:after="24"/>
              <w:ind w:left="0" w:leftChars="0" w:firstLine="0" w:firstLineChars="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42C217B4">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0"/>
                <w:sz w:val="21"/>
                <w:szCs w:val="21"/>
              </w:rPr>
              <w:t>废含油棉纱、手套</w:t>
            </w:r>
          </w:p>
        </w:tc>
        <w:tc>
          <w:tcPr>
            <w:tcW w:w="1503" w:type="dxa"/>
            <w:noWrap w:val="0"/>
            <w:vAlign w:val="center"/>
          </w:tcPr>
          <w:p w14:paraId="0563476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7C8BCFE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7BF73DBF">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2BB36950">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1761" w:type="dxa"/>
            <w:noWrap w:val="0"/>
            <w:vAlign w:val="center"/>
          </w:tcPr>
          <w:p w14:paraId="79CF4BC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5096F197">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w:t>
            </w:r>
          </w:p>
        </w:tc>
        <w:tc>
          <w:tcPr>
            <w:tcW w:w="1144" w:type="dxa"/>
            <w:noWrap w:val="0"/>
            <w:vAlign w:val="center"/>
          </w:tcPr>
          <w:p w14:paraId="1145919F">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0.01</w:t>
            </w:r>
          </w:p>
        </w:tc>
      </w:tr>
      <w:tr w14:paraId="6978C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62" w:type="dxa"/>
            <w:vMerge w:val="continue"/>
            <w:noWrap w:val="0"/>
            <w:vAlign w:val="center"/>
          </w:tcPr>
          <w:p w14:paraId="44302733">
            <w:pPr>
              <w:pStyle w:val="59"/>
              <w:spacing w:before="24" w:after="24"/>
              <w:ind w:left="840" w:hanging="42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08132F5A">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废活性炭</w:t>
            </w:r>
          </w:p>
        </w:tc>
        <w:tc>
          <w:tcPr>
            <w:tcW w:w="1503" w:type="dxa"/>
            <w:noWrap w:val="0"/>
            <w:vAlign w:val="center"/>
          </w:tcPr>
          <w:p w14:paraId="64E5EC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21D311E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58DB585E">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5A650299">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9.85</w:t>
            </w:r>
          </w:p>
        </w:tc>
        <w:tc>
          <w:tcPr>
            <w:tcW w:w="1761" w:type="dxa"/>
            <w:noWrap w:val="0"/>
            <w:vAlign w:val="center"/>
          </w:tcPr>
          <w:p w14:paraId="0B25BF9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7C29CD63">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9.85</w:t>
            </w:r>
          </w:p>
        </w:tc>
        <w:tc>
          <w:tcPr>
            <w:tcW w:w="1144" w:type="dxa"/>
            <w:noWrap w:val="0"/>
            <w:vAlign w:val="center"/>
          </w:tcPr>
          <w:p w14:paraId="476D4804">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+9.85</w:t>
            </w:r>
          </w:p>
        </w:tc>
      </w:tr>
      <w:tr w14:paraId="04106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62" w:type="dxa"/>
            <w:vMerge w:val="continue"/>
            <w:noWrap w:val="0"/>
            <w:vAlign w:val="center"/>
          </w:tcPr>
          <w:p w14:paraId="3D0982AB">
            <w:pPr>
              <w:pStyle w:val="59"/>
              <w:spacing w:beforeLines="0" w:afterLines="0" w:line="240" w:lineRule="auto"/>
              <w:ind w:left="840" w:hanging="42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73AF58B2">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废过滤棉</w:t>
            </w:r>
          </w:p>
        </w:tc>
        <w:tc>
          <w:tcPr>
            <w:tcW w:w="1503" w:type="dxa"/>
            <w:noWrap w:val="0"/>
            <w:vAlign w:val="center"/>
          </w:tcPr>
          <w:p w14:paraId="684D9115">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70202F8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13E3F90E">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6AE56B62">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1761" w:type="dxa"/>
            <w:noWrap w:val="0"/>
            <w:vAlign w:val="center"/>
          </w:tcPr>
          <w:p w14:paraId="279445F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758384A7">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w:t>
            </w:r>
          </w:p>
        </w:tc>
        <w:tc>
          <w:tcPr>
            <w:tcW w:w="1144" w:type="dxa"/>
            <w:noWrap w:val="0"/>
            <w:vAlign w:val="center"/>
          </w:tcPr>
          <w:p w14:paraId="06D473D8">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0.01</w:t>
            </w:r>
          </w:p>
        </w:tc>
      </w:tr>
      <w:tr w14:paraId="58BDF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62" w:type="dxa"/>
            <w:vMerge w:val="continue"/>
            <w:noWrap w:val="0"/>
            <w:vAlign w:val="center"/>
          </w:tcPr>
          <w:p w14:paraId="514D4BDC">
            <w:pPr>
              <w:pStyle w:val="59"/>
              <w:spacing w:beforeLines="0" w:afterLines="0" w:line="240" w:lineRule="auto"/>
              <w:ind w:left="840" w:hanging="420"/>
              <w:jc w:val="center"/>
              <w:rPr>
                <w:rFonts w:hint="default" w:ascii="Times New Roman" w:hAnsi="Times New Roman" w:eastAsia="宋体" w:cs="Times New Roman"/>
                <w:snapToGrid w:val="0"/>
                <w:color w:val="auto"/>
                <w:kern w:val="21"/>
                <w:sz w:val="21"/>
                <w:szCs w:val="21"/>
              </w:rPr>
            </w:pPr>
          </w:p>
        </w:tc>
        <w:tc>
          <w:tcPr>
            <w:tcW w:w="2041" w:type="dxa"/>
            <w:noWrap w:val="0"/>
            <w:vAlign w:val="center"/>
          </w:tcPr>
          <w:p w14:paraId="710A94CA">
            <w:pPr>
              <w:pStyle w:val="7"/>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空压机含油冷凝液</w:t>
            </w:r>
          </w:p>
        </w:tc>
        <w:tc>
          <w:tcPr>
            <w:tcW w:w="1503" w:type="dxa"/>
            <w:noWrap w:val="0"/>
            <w:vAlign w:val="center"/>
          </w:tcPr>
          <w:p w14:paraId="585926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4D1EC79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5F03564F">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727CBA63">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0.05</w:t>
            </w:r>
          </w:p>
        </w:tc>
        <w:tc>
          <w:tcPr>
            <w:tcW w:w="1761" w:type="dxa"/>
            <w:noWrap w:val="0"/>
            <w:vAlign w:val="center"/>
          </w:tcPr>
          <w:p w14:paraId="2A63AF0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6D90A908">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w:t>
            </w:r>
          </w:p>
        </w:tc>
        <w:tc>
          <w:tcPr>
            <w:tcW w:w="1144" w:type="dxa"/>
            <w:noWrap w:val="0"/>
            <w:vAlign w:val="center"/>
          </w:tcPr>
          <w:p w14:paraId="1FCE926F">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0.05</w:t>
            </w:r>
          </w:p>
        </w:tc>
      </w:tr>
      <w:tr w14:paraId="5E5DF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62" w:type="dxa"/>
            <w:noWrap w:val="0"/>
            <w:vAlign w:val="center"/>
          </w:tcPr>
          <w:p w14:paraId="388569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041" w:type="dxa"/>
            <w:noWrap w:val="0"/>
            <w:vAlign w:val="center"/>
          </w:tcPr>
          <w:p w14:paraId="3F5099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503" w:type="dxa"/>
            <w:noWrap w:val="0"/>
            <w:vAlign w:val="center"/>
          </w:tcPr>
          <w:p w14:paraId="5725A1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w:t>
            </w:r>
          </w:p>
        </w:tc>
        <w:tc>
          <w:tcPr>
            <w:tcW w:w="1276" w:type="dxa"/>
            <w:noWrap w:val="0"/>
            <w:vAlign w:val="center"/>
          </w:tcPr>
          <w:p w14:paraId="4D10FB6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701" w:type="dxa"/>
            <w:noWrap w:val="0"/>
            <w:vAlign w:val="center"/>
          </w:tcPr>
          <w:p w14:paraId="2D28C85D">
            <w:pPr>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59" w:type="dxa"/>
            <w:noWrap w:val="0"/>
            <w:vAlign w:val="center"/>
          </w:tcPr>
          <w:p w14:paraId="3DFD780B">
            <w:pPr>
              <w:spacing w:line="240" w:lineRule="exact"/>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1761" w:type="dxa"/>
            <w:noWrap w:val="0"/>
            <w:vAlign w:val="center"/>
          </w:tcPr>
          <w:p w14:paraId="0A61CBD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w:t>
            </w:r>
          </w:p>
        </w:tc>
        <w:tc>
          <w:tcPr>
            <w:tcW w:w="1641" w:type="dxa"/>
            <w:noWrap w:val="0"/>
            <w:vAlign w:val="center"/>
          </w:tcPr>
          <w:p w14:paraId="2DCEC762">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c>
          <w:tcPr>
            <w:tcW w:w="1144" w:type="dxa"/>
            <w:noWrap w:val="0"/>
            <w:vAlign w:val="center"/>
          </w:tcPr>
          <w:p w14:paraId="542CD677">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r>
    </w:tbl>
    <w:p w14:paraId="37997F46">
      <w:pPr>
        <w:pStyle w:val="59"/>
        <w:spacing w:beforeLines="80" w:after="24" w:line="240" w:lineRule="auto"/>
        <w:ind w:left="840" w:hanging="420"/>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；单位：t/a</w:t>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utch801 Rm BT">
    <w:panose1 w:val="020206030605050203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C93D1">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75E4C">
    <w:pPr>
      <w:pStyle w:val="18"/>
      <w:framePr w:wrap="around" w:vAnchor="text" w:hAnchor="margin" w:xAlign="center" w:y="1"/>
      <w:rPr>
        <w:rStyle w:val="34"/>
      </w:rPr>
    </w:pPr>
    <w:r>
      <w:fldChar w:fldCharType="begin"/>
    </w:r>
    <w:r>
      <w:rPr>
        <w:rStyle w:val="34"/>
      </w:rPr>
      <w:instrText xml:space="preserve">PAGE  </w:instrText>
    </w:r>
    <w:r>
      <w:fldChar w:fldCharType="end"/>
    </w:r>
  </w:p>
  <w:p w14:paraId="18F992DE">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52276">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1E7F0">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BZBsoBAACc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bV&#10;6k1WqA9QY+JDwNQ03PkB92b2Azoz8UFFm79IiWAc9T1f9ZVDIiI/Wq/W6wpDAmPzBfHZ4/MQIb2V&#10;3pJsNDTiAIuu/PQe0pg6p+Rqzt9rY8oQjfvLgZjZw3LvY4/ZSsN+mAjtfXtGPj3OvqEOV50S886h&#10;tHlNZiPOxn42jiHqQ1f2KNeDcHtM2ETpLVcYYafCOLTCblqwvBV/3kvW4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ABZBsoBAACcAwAADgAAAAAAAAABACAAAAAeAQAAZHJzL2Uyb0Rv&#10;Yy54bWxQSwUGAAAAAAYABgBZAQAAWgUAAAAA&#10;">
              <v:fill on="f" focussize="0,0"/>
              <v:stroke on="f"/>
              <v:imagedata o:title=""/>
              <o:lock v:ext="edit" aspectratio="f"/>
              <v:textbox inset="0mm,0mm,0mm,0mm" style="mso-fit-shape-to-text:t;">
                <w:txbxContent>
                  <w:p w14:paraId="2041E7F0">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E677">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F1E803">
                          <w:pPr>
                            <w:pStyle w:val="18"/>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LuzMcsBAACc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2JVJoV6DxUmPnlMjcOdG3BvZj+gMxEf2mDSFykRjKO+p4u+cohEpEflqiwLDAmMzRfEZ8/PfYD4&#10;XjpDklHTgAPMuvLjI8QxdU5J1ay7V1rnIWr7lwMxk4el3scekxWH3TAR2rnmhHx6nH1NLa46JfrB&#10;orRpTWYjzMZuNg4+qH2X9yjVA397iNhE7i1VGGGnwji0zG5asLQVf95z1v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i7szHLAQAAnAMAAA4AAAAAAAAAAQAgAAAAHgEAAGRycy9lMm9E&#10;b2MueG1sUEsFBgAAAAAGAAYAWQEAAFsFAAAAAA==&#10;">
              <v:fill on="f" focussize="0,0"/>
              <v:stroke on="f"/>
              <v:imagedata o:title=""/>
              <o:lock v:ext="edit" aspectratio="f"/>
              <v:textbox inset="0mm,0mm,0mm,0mm" style="mso-fit-shape-to-text:t;">
                <w:txbxContent>
                  <w:p w14:paraId="67F1E803">
                    <w:pPr>
                      <w:pStyle w:val="18"/>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3EC089"/>
    <w:multiLevelType w:val="singleLevel"/>
    <w:tmpl w:val="BA3EC089"/>
    <w:lvl w:ilvl="0" w:tentative="0">
      <w:start w:val="1"/>
      <w:numFmt w:val="decimal"/>
      <w:lvlText w:val="%1"/>
      <w:lvlJc w:val="left"/>
      <w:pPr>
        <w:tabs>
          <w:tab w:val="left" w:pos="397"/>
        </w:tabs>
        <w:ind w:left="454" w:hanging="341"/>
      </w:pPr>
      <w:rPr>
        <w:rFonts w:hint="default"/>
      </w:rPr>
    </w:lvl>
  </w:abstractNum>
  <w:abstractNum w:abstractNumId="1">
    <w:nsid w:val="630CABE0"/>
    <w:multiLevelType w:val="singleLevel"/>
    <w:tmpl w:val="630CABE0"/>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isplayBackgroundShape w:val="1"/>
  <w:bordersDoNotSurroundHeader w:val="0"/>
  <w:bordersDoNotSurroundFooter w:val="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ZTM0YjU5ZjkzYzJkN2UxZWFmOWY4ZDJlMDQzMDMifQ=="/>
  </w:docVars>
  <w:rsids>
    <w:rsidRoot w:val="00A14947"/>
    <w:rsid w:val="0000035B"/>
    <w:rsid w:val="0000058E"/>
    <w:rsid w:val="00000794"/>
    <w:rsid w:val="00000C84"/>
    <w:rsid w:val="00000DDF"/>
    <w:rsid w:val="00001996"/>
    <w:rsid w:val="00001B96"/>
    <w:rsid w:val="00001CCA"/>
    <w:rsid w:val="00002342"/>
    <w:rsid w:val="0000246D"/>
    <w:rsid w:val="000027A0"/>
    <w:rsid w:val="000028C0"/>
    <w:rsid w:val="00002B16"/>
    <w:rsid w:val="00002F34"/>
    <w:rsid w:val="00002FFF"/>
    <w:rsid w:val="00003744"/>
    <w:rsid w:val="00003A59"/>
    <w:rsid w:val="00003E7F"/>
    <w:rsid w:val="00004051"/>
    <w:rsid w:val="00004262"/>
    <w:rsid w:val="0000499B"/>
    <w:rsid w:val="00004A6A"/>
    <w:rsid w:val="00004CD1"/>
    <w:rsid w:val="000050A9"/>
    <w:rsid w:val="000051C1"/>
    <w:rsid w:val="00005522"/>
    <w:rsid w:val="00005591"/>
    <w:rsid w:val="000055BE"/>
    <w:rsid w:val="00005687"/>
    <w:rsid w:val="000056F9"/>
    <w:rsid w:val="00005907"/>
    <w:rsid w:val="000059D8"/>
    <w:rsid w:val="00005B09"/>
    <w:rsid w:val="000060B3"/>
    <w:rsid w:val="00006FC3"/>
    <w:rsid w:val="00007135"/>
    <w:rsid w:val="00007609"/>
    <w:rsid w:val="000076CF"/>
    <w:rsid w:val="00007A05"/>
    <w:rsid w:val="00007AE8"/>
    <w:rsid w:val="00010044"/>
    <w:rsid w:val="000102AE"/>
    <w:rsid w:val="000102D2"/>
    <w:rsid w:val="00010461"/>
    <w:rsid w:val="00010682"/>
    <w:rsid w:val="00010883"/>
    <w:rsid w:val="00010A3C"/>
    <w:rsid w:val="00010AA8"/>
    <w:rsid w:val="00010C31"/>
    <w:rsid w:val="00011602"/>
    <w:rsid w:val="000116E5"/>
    <w:rsid w:val="00011839"/>
    <w:rsid w:val="00011943"/>
    <w:rsid w:val="00012850"/>
    <w:rsid w:val="00012AE6"/>
    <w:rsid w:val="00012EB7"/>
    <w:rsid w:val="000131BA"/>
    <w:rsid w:val="00013767"/>
    <w:rsid w:val="00013DC3"/>
    <w:rsid w:val="00014116"/>
    <w:rsid w:val="00014201"/>
    <w:rsid w:val="000143E2"/>
    <w:rsid w:val="00014497"/>
    <w:rsid w:val="0001479E"/>
    <w:rsid w:val="00015007"/>
    <w:rsid w:val="00015046"/>
    <w:rsid w:val="0001532E"/>
    <w:rsid w:val="00015705"/>
    <w:rsid w:val="00015D86"/>
    <w:rsid w:val="0001650A"/>
    <w:rsid w:val="00016D92"/>
    <w:rsid w:val="0001721C"/>
    <w:rsid w:val="00017414"/>
    <w:rsid w:val="000176EF"/>
    <w:rsid w:val="0001776D"/>
    <w:rsid w:val="00017861"/>
    <w:rsid w:val="00017F8B"/>
    <w:rsid w:val="00020065"/>
    <w:rsid w:val="00020691"/>
    <w:rsid w:val="000206F5"/>
    <w:rsid w:val="00020BF6"/>
    <w:rsid w:val="00020F80"/>
    <w:rsid w:val="000213C3"/>
    <w:rsid w:val="00021551"/>
    <w:rsid w:val="0002177C"/>
    <w:rsid w:val="000218DD"/>
    <w:rsid w:val="00022A00"/>
    <w:rsid w:val="00022D71"/>
    <w:rsid w:val="00023007"/>
    <w:rsid w:val="00023272"/>
    <w:rsid w:val="00023B34"/>
    <w:rsid w:val="00024239"/>
    <w:rsid w:val="00024462"/>
    <w:rsid w:val="00024D6A"/>
    <w:rsid w:val="000253A6"/>
    <w:rsid w:val="0002577F"/>
    <w:rsid w:val="00025E85"/>
    <w:rsid w:val="00026235"/>
    <w:rsid w:val="00026324"/>
    <w:rsid w:val="00026F5F"/>
    <w:rsid w:val="000273CD"/>
    <w:rsid w:val="0003034A"/>
    <w:rsid w:val="000303D6"/>
    <w:rsid w:val="00030638"/>
    <w:rsid w:val="00030877"/>
    <w:rsid w:val="00030A2F"/>
    <w:rsid w:val="00030A74"/>
    <w:rsid w:val="00030BD0"/>
    <w:rsid w:val="00031134"/>
    <w:rsid w:val="0003119C"/>
    <w:rsid w:val="000314B6"/>
    <w:rsid w:val="00031615"/>
    <w:rsid w:val="00031719"/>
    <w:rsid w:val="0003179C"/>
    <w:rsid w:val="00031BE6"/>
    <w:rsid w:val="00031E43"/>
    <w:rsid w:val="00031FE4"/>
    <w:rsid w:val="000325DF"/>
    <w:rsid w:val="00032AA4"/>
    <w:rsid w:val="00032CDC"/>
    <w:rsid w:val="00032DB5"/>
    <w:rsid w:val="000331E4"/>
    <w:rsid w:val="00033433"/>
    <w:rsid w:val="00033C7C"/>
    <w:rsid w:val="00033DF2"/>
    <w:rsid w:val="00033F2A"/>
    <w:rsid w:val="000340AE"/>
    <w:rsid w:val="000343D3"/>
    <w:rsid w:val="000348A0"/>
    <w:rsid w:val="00034D85"/>
    <w:rsid w:val="00034F4B"/>
    <w:rsid w:val="00034F68"/>
    <w:rsid w:val="0003519A"/>
    <w:rsid w:val="00035302"/>
    <w:rsid w:val="00035B4E"/>
    <w:rsid w:val="00035E33"/>
    <w:rsid w:val="0003626F"/>
    <w:rsid w:val="00036A1D"/>
    <w:rsid w:val="00036B15"/>
    <w:rsid w:val="00040229"/>
    <w:rsid w:val="000403B5"/>
    <w:rsid w:val="00040470"/>
    <w:rsid w:val="000404AF"/>
    <w:rsid w:val="00040B41"/>
    <w:rsid w:val="00040F28"/>
    <w:rsid w:val="000410E2"/>
    <w:rsid w:val="000416C2"/>
    <w:rsid w:val="00041917"/>
    <w:rsid w:val="00041A11"/>
    <w:rsid w:val="00042EFE"/>
    <w:rsid w:val="00042F20"/>
    <w:rsid w:val="00042FBC"/>
    <w:rsid w:val="000430F9"/>
    <w:rsid w:val="00043544"/>
    <w:rsid w:val="0004364B"/>
    <w:rsid w:val="0004379C"/>
    <w:rsid w:val="00043CB0"/>
    <w:rsid w:val="00043D17"/>
    <w:rsid w:val="00043EF1"/>
    <w:rsid w:val="000441FD"/>
    <w:rsid w:val="00044D72"/>
    <w:rsid w:val="00045267"/>
    <w:rsid w:val="0004532C"/>
    <w:rsid w:val="00045596"/>
    <w:rsid w:val="000457D8"/>
    <w:rsid w:val="00045B25"/>
    <w:rsid w:val="00045FCC"/>
    <w:rsid w:val="00046001"/>
    <w:rsid w:val="0004609F"/>
    <w:rsid w:val="00046450"/>
    <w:rsid w:val="00046C49"/>
    <w:rsid w:val="0004717F"/>
    <w:rsid w:val="00047593"/>
    <w:rsid w:val="000478E0"/>
    <w:rsid w:val="00047924"/>
    <w:rsid w:val="00047D45"/>
    <w:rsid w:val="00047F11"/>
    <w:rsid w:val="00047F37"/>
    <w:rsid w:val="000500A6"/>
    <w:rsid w:val="0005013A"/>
    <w:rsid w:val="000501D6"/>
    <w:rsid w:val="00050C77"/>
    <w:rsid w:val="00051A10"/>
    <w:rsid w:val="00051D12"/>
    <w:rsid w:val="00051DEC"/>
    <w:rsid w:val="00052462"/>
    <w:rsid w:val="0005261B"/>
    <w:rsid w:val="000526D4"/>
    <w:rsid w:val="0005270D"/>
    <w:rsid w:val="00052719"/>
    <w:rsid w:val="00052891"/>
    <w:rsid w:val="0005307A"/>
    <w:rsid w:val="00053AC2"/>
    <w:rsid w:val="00053C42"/>
    <w:rsid w:val="00054909"/>
    <w:rsid w:val="00054BF8"/>
    <w:rsid w:val="00054DC6"/>
    <w:rsid w:val="00054FCD"/>
    <w:rsid w:val="00055366"/>
    <w:rsid w:val="00055377"/>
    <w:rsid w:val="00055797"/>
    <w:rsid w:val="00055A8A"/>
    <w:rsid w:val="00055E1B"/>
    <w:rsid w:val="00055EFE"/>
    <w:rsid w:val="00056828"/>
    <w:rsid w:val="000574B4"/>
    <w:rsid w:val="000575CA"/>
    <w:rsid w:val="000577D1"/>
    <w:rsid w:val="000603DC"/>
    <w:rsid w:val="000605E1"/>
    <w:rsid w:val="00060A04"/>
    <w:rsid w:val="00060AD8"/>
    <w:rsid w:val="00060F55"/>
    <w:rsid w:val="000614F6"/>
    <w:rsid w:val="00061621"/>
    <w:rsid w:val="000616AF"/>
    <w:rsid w:val="00061B1F"/>
    <w:rsid w:val="00061C08"/>
    <w:rsid w:val="000627E1"/>
    <w:rsid w:val="0006318D"/>
    <w:rsid w:val="0006366F"/>
    <w:rsid w:val="00063675"/>
    <w:rsid w:val="00063D90"/>
    <w:rsid w:val="0006419E"/>
    <w:rsid w:val="000643DA"/>
    <w:rsid w:val="0006444F"/>
    <w:rsid w:val="000644CD"/>
    <w:rsid w:val="0006467C"/>
    <w:rsid w:val="00064CBD"/>
    <w:rsid w:val="00064CF4"/>
    <w:rsid w:val="00065628"/>
    <w:rsid w:val="00065894"/>
    <w:rsid w:val="0006590E"/>
    <w:rsid w:val="0006676C"/>
    <w:rsid w:val="00066819"/>
    <w:rsid w:val="000669A3"/>
    <w:rsid w:val="00067919"/>
    <w:rsid w:val="00067AD3"/>
    <w:rsid w:val="00067B74"/>
    <w:rsid w:val="00067E67"/>
    <w:rsid w:val="00067FE1"/>
    <w:rsid w:val="00070278"/>
    <w:rsid w:val="000704A3"/>
    <w:rsid w:val="000710B5"/>
    <w:rsid w:val="000715CB"/>
    <w:rsid w:val="00071A44"/>
    <w:rsid w:val="00071AC0"/>
    <w:rsid w:val="00071F53"/>
    <w:rsid w:val="00071F9A"/>
    <w:rsid w:val="00072578"/>
    <w:rsid w:val="00072A07"/>
    <w:rsid w:val="00072E2D"/>
    <w:rsid w:val="00073299"/>
    <w:rsid w:val="000732E2"/>
    <w:rsid w:val="000733C4"/>
    <w:rsid w:val="000737A9"/>
    <w:rsid w:val="00073A8F"/>
    <w:rsid w:val="0007409A"/>
    <w:rsid w:val="00074374"/>
    <w:rsid w:val="000743BC"/>
    <w:rsid w:val="00074770"/>
    <w:rsid w:val="00074783"/>
    <w:rsid w:val="000748D9"/>
    <w:rsid w:val="000751D6"/>
    <w:rsid w:val="00076136"/>
    <w:rsid w:val="000763D6"/>
    <w:rsid w:val="0007686C"/>
    <w:rsid w:val="00076EED"/>
    <w:rsid w:val="0007726F"/>
    <w:rsid w:val="000773A4"/>
    <w:rsid w:val="00077422"/>
    <w:rsid w:val="000778FA"/>
    <w:rsid w:val="00077CD8"/>
    <w:rsid w:val="00077D23"/>
    <w:rsid w:val="0008008D"/>
    <w:rsid w:val="00080430"/>
    <w:rsid w:val="00080490"/>
    <w:rsid w:val="000804AA"/>
    <w:rsid w:val="000805D7"/>
    <w:rsid w:val="0008060D"/>
    <w:rsid w:val="00080668"/>
    <w:rsid w:val="0008070B"/>
    <w:rsid w:val="000808FC"/>
    <w:rsid w:val="00080A11"/>
    <w:rsid w:val="00080D09"/>
    <w:rsid w:val="00080E18"/>
    <w:rsid w:val="00081032"/>
    <w:rsid w:val="000810AC"/>
    <w:rsid w:val="00081120"/>
    <w:rsid w:val="00081484"/>
    <w:rsid w:val="000815D3"/>
    <w:rsid w:val="00081A02"/>
    <w:rsid w:val="00082210"/>
    <w:rsid w:val="00082231"/>
    <w:rsid w:val="0008259D"/>
    <w:rsid w:val="000825E5"/>
    <w:rsid w:val="00082669"/>
    <w:rsid w:val="0008272A"/>
    <w:rsid w:val="000827DA"/>
    <w:rsid w:val="0008298D"/>
    <w:rsid w:val="00083146"/>
    <w:rsid w:val="000833E1"/>
    <w:rsid w:val="000833F7"/>
    <w:rsid w:val="00084EC0"/>
    <w:rsid w:val="00084FC1"/>
    <w:rsid w:val="00085517"/>
    <w:rsid w:val="00085DDB"/>
    <w:rsid w:val="00086008"/>
    <w:rsid w:val="00086312"/>
    <w:rsid w:val="0008660B"/>
    <w:rsid w:val="000875DF"/>
    <w:rsid w:val="0008768C"/>
    <w:rsid w:val="0008795F"/>
    <w:rsid w:val="000900DF"/>
    <w:rsid w:val="00090295"/>
    <w:rsid w:val="000903B6"/>
    <w:rsid w:val="00090457"/>
    <w:rsid w:val="000904EF"/>
    <w:rsid w:val="000905BA"/>
    <w:rsid w:val="000908D5"/>
    <w:rsid w:val="000908E5"/>
    <w:rsid w:val="00090A2F"/>
    <w:rsid w:val="00090B1E"/>
    <w:rsid w:val="00090DE3"/>
    <w:rsid w:val="00090F9B"/>
    <w:rsid w:val="00091418"/>
    <w:rsid w:val="000914E1"/>
    <w:rsid w:val="000915AE"/>
    <w:rsid w:val="00091665"/>
    <w:rsid w:val="00091AC4"/>
    <w:rsid w:val="00091B11"/>
    <w:rsid w:val="000924CA"/>
    <w:rsid w:val="00092503"/>
    <w:rsid w:val="00092819"/>
    <w:rsid w:val="00092BEB"/>
    <w:rsid w:val="00092CC9"/>
    <w:rsid w:val="00092D38"/>
    <w:rsid w:val="0009332A"/>
    <w:rsid w:val="00093347"/>
    <w:rsid w:val="00093569"/>
    <w:rsid w:val="00093577"/>
    <w:rsid w:val="0009377B"/>
    <w:rsid w:val="00093A2E"/>
    <w:rsid w:val="00093C4D"/>
    <w:rsid w:val="00093C7A"/>
    <w:rsid w:val="00093D19"/>
    <w:rsid w:val="00093D88"/>
    <w:rsid w:val="00094269"/>
    <w:rsid w:val="000946B5"/>
    <w:rsid w:val="00094BF9"/>
    <w:rsid w:val="00094E5D"/>
    <w:rsid w:val="0009507B"/>
    <w:rsid w:val="000951C8"/>
    <w:rsid w:val="00095579"/>
    <w:rsid w:val="0009560F"/>
    <w:rsid w:val="00095B52"/>
    <w:rsid w:val="00095FC9"/>
    <w:rsid w:val="0009623B"/>
    <w:rsid w:val="00096374"/>
    <w:rsid w:val="00096439"/>
    <w:rsid w:val="00096484"/>
    <w:rsid w:val="00096990"/>
    <w:rsid w:val="00096BEA"/>
    <w:rsid w:val="00096E46"/>
    <w:rsid w:val="0009775A"/>
    <w:rsid w:val="00097793"/>
    <w:rsid w:val="00097BCA"/>
    <w:rsid w:val="00097C2A"/>
    <w:rsid w:val="00097E62"/>
    <w:rsid w:val="000A0554"/>
    <w:rsid w:val="000A09BF"/>
    <w:rsid w:val="000A0F09"/>
    <w:rsid w:val="000A1302"/>
    <w:rsid w:val="000A14CC"/>
    <w:rsid w:val="000A16EE"/>
    <w:rsid w:val="000A192F"/>
    <w:rsid w:val="000A1BA8"/>
    <w:rsid w:val="000A1F2A"/>
    <w:rsid w:val="000A20C9"/>
    <w:rsid w:val="000A24A3"/>
    <w:rsid w:val="000A2513"/>
    <w:rsid w:val="000A253B"/>
    <w:rsid w:val="000A25E4"/>
    <w:rsid w:val="000A2A55"/>
    <w:rsid w:val="000A2BC9"/>
    <w:rsid w:val="000A2D7C"/>
    <w:rsid w:val="000A2E11"/>
    <w:rsid w:val="000A2E89"/>
    <w:rsid w:val="000A34B8"/>
    <w:rsid w:val="000A3D20"/>
    <w:rsid w:val="000A3FFD"/>
    <w:rsid w:val="000A41AB"/>
    <w:rsid w:val="000A4544"/>
    <w:rsid w:val="000A49CC"/>
    <w:rsid w:val="000A4BC0"/>
    <w:rsid w:val="000A4D2A"/>
    <w:rsid w:val="000A60E0"/>
    <w:rsid w:val="000A6371"/>
    <w:rsid w:val="000A638F"/>
    <w:rsid w:val="000A6554"/>
    <w:rsid w:val="000A683C"/>
    <w:rsid w:val="000A6DFA"/>
    <w:rsid w:val="000A7055"/>
    <w:rsid w:val="000A7311"/>
    <w:rsid w:val="000A7335"/>
    <w:rsid w:val="000A766F"/>
    <w:rsid w:val="000A7814"/>
    <w:rsid w:val="000A79DA"/>
    <w:rsid w:val="000A7AE2"/>
    <w:rsid w:val="000B01E4"/>
    <w:rsid w:val="000B058F"/>
    <w:rsid w:val="000B0FBF"/>
    <w:rsid w:val="000B1149"/>
    <w:rsid w:val="000B1282"/>
    <w:rsid w:val="000B139C"/>
    <w:rsid w:val="000B1753"/>
    <w:rsid w:val="000B1B26"/>
    <w:rsid w:val="000B260B"/>
    <w:rsid w:val="000B2715"/>
    <w:rsid w:val="000B2858"/>
    <w:rsid w:val="000B2A04"/>
    <w:rsid w:val="000B2F4E"/>
    <w:rsid w:val="000B321B"/>
    <w:rsid w:val="000B352D"/>
    <w:rsid w:val="000B39B1"/>
    <w:rsid w:val="000B3B7B"/>
    <w:rsid w:val="000B43CF"/>
    <w:rsid w:val="000B4467"/>
    <w:rsid w:val="000B4994"/>
    <w:rsid w:val="000B4B7B"/>
    <w:rsid w:val="000B4D08"/>
    <w:rsid w:val="000B4DB9"/>
    <w:rsid w:val="000B4F5D"/>
    <w:rsid w:val="000B505C"/>
    <w:rsid w:val="000B53C4"/>
    <w:rsid w:val="000B54D6"/>
    <w:rsid w:val="000B5659"/>
    <w:rsid w:val="000B5BE8"/>
    <w:rsid w:val="000B5F73"/>
    <w:rsid w:val="000B6940"/>
    <w:rsid w:val="000B7378"/>
    <w:rsid w:val="000B73E9"/>
    <w:rsid w:val="000B76CB"/>
    <w:rsid w:val="000B7FE5"/>
    <w:rsid w:val="000C000F"/>
    <w:rsid w:val="000C0472"/>
    <w:rsid w:val="000C05E2"/>
    <w:rsid w:val="000C09AC"/>
    <w:rsid w:val="000C0B6F"/>
    <w:rsid w:val="000C0C2B"/>
    <w:rsid w:val="000C13F4"/>
    <w:rsid w:val="000C15CB"/>
    <w:rsid w:val="000C1D05"/>
    <w:rsid w:val="000C1D17"/>
    <w:rsid w:val="000C1DCF"/>
    <w:rsid w:val="000C1F59"/>
    <w:rsid w:val="000C1FF3"/>
    <w:rsid w:val="000C2068"/>
    <w:rsid w:val="000C210B"/>
    <w:rsid w:val="000C2244"/>
    <w:rsid w:val="000C2327"/>
    <w:rsid w:val="000C2C9E"/>
    <w:rsid w:val="000C2CFB"/>
    <w:rsid w:val="000C2EE3"/>
    <w:rsid w:val="000C2FB0"/>
    <w:rsid w:val="000C31B9"/>
    <w:rsid w:val="000C37AE"/>
    <w:rsid w:val="000C3B1E"/>
    <w:rsid w:val="000C3F28"/>
    <w:rsid w:val="000C437B"/>
    <w:rsid w:val="000C5C0C"/>
    <w:rsid w:val="000C5D1F"/>
    <w:rsid w:val="000C62DF"/>
    <w:rsid w:val="000C6392"/>
    <w:rsid w:val="000C6425"/>
    <w:rsid w:val="000C65A4"/>
    <w:rsid w:val="000C65CF"/>
    <w:rsid w:val="000C7055"/>
    <w:rsid w:val="000C738F"/>
    <w:rsid w:val="000C767F"/>
    <w:rsid w:val="000C776A"/>
    <w:rsid w:val="000C7825"/>
    <w:rsid w:val="000C7C57"/>
    <w:rsid w:val="000C7E2B"/>
    <w:rsid w:val="000C7F9D"/>
    <w:rsid w:val="000D002E"/>
    <w:rsid w:val="000D0329"/>
    <w:rsid w:val="000D0349"/>
    <w:rsid w:val="000D08BD"/>
    <w:rsid w:val="000D0F6D"/>
    <w:rsid w:val="000D1012"/>
    <w:rsid w:val="000D1053"/>
    <w:rsid w:val="000D1183"/>
    <w:rsid w:val="000D2269"/>
    <w:rsid w:val="000D2A03"/>
    <w:rsid w:val="000D2E5F"/>
    <w:rsid w:val="000D2EC3"/>
    <w:rsid w:val="000D2F17"/>
    <w:rsid w:val="000D30CF"/>
    <w:rsid w:val="000D3341"/>
    <w:rsid w:val="000D3D8A"/>
    <w:rsid w:val="000D451B"/>
    <w:rsid w:val="000D45C3"/>
    <w:rsid w:val="000D4E81"/>
    <w:rsid w:val="000D4EB7"/>
    <w:rsid w:val="000D59C6"/>
    <w:rsid w:val="000D59D8"/>
    <w:rsid w:val="000D5A44"/>
    <w:rsid w:val="000D6119"/>
    <w:rsid w:val="000D6179"/>
    <w:rsid w:val="000D6863"/>
    <w:rsid w:val="000D6953"/>
    <w:rsid w:val="000D6C56"/>
    <w:rsid w:val="000D6F70"/>
    <w:rsid w:val="000D6F9A"/>
    <w:rsid w:val="000D70FC"/>
    <w:rsid w:val="000D715C"/>
    <w:rsid w:val="000D71CA"/>
    <w:rsid w:val="000D7474"/>
    <w:rsid w:val="000D7AB3"/>
    <w:rsid w:val="000D7E0C"/>
    <w:rsid w:val="000D7E44"/>
    <w:rsid w:val="000D7EE0"/>
    <w:rsid w:val="000E00B0"/>
    <w:rsid w:val="000E0822"/>
    <w:rsid w:val="000E09A2"/>
    <w:rsid w:val="000E192A"/>
    <w:rsid w:val="000E1F97"/>
    <w:rsid w:val="000E1FA1"/>
    <w:rsid w:val="000E2498"/>
    <w:rsid w:val="000E318C"/>
    <w:rsid w:val="000E3837"/>
    <w:rsid w:val="000E3ED2"/>
    <w:rsid w:val="000E40CD"/>
    <w:rsid w:val="000E41EB"/>
    <w:rsid w:val="000E4203"/>
    <w:rsid w:val="000E4255"/>
    <w:rsid w:val="000E4ACA"/>
    <w:rsid w:val="000E4B47"/>
    <w:rsid w:val="000E4C25"/>
    <w:rsid w:val="000E4C7F"/>
    <w:rsid w:val="000E4F44"/>
    <w:rsid w:val="000E521F"/>
    <w:rsid w:val="000E53A3"/>
    <w:rsid w:val="000E559D"/>
    <w:rsid w:val="000E5AA8"/>
    <w:rsid w:val="000E65EE"/>
    <w:rsid w:val="000E67D0"/>
    <w:rsid w:val="000E6DBB"/>
    <w:rsid w:val="000E738B"/>
    <w:rsid w:val="000E7424"/>
    <w:rsid w:val="000E78AA"/>
    <w:rsid w:val="000E79A8"/>
    <w:rsid w:val="000E7D56"/>
    <w:rsid w:val="000F02AB"/>
    <w:rsid w:val="000F0DF5"/>
    <w:rsid w:val="000F0EAE"/>
    <w:rsid w:val="000F1071"/>
    <w:rsid w:val="000F12ED"/>
    <w:rsid w:val="000F18FD"/>
    <w:rsid w:val="000F1CD0"/>
    <w:rsid w:val="000F1D88"/>
    <w:rsid w:val="000F2295"/>
    <w:rsid w:val="000F22E3"/>
    <w:rsid w:val="000F23F0"/>
    <w:rsid w:val="000F25BD"/>
    <w:rsid w:val="000F25CD"/>
    <w:rsid w:val="000F2A19"/>
    <w:rsid w:val="000F2A3E"/>
    <w:rsid w:val="000F2D91"/>
    <w:rsid w:val="000F2DED"/>
    <w:rsid w:val="000F2E51"/>
    <w:rsid w:val="000F30F4"/>
    <w:rsid w:val="000F3147"/>
    <w:rsid w:val="000F345C"/>
    <w:rsid w:val="000F3462"/>
    <w:rsid w:val="000F3AD7"/>
    <w:rsid w:val="000F3AFA"/>
    <w:rsid w:val="000F3B0A"/>
    <w:rsid w:val="000F3BA5"/>
    <w:rsid w:val="000F3DD1"/>
    <w:rsid w:val="000F3EA6"/>
    <w:rsid w:val="000F411F"/>
    <w:rsid w:val="000F4271"/>
    <w:rsid w:val="000F46E5"/>
    <w:rsid w:val="000F491A"/>
    <w:rsid w:val="000F491D"/>
    <w:rsid w:val="000F499A"/>
    <w:rsid w:val="000F4D31"/>
    <w:rsid w:val="000F5363"/>
    <w:rsid w:val="000F5427"/>
    <w:rsid w:val="000F5446"/>
    <w:rsid w:val="000F5C14"/>
    <w:rsid w:val="000F5C3C"/>
    <w:rsid w:val="000F5EC3"/>
    <w:rsid w:val="000F6221"/>
    <w:rsid w:val="000F6A78"/>
    <w:rsid w:val="000F6DC7"/>
    <w:rsid w:val="000F71AD"/>
    <w:rsid w:val="000F7322"/>
    <w:rsid w:val="000F7443"/>
    <w:rsid w:val="000F76D2"/>
    <w:rsid w:val="000F7E07"/>
    <w:rsid w:val="001004B8"/>
    <w:rsid w:val="00100562"/>
    <w:rsid w:val="0010073F"/>
    <w:rsid w:val="001008A3"/>
    <w:rsid w:val="00100DA0"/>
    <w:rsid w:val="001014C3"/>
    <w:rsid w:val="001018D3"/>
    <w:rsid w:val="00102060"/>
    <w:rsid w:val="001021E1"/>
    <w:rsid w:val="00102AD5"/>
    <w:rsid w:val="00102C04"/>
    <w:rsid w:val="00102F4F"/>
    <w:rsid w:val="001036BA"/>
    <w:rsid w:val="00104015"/>
    <w:rsid w:val="001042B6"/>
    <w:rsid w:val="00104E83"/>
    <w:rsid w:val="0010532D"/>
    <w:rsid w:val="001055FA"/>
    <w:rsid w:val="0010596F"/>
    <w:rsid w:val="00105F7B"/>
    <w:rsid w:val="00106234"/>
    <w:rsid w:val="0010664A"/>
    <w:rsid w:val="00106B18"/>
    <w:rsid w:val="00106F88"/>
    <w:rsid w:val="00106FE7"/>
    <w:rsid w:val="001072B9"/>
    <w:rsid w:val="001075DC"/>
    <w:rsid w:val="001076BF"/>
    <w:rsid w:val="00107723"/>
    <w:rsid w:val="001077D1"/>
    <w:rsid w:val="00107B06"/>
    <w:rsid w:val="00107CD6"/>
    <w:rsid w:val="0011073F"/>
    <w:rsid w:val="0011094D"/>
    <w:rsid w:val="00110988"/>
    <w:rsid w:val="00110A2F"/>
    <w:rsid w:val="001110C6"/>
    <w:rsid w:val="00111A7B"/>
    <w:rsid w:val="001120D0"/>
    <w:rsid w:val="00112595"/>
    <w:rsid w:val="00112664"/>
    <w:rsid w:val="00112F70"/>
    <w:rsid w:val="001130B3"/>
    <w:rsid w:val="00113961"/>
    <w:rsid w:val="00113AE5"/>
    <w:rsid w:val="00113D71"/>
    <w:rsid w:val="00113FD5"/>
    <w:rsid w:val="001144B4"/>
    <w:rsid w:val="00114AFC"/>
    <w:rsid w:val="00114D1B"/>
    <w:rsid w:val="00115BB6"/>
    <w:rsid w:val="001162D1"/>
    <w:rsid w:val="00116BF9"/>
    <w:rsid w:val="001173D2"/>
    <w:rsid w:val="001173D8"/>
    <w:rsid w:val="00117932"/>
    <w:rsid w:val="001201FD"/>
    <w:rsid w:val="00120857"/>
    <w:rsid w:val="0012088C"/>
    <w:rsid w:val="00120AD0"/>
    <w:rsid w:val="00121131"/>
    <w:rsid w:val="001212C3"/>
    <w:rsid w:val="00121323"/>
    <w:rsid w:val="001217E9"/>
    <w:rsid w:val="001218E3"/>
    <w:rsid w:val="00121BC2"/>
    <w:rsid w:val="00121DF5"/>
    <w:rsid w:val="001222B6"/>
    <w:rsid w:val="00122324"/>
    <w:rsid w:val="001227A2"/>
    <w:rsid w:val="00122883"/>
    <w:rsid w:val="00122D48"/>
    <w:rsid w:val="00123012"/>
    <w:rsid w:val="00123307"/>
    <w:rsid w:val="001233A1"/>
    <w:rsid w:val="001238C2"/>
    <w:rsid w:val="00123DD5"/>
    <w:rsid w:val="00123EE8"/>
    <w:rsid w:val="00124126"/>
    <w:rsid w:val="0012415C"/>
    <w:rsid w:val="0012433B"/>
    <w:rsid w:val="00124408"/>
    <w:rsid w:val="00124512"/>
    <w:rsid w:val="00124E58"/>
    <w:rsid w:val="0012542F"/>
    <w:rsid w:val="00125630"/>
    <w:rsid w:val="00125B2D"/>
    <w:rsid w:val="00125CB5"/>
    <w:rsid w:val="00125F29"/>
    <w:rsid w:val="0012601A"/>
    <w:rsid w:val="001265EA"/>
    <w:rsid w:val="00126937"/>
    <w:rsid w:val="0012709A"/>
    <w:rsid w:val="001273E6"/>
    <w:rsid w:val="001277D5"/>
    <w:rsid w:val="00127B79"/>
    <w:rsid w:val="00127C4F"/>
    <w:rsid w:val="001302F7"/>
    <w:rsid w:val="00130C71"/>
    <w:rsid w:val="00131784"/>
    <w:rsid w:val="00131931"/>
    <w:rsid w:val="00131B60"/>
    <w:rsid w:val="00131D35"/>
    <w:rsid w:val="00131F42"/>
    <w:rsid w:val="0013278A"/>
    <w:rsid w:val="001329DD"/>
    <w:rsid w:val="00132E77"/>
    <w:rsid w:val="00134549"/>
    <w:rsid w:val="00134CDC"/>
    <w:rsid w:val="00134F94"/>
    <w:rsid w:val="001350A0"/>
    <w:rsid w:val="00135350"/>
    <w:rsid w:val="001354AE"/>
    <w:rsid w:val="001357F1"/>
    <w:rsid w:val="001358CF"/>
    <w:rsid w:val="00135912"/>
    <w:rsid w:val="001359D1"/>
    <w:rsid w:val="00135A4F"/>
    <w:rsid w:val="00135A7B"/>
    <w:rsid w:val="001362A2"/>
    <w:rsid w:val="0013672E"/>
    <w:rsid w:val="001367C1"/>
    <w:rsid w:val="00136830"/>
    <w:rsid w:val="00136A77"/>
    <w:rsid w:val="0013744F"/>
    <w:rsid w:val="001377A1"/>
    <w:rsid w:val="00137A06"/>
    <w:rsid w:val="00137AC4"/>
    <w:rsid w:val="00137EF5"/>
    <w:rsid w:val="001404D9"/>
    <w:rsid w:val="00140684"/>
    <w:rsid w:val="001407E5"/>
    <w:rsid w:val="00140986"/>
    <w:rsid w:val="00140E76"/>
    <w:rsid w:val="00140F3D"/>
    <w:rsid w:val="00140FA8"/>
    <w:rsid w:val="00141309"/>
    <w:rsid w:val="00142491"/>
    <w:rsid w:val="00142503"/>
    <w:rsid w:val="00142B4C"/>
    <w:rsid w:val="00142C7B"/>
    <w:rsid w:val="00142FEB"/>
    <w:rsid w:val="0014303F"/>
    <w:rsid w:val="0014319C"/>
    <w:rsid w:val="0014345A"/>
    <w:rsid w:val="00143521"/>
    <w:rsid w:val="001437AD"/>
    <w:rsid w:val="00143A2D"/>
    <w:rsid w:val="00143DE1"/>
    <w:rsid w:val="00144884"/>
    <w:rsid w:val="00144E24"/>
    <w:rsid w:val="00144E70"/>
    <w:rsid w:val="00144E78"/>
    <w:rsid w:val="00145760"/>
    <w:rsid w:val="001457CF"/>
    <w:rsid w:val="00145A41"/>
    <w:rsid w:val="00145D0B"/>
    <w:rsid w:val="00146145"/>
    <w:rsid w:val="001462A9"/>
    <w:rsid w:val="0014671E"/>
    <w:rsid w:val="00146769"/>
    <w:rsid w:val="00146783"/>
    <w:rsid w:val="00146AB2"/>
    <w:rsid w:val="00146B6A"/>
    <w:rsid w:val="00146E23"/>
    <w:rsid w:val="001479DF"/>
    <w:rsid w:val="001502D0"/>
    <w:rsid w:val="00150303"/>
    <w:rsid w:val="0015058F"/>
    <w:rsid w:val="00150606"/>
    <w:rsid w:val="00150AA5"/>
    <w:rsid w:val="00150ACD"/>
    <w:rsid w:val="00150CFC"/>
    <w:rsid w:val="00150EE6"/>
    <w:rsid w:val="00151022"/>
    <w:rsid w:val="001512BD"/>
    <w:rsid w:val="00151675"/>
    <w:rsid w:val="001516C4"/>
    <w:rsid w:val="0015185F"/>
    <w:rsid w:val="00151F61"/>
    <w:rsid w:val="001520AF"/>
    <w:rsid w:val="001520B8"/>
    <w:rsid w:val="001528A6"/>
    <w:rsid w:val="00153379"/>
    <w:rsid w:val="001533E1"/>
    <w:rsid w:val="00153754"/>
    <w:rsid w:val="001537BE"/>
    <w:rsid w:val="00153D6B"/>
    <w:rsid w:val="001546A6"/>
    <w:rsid w:val="00154A43"/>
    <w:rsid w:val="001551C3"/>
    <w:rsid w:val="001559DC"/>
    <w:rsid w:val="001566E3"/>
    <w:rsid w:val="001566E8"/>
    <w:rsid w:val="00157435"/>
    <w:rsid w:val="00157779"/>
    <w:rsid w:val="00157861"/>
    <w:rsid w:val="00157DE0"/>
    <w:rsid w:val="00157E04"/>
    <w:rsid w:val="00157F53"/>
    <w:rsid w:val="001601AA"/>
    <w:rsid w:val="0016049C"/>
    <w:rsid w:val="00160622"/>
    <w:rsid w:val="001606AC"/>
    <w:rsid w:val="00160847"/>
    <w:rsid w:val="00160A33"/>
    <w:rsid w:val="00160C05"/>
    <w:rsid w:val="00162747"/>
    <w:rsid w:val="00162894"/>
    <w:rsid w:val="00162AC4"/>
    <w:rsid w:val="00163455"/>
    <w:rsid w:val="00163601"/>
    <w:rsid w:val="0016383D"/>
    <w:rsid w:val="001641AA"/>
    <w:rsid w:val="00164268"/>
    <w:rsid w:val="00164502"/>
    <w:rsid w:val="001646B9"/>
    <w:rsid w:val="00164E92"/>
    <w:rsid w:val="00165832"/>
    <w:rsid w:val="00166060"/>
    <w:rsid w:val="001669E3"/>
    <w:rsid w:val="00166BF5"/>
    <w:rsid w:val="00166DBD"/>
    <w:rsid w:val="00166FCE"/>
    <w:rsid w:val="00167007"/>
    <w:rsid w:val="00167133"/>
    <w:rsid w:val="0016720F"/>
    <w:rsid w:val="001674A8"/>
    <w:rsid w:val="001675F2"/>
    <w:rsid w:val="00167A02"/>
    <w:rsid w:val="00170013"/>
    <w:rsid w:val="00170509"/>
    <w:rsid w:val="001714E5"/>
    <w:rsid w:val="001716C0"/>
    <w:rsid w:val="00171B46"/>
    <w:rsid w:val="00171D20"/>
    <w:rsid w:val="001720A6"/>
    <w:rsid w:val="00172474"/>
    <w:rsid w:val="00172684"/>
    <w:rsid w:val="001726EC"/>
    <w:rsid w:val="00172A11"/>
    <w:rsid w:val="00172C3E"/>
    <w:rsid w:val="00172C88"/>
    <w:rsid w:val="0017327F"/>
    <w:rsid w:val="00173A25"/>
    <w:rsid w:val="00174049"/>
    <w:rsid w:val="001740C5"/>
    <w:rsid w:val="00174374"/>
    <w:rsid w:val="00174631"/>
    <w:rsid w:val="00174CE8"/>
    <w:rsid w:val="00174FDC"/>
    <w:rsid w:val="0017504D"/>
    <w:rsid w:val="001752ED"/>
    <w:rsid w:val="00175E31"/>
    <w:rsid w:val="00175E85"/>
    <w:rsid w:val="0017671A"/>
    <w:rsid w:val="00176BBF"/>
    <w:rsid w:val="00176D92"/>
    <w:rsid w:val="00177130"/>
    <w:rsid w:val="001771AA"/>
    <w:rsid w:val="001772BE"/>
    <w:rsid w:val="001773AF"/>
    <w:rsid w:val="00177422"/>
    <w:rsid w:val="00177583"/>
    <w:rsid w:val="00177B5D"/>
    <w:rsid w:val="00177BBA"/>
    <w:rsid w:val="00177BF0"/>
    <w:rsid w:val="00177E5D"/>
    <w:rsid w:val="00180130"/>
    <w:rsid w:val="0018013B"/>
    <w:rsid w:val="0018041F"/>
    <w:rsid w:val="001806D6"/>
    <w:rsid w:val="00180B78"/>
    <w:rsid w:val="00180BCC"/>
    <w:rsid w:val="001813BF"/>
    <w:rsid w:val="001815B7"/>
    <w:rsid w:val="00181FEC"/>
    <w:rsid w:val="00182140"/>
    <w:rsid w:val="001822BF"/>
    <w:rsid w:val="00182460"/>
    <w:rsid w:val="00182AFA"/>
    <w:rsid w:val="00182E11"/>
    <w:rsid w:val="00182E98"/>
    <w:rsid w:val="00182F74"/>
    <w:rsid w:val="00183325"/>
    <w:rsid w:val="00183674"/>
    <w:rsid w:val="001838CE"/>
    <w:rsid w:val="00183B43"/>
    <w:rsid w:val="00183D00"/>
    <w:rsid w:val="00184096"/>
    <w:rsid w:val="00184590"/>
    <w:rsid w:val="00184593"/>
    <w:rsid w:val="00184C1B"/>
    <w:rsid w:val="00184DE6"/>
    <w:rsid w:val="00185380"/>
    <w:rsid w:val="0018595C"/>
    <w:rsid w:val="00185E91"/>
    <w:rsid w:val="00185F5C"/>
    <w:rsid w:val="001869C0"/>
    <w:rsid w:val="00186A2C"/>
    <w:rsid w:val="001870D1"/>
    <w:rsid w:val="00187105"/>
    <w:rsid w:val="0018734D"/>
    <w:rsid w:val="0018740A"/>
    <w:rsid w:val="0018781E"/>
    <w:rsid w:val="0018799E"/>
    <w:rsid w:val="0019010F"/>
    <w:rsid w:val="00190312"/>
    <w:rsid w:val="00190933"/>
    <w:rsid w:val="00190C1C"/>
    <w:rsid w:val="00190D47"/>
    <w:rsid w:val="00190D7D"/>
    <w:rsid w:val="00191085"/>
    <w:rsid w:val="00191A71"/>
    <w:rsid w:val="00191BE5"/>
    <w:rsid w:val="0019262D"/>
    <w:rsid w:val="0019267E"/>
    <w:rsid w:val="001932E8"/>
    <w:rsid w:val="00193328"/>
    <w:rsid w:val="0019362C"/>
    <w:rsid w:val="0019366B"/>
    <w:rsid w:val="001937DB"/>
    <w:rsid w:val="001939F7"/>
    <w:rsid w:val="00195313"/>
    <w:rsid w:val="001955E1"/>
    <w:rsid w:val="0019560D"/>
    <w:rsid w:val="001956D8"/>
    <w:rsid w:val="00195705"/>
    <w:rsid w:val="0019574B"/>
    <w:rsid w:val="00195767"/>
    <w:rsid w:val="00195D40"/>
    <w:rsid w:val="001963F7"/>
    <w:rsid w:val="00196947"/>
    <w:rsid w:val="00196C00"/>
    <w:rsid w:val="00196D7A"/>
    <w:rsid w:val="00196F4F"/>
    <w:rsid w:val="00197125"/>
    <w:rsid w:val="0019715D"/>
    <w:rsid w:val="0019745F"/>
    <w:rsid w:val="00197671"/>
    <w:rsid w:val="00197952"/>
    <w:rsid w:val="001A0364"/>
    <w:rsid w:val="001A0A2A"/>
    <w:rsid w:val="001A0BC8"/>
    <w:rsid w:val="001A10FD"/>
    <w:rsid w:val="001A1B26"/>
    <w:rsid w:val="001A1B35"/>
    <w:rsid w:val="001A1D66"/>
    <w:rsid w:val="001A20F4"/>
    <w:rsid w:val="001A28D1"/>
    <w:rsid w:val="001A2D88"/>
    <w:rsid w:val="001A3C60"/>
    <w:rsid w:val="001A3F1E"/>
    <w:rsid w:val="001A4487"/>
    <w:rsid w:val="001A46A3"/>
    <w:rsid w:val="001A48A2"/>
    <w:rsid w:val="001A4929"/>
    <w:rsid w:val="001A4AF9"/>
    <w:rsid w:val="001A50F8"/>
    <w:rsid w:val="001A5343"/>
    <w:rsid w:val="001A57EC"/>
    <w:rsid w:val="001A60FC"/>
    <w:rsid w:val="001A62A5"/>
    <w:rsid w:val="001A62EE"/>
    <w:rsid w:val="001A6384"/>
    <w:rsid w:val="001A6657"/>
    <w:rsid w:val="001A6675"/>
    <w:rsid w:val="001A6918"/>
    <w:rsid w:val="001A6A82"/>
    <w:rsid w:val="001A6F61"/>
    <w:rsid w:val="001A774E"/>
    <w:rsid w:val="001A77B5"/>
    <w:rsid w:val="001A7A02"/>
    <w:rsid w:val="001B01E9"/>
    <w:rsid w:val="001B0436"/>
    <w:rsid w:val="001B09B3"/>
    <w:rsid w:val="001B0AC4"/>
    <w:rsid w:val="001B0C83"/>
    <w:rsid w:val="001B1046"/>
    <w:rsid w:val="001B1207"/>
    <w:rsid w:val="001B189F"/>
    <w:rsid w:val="001B1B67"/>
    <w:rsid w:val="001B1C4B"/>
    <w:rsid w:val="001B1DC6"/>
    <w:rsid w:val="001B1E0E"/>
    <w:rsid w:val="001B209D"/>
    <w:rsid w:val="001B2BB4"/>
    <w:rsid w:val="001B2E43"/>
    <w:rsid w:val="001B3129"/>
    <w:rsid w:val="001B314D"/>
    <w:rsid w:val="001B38B9"/>
    <w:rsid w:val="001B3A3C"/>
    <w:rsid w:val="001B3A7C"/>
    <w:rsid w:val="001B3B98"/>
    <w:rsid w:val="001B41E5"/>
    <w:rsid w:val="001B48D9"/>
    <w:rsid w:val="001B5156"/>
    <w:rsid w:val="001B5540"/>
    <w:rsid w:val="001B569A"/>
    <w:rsid w:val="001B57A3"/>
    <w:rsid w:val="001B5A29"/>
    <w:rsid w:val="001B5D0B"/>
    <w:rsid w:val="001B5DAD"/>
    <w:rsid w:val="001B6273"/>
    <w:rsid w:val="001B68B0"/>
    <w:rsid w:val="001B6E16"/>
    <w:rsid w:val="001B6ED4"/>
    <w:rsid w:val="001B72B8"/>
    <w:rsid w:val="001B7D44"/>
    <w:rsid w:val="001B7DDA"/>
    <w:rsid w:val="001B7E91"/>
    <w:rsid w:val="001B7EA3"/>
    <w:rsid w:val="001B7FDF"/>
    <w:rsid w:val="001C03D5"/>
    <w:rsid w:val="001C03DD"/>
    <w:rsid w:val="001C05A1"/>
    <w:rsid w:val="001C09EC"/>
    <w:rsid w:val="001C0E22"/>
    <w:rsid w:val="001C0E86"/>
    <w:rsid w:val="001C106D"/>
    <w:rsid w:val="001C11F5"/>
    <w:rsid w:val="001C13FD"/>
    <w:rsid w:val="001C1D8C"/>
    <w:rsid w:val="001C1F90"/>
    <w:rsid w:val="001C2074"/>
    <w:rsid w:val="001C22DD"/>
    <w:rsid w:val="001C26B6"/>
    <w:rsid w:val="001C2B75"/>
    <w:rsid w:val="001C2EB0"/>
    <w:rsid w:val="001C306B"/>
    <w:rsid w:val="001C30F1"/>
    <w:rsid w:val="001C3734"/>
    <w:rsid w:val="001C381A"/>
    <w:rsid w:val="001C3A21"/>
    <w:rsid w:val="001C3C0E"/>
    <w:rsid w:val="001C440D"/>
    <w:rsid w:val="001C4598"/>
    <w:rsid w:val="001C4C21"/>
    <w:rsid w:val="001C52C6"/>
    <w:rsid w:val="001C5BCE"/>
    <w:rsid w:val="001C6310"/>
    <w:rsid w:val="001C65B2"/>
    <w:rsid w:val="001C69B3"/>
    <w:rsid w:val="001C6B18"/>
    <w:rsid w:val="001C6E45"/>
    <w:rsid w:val="001C771C"/>
    <w:rsid w:val="001C7A83"/>
    <w:rsid w:val="001C7EE6"/>
    <w:rsid w:val="001D0A53"/>
    <w:rsid w:val="001D0B0E"/>
    <w:rsid w:val="001D11F2"/>
    <w:rsid w:val="001D176A"/>
    <w:rsid w:val="001D1B31"/>
    <w:rsid w:val="001D22B0"/>
    <w:rsid w:val="001D24D5"/>
    <w:rsid w:val="001D24EE"/>
    <w:rsid w:val="001D2E4D"/>
    <w:rsid w:val="001D2FF3"/>
    <w:rsid w:val="001D3538"/>
    <w:rsid w:val="001D35C6"/>
    <w:rsid w:val="001D4402"/>
    <w:rsid w:val="001D46DB"/>
    <w:rsid w:val="001D47AE"/>
    <w:rsid w:val="001D4924"/>
    <w:rsid w:val="001D4B2E"/>
    <w:rsid w:val="001D4D45"/>
    <w:rsid w:val="001D4EC5"/>
    <w:rsid w:val="001D544A"/>
    <w:rsid w:val="001D5595"/>
    <w:rsid w:val="001D5703"/>
    <w:rsid w:val="001D5C0A"/>
    <w:rsid w:val="001D639C"/>
    <w:rsid w:val="001D64F0"/>
    <w:rsid w:val="001D6AE6"/>
    <w:rsid w:val="001D74C2"/>
    <w:rsid w:val="001D75FF"/>
    <w:rsid w:val="001D7874"/>
    <w:rsid w:val="001D7F22"/>
    <w:rsid w:val="001E13A0"/>
    <w:rsid w:val="001E198E"/>
    <w:rsid w:val="001E1E61"/>
    <w:rsid w:val="001E2280"/>
    <w:rsid w:val="001E3325"/>
    <w:rsid w:val="001E3682"/>
    <w:rsid w:val="001E3922"/>
    <w:rsid w:val="001E3D67"/>
    <w:rsid w:val="001E3E55"/>
    <w:rsid w:val="001E5BBB"/>
    <w:rsid w:val="001E5DA9"/>
    <w:rsid w:val="001E63EC"/>
    <w:rsid w:val="001E6E3C"/>
    <w:rsid w:val="001E6E85"/>
    <w:rsid w:val="001E73F1"/>
    <w:rsid w:val="001E74A1"/>
    <w:rsid w:val="001E7718"/>
    <w:rsid w:val="001E782B"/>
    <w:rsid w:val="001E7C8A"/>
    <w:rsid w:val="001E7F49"/>
    <w:rsid w:val="001F0312"/>
    <w:rsid w:val="001F0345"/>
    <w:rsid w:val="001F0B73"/>
    <w:rsid w:val="001F0F17"/>
    <w:rsid w:val="001F0FC5"/>
    <w:rsid w:val="001F141C"/>
    <w:rsid w:val="001F1E45"/>
    <w:rsid w:val="001F23CE"/>
    <w:rsid w:val="001F25A5"/>
    <w:rsid w:val="001F25B7"/>
    <w:rsid w:val="001F2A7B"/>
    <w:rsid w:val="001F2AC0"/>
    <w:rsid w:val="001F2B68"/>
    <w:rsid w:val="001F2EAB"/>
    <w:rsid w:val="001F2F85"/>
    <w:rsid w:val="001F3347"/>
    <w:rsid w:val="001F35D1"/>
    <w:rsid w:val="001F3910"/>
    <w:rsid w:val="001F3939"/>
    <w:rsid w:val="001F3B0A"/>
    <w:rsid w:val="001F3C29"/>
    <w:rsid w:val="001F3D63"/>
    <w:rsid w:val="001F3DAF"/>
    <w:rsid w:val="001F43F1"/>
    <w:rsid w:val="001F4842"/>
    <w:rsid w:val="001F4D66"/>
    <w:rsid w:val="001F5124"/>
    <w:rsid w:val="001F61D4"/>
    <w:rsid w:val="001F657F"/>
    <w:rsid w:val="001F670B"/>
    <w:rsid w:val="001F6780"/>
    <w:rsid w:val="001F69E4"/>
    <w:rsid w:val="001F6CC4"/>
    <w:rsid w:val="001F72F3"/>
    <w:rsid w:val="001F73F7"/>
    <w:rsid w:val="001F7585"/>
    <w:rsid w:val="001F764D"/>
    <w:rsid w:val="001F7CF4"/>
    <w:rsid w:val="001F7DFB"/>
    <w:rsid w:val="00200D18"/>
    <w:rsid w:val="00200F71"/>
    <w:rsid w:val="002010CA"/>
    <w:rsid w:val="00201E1F"/>
    <w:rsid w:val="00201E7E"/>
    <w:rsid w:val="00201F7B"/>
    <w:rsid w:val="00201FEE"/>
    <w:rsid w:val="0020212B"/>
    <w:rsid w:val="00202184"/>
    <w:rsid w:val="00202216"/>
    <w:rsid w:val="00202B61"/>
    <w:rsid w:val="00202DB9"/>
    <w:rsid w:val="00203027"/>
    <w:rsid w:val="002031ED"/>
    <w:rsid w:val="0020377C"/>
    <w:rsid w:val="00203805"/>
    <w:rsid w:val="00203AE1"/>
    <w:rsid w:val="00203BA6"/>
    <w:rsid w:val="00204284"/>
    <w:rsid w:val="00204466"/>
    <w:rsid w:val="00204A1E"/>
    <w:rsid w:val="00204B87"/>
    <w:rsid w:val="002053AA"/>
    <w:rsid w:val="00205849"/>
    <w:rsid w:val="00205AD1"/>
    <w:rsid w:val="00206176"/>
    <w:rsid w:val="00206879"/>
    <w:rsid w:val="00206BA3"/>
    <w:rsid w:val="00206C81"/>
    <w:rsid w:val="00206E70"/>
    <w:rsid w:val="0020785B"/>
    <w:rsid w:val="0020788E"/>
    <w:rsid w:val="00207DD6"/>
    <w:rsid w:val="0021013B"/>
    <w:rsid w:val="00210F2E"/>
    <w:rsid w:val="00211DF4"/>
    <w:rsid w:val="00211E5F"/>
    <w:rsid w:val="00211FFC"/>
    <w:rsid w:val="002120A1"/>
    <w:rsid w:val="00212132"/>
    <w:rsid w:val="002122FE"/>
    <w:rsid w:val="00212561"/>
    <w:rsid w:val="002125B4"/>
    <w:rsid w:val="002127E9"/>
    <w:rsid w:val="002128D8"/>
    <w:rsid w:val="002143B4"/>
    <w:rsid w:val="00214FDD"/>
    <w:rsid w:val="00215173"/>
    <w:rsid w:val="002155B8"/>
    <w:rsid w:val="00215604"/>
    <w:rsid w:val="002158DF"/>
    <w:rsid w:val="0021634D"/>
    <w:rsid w:val="002169C5"/>
    <w:rsid w:val="00216E37"/>
    <w:rsid w:val="002174F6"/>
    <w:rsid w:val="002177A7"/>
    <w:rsid w:val="00217894"/>
    <w:rsid w:val="00217AC7"/>
    <w:rsid w:val="00217BCD"/>
    <w:rsid w:val="00217DAE"/>
    <w:rsid w:val="00217DF2"/>
    <w:rsid w:val="00217FA6"/>
    <w:rsid w:val="00217FE5"/>
    <w:rsid w:val="00221198"/>
    <w:rsid w:val="002211FA"/>
    <w:rsid w:val="0022138D"/>
    <w:rsid w:val="00221413"/>
    <w:rsid w:val="0022181B"/>
    <w:rsid w:val="00221ACB"/>
    <w:rsid w:val="002220C1"/>
    <w:rsid w:val="00222BF1"/>
    <w:rsid w:val="002231CE"/>
    <w:rsid w:val="00223368"/>
    <w:rsid w:val="0022362C"/>
    <w:rsid w:val="002238C3"/>
    <w:rsid w:val="00223A0F"/>
    <w:rsid w:val="00223B40"/>
    <w:rsid w:val="0022401D"/>
    <w:rsid w:val="002241DE"/>
    <w:rsid w:val="002244B5"/>
    <w:rsid w:val="00224839"/>
    <w:rsid w:val="002249B2"/>
    <w:rsid w:val="00224C65"/>
    <w:rsid w:val="00224EEC"/>
    <w:rsid w:val="0022546B"/>
    <w:rsid w:val="00225488"/>
    <w:rsid w:val="002256AF"/>
    <w:rsid w:val="00225E74"/>
    <w:rsid w:val="00225FA5"/>
    <w:rsid w:val="00226574"/>
    <w:rsid w:val="00226939"/>
    <w:rsid w:val="00226ABF"/>
    <w:rsid w:val="00226FD2"/>
    <w:rsid w:val="00227143"/>
    <w:rsid w:val="002278EC"/>
    <w:rsid w:val="002300B5"/>
    <w:rsid w:val="002301D2"/>
    <w:rsid w:val="002301F5"/>
    <w:rsid w:val="0023052D"/>
    <w:rsid w:val="0023067B"/>
    <w:rsid w:val="00230AF8"/>
    <w:rsid w:val="00230C84"/>
    <w:rsid w:val="00230E19"/>
    <w:rsid w:val="002310DA"/>
    <w:rsid w:val="002311E8"/>
    <w:rsid w:val="00231270"/>
    <w:rsid w:val="002313EC"/>
    <w:rsid w:val="00231CBF"/>
    <w:rsid w:val="00232031"/>
    <w:rsid w:val="002321EC"/>
    <w:rsid w:val="002326C9"/>
    <w:rsid w:val="0023271C"/>
    <w:rsid w:val="00232792"/>
    <w:rsid w:val="0023280E"/>
    <w:rsid w:val="00232B36"/>
    <w:rsid w:val="00232D51"/>
    <w:rsid w:val="00232F5B"/>
    <w:rsid w:val="00233259"/>
    <w:rsid w:val="00233FC7"/>
    <w:rsid w:val="00234A4E"/>
    <w:rsid w:val="00234BC8"/>
    <w:rsid w:val="00235490"/>
    <w:rsid w:val="00235AC7"/>
    <w:rsid w:val="00235B1B"/>
    <w:rsid w:val="00235B72"/>
    <w:rsid w:val="00235EBD"/>
    <w:rsid w:val="00236260"/>
    <w:rsid w:val="00236407"/>
    <w:rsid w:val="002366BE"/>
    <w:rsid w:val="00236E8E"/>
    <w:rsid w:val="00236F1B"/>
    <w:rsid w:val="002372EB"/>
    <w:rsid w:val="002373E6"/>
    <w:rsid w:val="002377D1"/>
    <w:rsid w:val="002378DE"/>
    <w:rsid w:val="0023797B"/>
    <w:rsid w:val="00240782"/>
    <w:rsid w:val="00241A14"/>
    <w:rsid w:val="00241D16"/>
    <w:rsid w:val="00241EF4"/>
    <w:rsid w:val="0024238C"/>
    <w:rsid w:val="00242F20"/>
    <w:rsid w:val="00243232"/>
    <w:rsid w:val="00243B30"/>
    <w:rsid w:val="00243B6F"/>
    <w:rsid w:val="00243E47"/>
    <w:rsid w:val="002445C7"/>
    <w:rsid w:val="00245337"/>
    <w:rsid w:val="0024598A"/>
    <w:rsid w:val="00245A3C"/>
    <w:rsid w:val="00245D40"/>
    <w:rsid w:val="00246015"/>
    <w:rsid w:val="0024690A"/>
    <w:rsid w:val="00246F7F"/>
    <w:rsid w:val="00247436"/>
    <w:rsid w:val="00247624"/>
    <w:rsid w:val="002476C8"/>
    <w:rsid w:val="00247B91"/>
    <w:rsid w:val="0025030F"/>
    <w:rsid w:val="002506BC"/>
    <w:rsid w:val="00251477"/>
    <w:rsid w:val="00251959"/>
    <w:rsid w:val="002519B8"/>
    <w:rsid w:val="00252173"/>
    <w:rsid w:val="00252278"/>
    <w:rsid w:val="0025298D"/>
    <w:rsid w:val="00252B03"/>
    <w:rsid w:val="00252C52"/>
    <w:rsid w:val="00252C74"/>
    <w:rsid w:val="00252D4E"/>
    <w:rsid w:val="002531F2"/>
    <w:rsid w:val="00253586"/>
    <w:rsid w:val="00253699"/>
    <w:rsid w:val="002536C5"/>
    <w:rsid w:val="00253AD6"/>
    <w:rsid w:val="00253F74"/>
    <w:rsid w:val="0025409F"/>
    <w:rsid w:val="00254310"/>
    <w:rsid w:val="00254326"/>
    <w:rsid w:val="00254345"/>
    <w:rsid w:val="0025445F"/>
    <w:rsid w:val="0025464D"/>
    <w:rsid w:val="00254F07"/>
    <w:rsid w:val="002551A5"/>
    <w:rsid w:val="0025531C"/>
    <w:rsid w:val="00255325"/>
    <w:rsid w:val="002554B6"/>
    <w:rsid w:val="0025555C"/>
    <w:rsid w:val="00255600"/>
    <w:rsid w:val="00255834"/>
    <w:rsid w:val="00255A56"/>
    <w:rsid w:val="00255AEC"/>
    <w:rsid w:val="00255B51"/>
    <w:rsid w:val="00256148"/>
    <w:rsid w:val="00256175"/>
    <w:rsid w:val="002564BB"/>
    <w:rsid w:val="00256AA4"/>
    <w:rsid w:val="00256B11"/>
    <w:rsid w:val="00256B94"/>
    <w:rsid w:val="0025740D"/>
    <w:rsid w:val="002574FF"/>
    <w:rsid w:val="00257FC1"/>
    <w:rsid w:val="00260B09"/>
    <w:rsid w:val="00260D16"/>
    <w:rsid w:val="00260DD2"/>
    <w:rsid w:val="0026108A"/>
    <w:rsid w:val="002616B9"/>
    <w:rsid w:val="002616FE"/>
    <w:rsid w:val="00261727"/>
    <w:rsid w:val="002618C3"/>
    <w:rsid w:val="00261B95"/>
    <w:rsid w:val="00261C81"/>
    <w:rsid w:val="00261E79"/>
    <w:rsid w:val="00262408"/>
    <w:rsid w:val="002627F3"/>
    <w:rsid w:val="00262A75"/>
    <w:rsid w:val="00262DB3"/>
    <w:rsid w:val="002636A6"/>
    <w:rsid w:val="0026417E"/>
    <w:rsid w:val="00264249"/>
    <w:rsid w:val="002642FE"/>
    <w:rsid w:val="00264557"/>
    <w:rsid w:val="00264F67"/>
    <w:rsid w:val="002652AB"/>
    <w:rsid w:val="00265CF8"/>
    <w:rsid w:val="0026602C"/>
    <w:rsid w:val="002663FB"/>
    <w:rsid w:val="0026662C"/>
    <w:rsid w:val="002669E2"/>
    <w:rsid w:val="00266A05"/>
    <w:rsid w:val="0026717A"/>
    <w:rsid w:val="002672BE"/>
    <w:rsid w:val="00267652"/>
    <w:rsid w:val="00267677"/>
    <w:rsid w:val="0026770A"/>
    <w:rsid w:val="002677C4"/>
    <w:rsid w:val="00267A04"/>
    <w:rsid w:val="00270210"/>
    <w:rsid w:val="002702B8"/>
    <w:rsid w:val="00270381"/>
    <w:rsid w:val="002705FB"/>
    <w:rsid w:val="0027100B"/>
    <w:rsid w:val="00271100"/>
    <w:rsid w:val="002711E6"/>
    <w:rsid w:val="0027123D"/>
    <w:rsid w:val="0027154E"/>
    <w:rsid w:val="00271875"/>
    <w:rsid w:val="0027233D"/>
    <w:rsid w:val="00272365"/>
    <w:rsid w:val="00272558"/>
    <w:rsid w:val="002725F8"/>
    <w:rsid w:val="002727AC"/>
    <w:rsid w:val="0027282C"/>
    <w:rsid w:val="00272C3F"/>
    <w:rsid w:val="00272C59"/>
    <w:rsid w:val="002736DE"/>
    <w:rsid w:val="0027402D"/>
    <w:rsid w:val="00274329"/>
    <w:rsid w:val="002743BD"/>
    <w:rsid w:val="002747F0"/>
    <w:rsid w:val="00275091"/>
    <w:rsid w:val="0027535E"/>
    <w:rsid w:val="00275373"/>
    <w:rsid w:val="0027555C"/>
    <w:rsid w:val="00275BB1"/>
    <w:rsid w:val="00275E37"/>
    <w:rsid w:val="00275FF9"/>
    <w:rsid w:val="00276075"/>
    <w:rsid w:val="00276165"/>
    <w:rsid w:val="00276689"/>
    <w:rsid w:val="00276758"/>
    <w:rsid w:val="00276E3A"/>
    <w:rsid w:val="00280044"/>
    <w:rsid w:val="002800EA"/>
    <w:rsid w:val="002802EB"/>
    <w:rsid w:val="00280325"/>
    <w:rsid w:val="002805AB"/>
    <w:rsid w:val="00280AF6"/>
    <w:rsid w:val="00281423"/>
    <w:rsid w:val="00281F21"/>
    <w:rsid w:val="002824D0"/>
    <w:rsid w:val="002825DC"/>
    <w:rsid w:val="00282F78"/>
    <w:rsid w:val="0028320E"/>
    <w:rsid w:val="00283903"/>
    <w:rsid w:val="00284204"/>
    <w:rsid w:val="002843B7"/>
    <w:rsid w:val="002843EC"/>
    <w:rsid w:val="00284595"/>
    <w:rsid w:val="002845FF"/>
    <w:rsid w:val="00284ADC"/>
    <w:rsid w:val="00284E08"/>
    <w:rsid w:val="00284F6C"/>
    <w:rsid w:val="0028562D"/>
    <w:rsid w:val="002861A9"/>
    <w:rsid w:val="0028638F"/>
    <w:rsid w:val="0028648D"/>
    <w:rsid w:val="002865DB"/>
    <w:rsid w:val="00286817"/>
    <w:rsid w:val="00286F6D"/>
    <w:rsid w:val="002871DE"/>
    <w:rsid w:val="002876C4"/>
    <w:rsid w:val="00287A70"/>
    <w:rsid w:val="0029041F"/>
    <w:rsid w:val="0029058B"/>
    <w:rsid w:val="0029135E"/>
    <w:rsid w:val="00291773"/>
    <w:rsid w:val="002918E5"/>
    <w:rsid w:val="00291A74"/>
    <w:rsid w:val="00291AAB"/>
    <w:rsid w:val="00291AE6"/>
    <w:rsid w:val="00292163"/>
    <w:rsid w:val="002926A1"/>
    <w:rsid w:val="00292776"/>
    <w:rsid w:val="00292D27"/>
    <w:rsid w:val="002933B1"/>
    <w:rsid w:val="002936DA"/>
    <w:rsid w:val="0029373C"/>
    <w:rsid w:val="00293CB4"/>
    <w:rsid w:val="00293D47"/>
    <w:rsid w:val="00293DB2"/>
    <w:rsid w:val="0029414B"/>
    <w:rsid w:val="0029416B"/>
    <w:rsid w:val="002944B5"/>
    <w:rsid w:val="00294890"/>
    <w:rsid w:val="00294B6D"/>
    <w:rsid w:val="002950FD"/>
    <w:rsid w:val="002956D0"/>
    <w:rsid w:val="00295932"/>
    <w:rsid w:val="00295A6D"/>
    <w:rsid w:val="00295C9D"/>
    <w:rsid w:val="00295C9F"/>
    <w:rsid w:val="00295D8C"/>
    <w:rsid w:val="0029655A"/>
    <w:rsid w:val="002968A6"/>
    <w:rsid w:val="002968A7"/>
    <w:rsid w:val="0029690F"/>
    <w:rsid w:val="00296BCA"/>
    <w:rsid w:val="00296CF6"/>
    <w:rsid w:val="00296EF5"/>
    <w:rsid w:val="002977F6"/>
    <w:rsid w:val="00297D75"/>
    <w:rsid w:val="002A001F"/>
    <w:rsid w:val="002A022C"/>
    <w:rsid w:val="002A0276"/>
    <w:rsid w:val="002A0412"/>
    <w:rsid w:val="002A1339"/>
    <w:rsid w:val="002A141D"/>
    <w:rsid w:val="002A1579"/>
    <w:rsid w:val="002A168C"/>
    <w:rsid w:val="002A18AA"/>
    <w:rsid w:val="002A2878"/>
    <w:rsid w:val="002A29DA"/>
    <w:rsid w:val="002A2AF5"/>
    <w:rsid w:val="002A2FC3"/>
    <w:rsid w:val="002A3019"/>
    <w:rsid w:val="002A3076"/>
    <w:rsid w:val="002A31CE"/>
    <w:rsid w:val="002A3264"/>
    <w:rsid w:val="002A34E8"/>
    <w:rsid w:val="002A37F5"/>
    <w:rsid w:val="002A3947"/>
    <w:rsid w:val="002A3DC7"/>
    <w:rsid w:val="002A407E"/>
    <w:rsid w:val="002A43CB"/>
    <w:rsid w:val="002A4868"/>
    <w:rsid w:val="002A4DF3"/>
    <w:rsid w:val="002A572D"/>
    <w:rsid w:val="002A5D6F"/>
    <w:rsid w:val="002A6219"/>
    <w:rsid w:val="002A6346"/>
    <w:rsid w:val="002A6759"/>
    <w:rsid w:val="002A67B6"/>
    <w:rsid w:val="002A6933"/>
    <w:rsid w:val="002A6A25"/>
    <w:rsid w:val="002A6B5C"/>
    <w:rsid w:val="002A6DD3"/>
    <w:rsid w:val="002A6E37"/>
    <w:rsid w:val="002A74D1"/>
    <w:rsid w:val="002A7B13"/>
    <w:rsid w:val="002A7C69"/>
    <w:rsid w:val="002A7CC5"/>
    <w:rsid w:val="002B10AC"/>
    <w:rsid w:val="002B10DC"/>
    <w:rsid w:val="002B14EA"/>
    <w:rsid w:val="002B16DE"/>
    <w:rsid w:val="002B18EC"/>
    <w:rsid w:val="002B2165"/>
    <w:rsid w:val="002B242D"/>
    <w:rsid w:val="002B3A29"/>
    <w:rsid w:val="002B3E5C"/>
    <w:rsid w:val="002B44F0"/>
    <w:rsid w:val="002B4520"/>
    <w:rsid w:val="002B456B"/>
    <w:rsid w:val="002B46FE"/>
    <w:rsid w:val="002B497C"/>
    <w:rsid w:val="002B49DB"/>
    <w:rsid w:val="002B49E2"/>
    <w:rsid w:val="002B4DD6"/>
    <w:rsid w:val="002B5623"/>
    <w:rsid w:val="002B5773"/>
    <w:rsid w:val="002B57D4"/>
    <w:rsid w:val="002B63A0"/>
    <w:rsid w:val="002B6551"/>
    <w:rsid w:val="002B6625"/>
    <w:rsid w:val="002B6E6E"/>
    <w:rsid w:val="002B702C"/>
    <w:rsid w:val="002B73A4"/>
    <w:rsid w:val="002B74D6"/>
    <w:rsid w:val="002B7B00"/>
    <w:rsid w:val="002B7C44"/>
    <w:rsid w:val="002B7E29"/>
    <w:rsid w:val="002C0074"/>
    <w:rsid w:val="002C036A"/>
    <w:rsid w:val="002C0DCD"/>
    <w:rsid w:val="002C1706"/>
    <w:rsid w:val="002C1A80"/>
    <w:rsid w:val="002C207F"/>
    <w:rsid w:val="002C20F3"/>
    <w:rsid w:val="002C213D"/>
    <w:rsid w:val="002C227B"/>
    <w:rsid w:val="002C23A6"/>
    <w:rsid w:val="002C23FF"/>
    <w:rsid w:val="002C27B4"/>
    <w:rsid w:val="002C287E"/>
    <w:rsid w:val="002C2B17"/>
    <w:rsid w:val="002C2DF9"/>
    <w:rsid w:val="002C2E94"/>
    <w:rsid w:val="002C2FA0"/>
    <w:rsid w:val="002C330D"/>
    <w:rsid w:val="002C33D8"/>
    <w:rsid w:val="002C3493"/>
    <w:rsid w:val="002C35E3"/>
    <w:rsid w:val="002C39A8"/>
    <w:rsid w:val="002C3B30"/>
    <w:rsid w:val="002C3C63"/>
    <w:rsid w:val="002C4119"/>
    <w:rsid w:val="002C41F2"/>
    <w:rsid w:val="002C4647"/>
    <w:rsid w:val="002C482D"/>
    <w:rsid w:val="002C498D"/>
    <w:rsid w:val="002C49CF"/>
    <w:rsid w:val="002C4A65"/>
    <w:rsid w:val="002C50BF"/>
    <w:rsid w:val="002C64AE"/>
    <w:rsid w:val="002C64F5"/>
    <w:rsid w:val="002C6906"/>
    <w:rsid w:val="002C6917"/>
    <w:rsid w:val="002C6BF4"/>
    <w:rsid w:val="002C6C94"/>
    <w:rsid w:val="002C73CB"/>
    <w:rsid w:val="002C7DAF"/>
    <w:rsid w:val="002D0115"/>
    <w:rsid w:val="002D1DAC"/>
    <w:rsid w:val="002D2749"/>
    <w:rsid w:val="002D28B0"/>
    <w:rsid w:val="002D2E8B"/>
    <w:rsid w:val="002D3093"/>
    <w:rsid w:val="002D3728"/>
    <w:rsid w:val="002D3B31"/>
    <w:rsid w:val="002D3CE0"/>
    <w:rsid w:val="002D3DD0"/>
    <w:rsid w:val="002D43B4"/>
    <w:rsid w:val="002D4481"/>
    <w:rsid w:val="002D469F"/>
    <w:rsid w:val="002D501C"/>
    <w:rsid w:val="002D5377"/>
    <w:rsid w:val="002D53E0"/>
    <w:rsid w:val="002D5879"/>
    <w:rsid w:val="002D5D6C"/>
    <w:rsid w:val="002D67C4"/>
    <w:rsid w:val="002D6B47"/>
    <w:rsid w:val="002D713F"/>
    <w:rsid w:val="002D7547"/>
    <w:rsid w:val="002D7A49"/>
    <w:rsid w:val="002D7BAC"/>
    <w:rsid w:val="002D7C40"/>
    <w:rsid w:val="002E046A"/>
    <w:rsid w:val="002E0635"/>
    <w:rsid w:val="002E06E6"/>
    <w:rsid w:val="002E0D48"/>
    <w:rsid w:val="002E11EB"/>
    <w:rsid w:val="002E15D1"/>
    <w:rsid w:val="002E1673"/>
    <w:rsid w:val="002E1716"/>
    <w:rsid w:val="002E1F3A"/>
    <w:rsid w:val="002E21CE"/>
    <w:rsid w:val="002E298A"/>
    <w:rsid w:val="002E2D81"/>
    <w:rsid w:val="002E3189"/>
    <w:rsid w:val="002E3A3C"/>
    <w:rsid w:val="002E3F01"/>
    <w:rsid w:val="002E40AF"/>
    <w:rsid w:val="002E44B2"/>
    <w:rsid w:val="002E4609"/>
    <w:rsid w:val="002E4A71"/>
    <w:rsid w:val="002E4CAF"/>
    <w:rsid w:val="002E5199"/>
    <w:rsid w:val="002E55DB"/>
    <w:rsid w:val="002E5803"/>
    <w:rsid w:val="002E5964"/>
    <w:rsid w:val="002E5AEC"/>
    <w:rsid w:val="002E6017"/>
    <w:rsid w:val="002E657F"/>
    <w:rsid w:val="002E7419"/>
    <w:rsid w:val="002E7842"/>
    <w:rsid w:val="002E7E10"/>
    <w:rsid w:val="002F0138"/>
    <w:rsid w:val="002F0266"/>
    <w:rsid w:val="002F05F0"/>
    <w:rsid w:val="002F077E"/>
    <w:rsid w:val="002F089D"/>
    <w:rsid w:val="002F097C"/>
    <w:rsid w:val="002F0C21"/>
    <w:rsid w:val="002F102A"/>
    <w:rsid w:val="002F1331"/>
    <w:rsid w:val="002F1473"/>
    <w:rsid w:val="002F190C"/>
    <w:rsid w:val="002F19D8"/>
    <w:rsid w:val="002F1B0A"/>
    <w:rsid w:val="002F1BD4"/>
    <w:rsid w:val="002F1DB5"/>
    <w:rsid w:val="002F2535"/>
    <w:rsid w:val="002F2920"/>
    <w:rsid w:val="002F29F0"/>
    <w:rsid w:val="002F2D02"/>
    <w:rsid w:val="002F3036"/>
    <w:rsid w:val="002F304F"/>
    <w:rsid w:val="002F3127"/>
    <w:rsid w:val="002F39A2"/>
    <w:rsid w:val="002F4044"/>
    <w:rsid w:val="002F46C5"/>
    <w:rsid w:val="002F47CC"/>
    <w:rsid w:val="002F5535"/>
    <w:rsid w:val="002F55C4"/>
    <w:rsid w:val="002F5A38"/>
    <w:rsid w:val="002F5A66"/>
    <w:rsid w:val="002F5BD6"/>
    <w:rsid w:val="002F5C77"/>
    <w:rsid w:val="002F611E"/>
    <w:rsid w:val="002F6133"/>
    <w:rsid w:val="002F61ED"/>
    <w:rsid w:val="002F6282"/>
    <w:rsid w:val="002F6407"/>
    <w:rsid w:val="002F6750"/>
    <w:rsid w:val="002F67E8"/>
    <w:rsid w:val="002F67EB"/>
    <w:rsid w:val="002F6BB0"/>
    <w:rsid w:val="002F6CFD"/>
    <w:rsid w:val="002F7034"/>
    <w:rsid w:val="002F728F"/>
    <w:rsid w:val="002F7F98"/>
    <w:rsid w:val="0030063A"/>
    <w:rsid w:val="00300A1F"/>
    <w:rsid w:val="00300BB7"/>
    <w:rsid w:val="00301702"/>
    <w:rsid w:val="0030172C"/>
    <w:rsid w:val="0030186A"/>
    <w:rsid w:val="00301978"/>
    <w:rsid w:val="00302002"/>
    <w:rsid w:val="0030248C"/>
    <w:rsid w:val="00302898"/>
    <w:rsid w:val="00302BCA"/>
    <w:rsid w:val="00302CBF"/>
    <w:rsid w:val="00302DAE"/>
    <w:rsid w:val="00302F11"/>
    <w:rsid w:val="003032EB"/>
    <w:rsid w:val="0030332C"/>
    <w:rsid w:val="003034B1"/>
    <w:rsid w:val="003036F8"/>
    <w:rsid w:val="003041FD"/>
    <w:rsid w:val="003042EF"/>
    <w:rsid w:val="003051C2"/>
    <w:rsid w:val="0030544F"/>
    <w:rsid w:val="003055BC"/>
    <w:rsid w:val="00305735"/>
    <w:rsid w:val="00305B00"/>
    <w:rsid w:val="003060CC"/>
    <w:rsid w:val="00306125"/>
    <w:rsid w:val="003062E6"/>
    <w:rsid w:val="00306A47"/>
    <w:rsid w:val="0030706B"/>
    <w:rsid w:val="00307C91"/>
    <w:rsid w:val="00307F85"/>
    <w:rsid w:val="0031054C"/>
    <w:rsid w:val="003105D3"/>
    <w:rsid w:val="0031098C"/>
    <w:rsid w:val="00310C27"/>
    <w:rsid w:val="00310C7E"/>
    <w:rsid w:val="00310D46"/>
    <w:rsid w:val="0031128D"/>
    <w:rsid w:val="00312296"/>
    <w:rsid w:val="003123AF"/>
    <w:rsid w:val="003123BF"/>
    <w:rsid w:val="003125BD"/>
    <w:rsid w:val="00312991"/>
    <w:rsid w:val="00312D4B"/>
    <w:rsid w:val="00312D62"/>
    <w:rsid w:val="003130C6"/>
    <w:rsid w:val="0031313D"/>
    <w:rsid w:val="0031332E"/>
    <w:rsid w:val="0031384A"/>
    <w:rsid w:val="00313A4B"/>
    <w:rsid w:val="00313AD4"/>
    <w:rsid w:val="00313C23"/>
    <w:rsid w:val="00313C3E"/>
    <w:rsid w:val="00313EA8"/>
    <w:rsid w:val="00314456"/>
    <w:rsid w:val="0031475A"/>
    <w:rsid w:val="00314ED9"/>
    <w:rsid w:val="00314F0E"/>
    <w:rsid w:val="003152F4"/>
    <w:rsid w:val="00315A3F"/>
    <w:rsid w:val="00315C14"/>
    <w:rsid w:val="00315E86"/>
    <w:rsid w:val="00315F5A"/>
    <w:rsid w:val="003163A7"/>
    <w:rsid w:val="0031661F"/>
    <w:rsid w:val="00316B32"/>
    <w:rsid w:val="00316C36"/>
    <w:rsid w:val="00316F82"/>
    <w:rsid w:val="00317159"/>
    <w:rsid w:val="00317A8F"/>
    <w:rsid w:val="00317F03"/>
    <w:rsid w:val="0032006F"/>
    <w:rsid w:val="0032024C"/>
    <w:rsid w:val="0032057F"/>
    <w:rsid w:val="00320E2B"/>
    <w:rsid w:val="00320E6B"/>
    <w:rsid w:val="00320ECD"/>
    <w:rsid w:val="0032113A"/>
    <w:rsid w:val="003216BA"/>
    <w:rsid w:val="00321BA1"/>
    <w:rsid w:val="00321D8E"/>
    <w:rsid w:val="00322382"/>
    <w:rsid w:val="00322733"/>
    <w:rsid w:val="00322B7A"/>
    <w:rsid w:val="00322DE0"/>
    <w:rsid w:val="0032385A"/>
    <w:rsid w:val="00323A79"/>
    <w:rsid w:val="00323C11"/>
    <w:rsid w:val="00323CAF"/>
    <w:rsid w:val="003243F4"/>
    <w:rsid w:val="00324DEC"/>
    <w:rsid w:val="00324E24"/>
    <w:rsid w:val="00325857"/>
    <w:rsid w:val="00325928"/>
    <w:rsid w:val="00325C7F"/>
    <w:rsid w:val="00325EBD"/>
    <w:rsid w:val="00325F15"/>
    <w:rsid w:val="00326477"/>
    <w:rsid w:val="00326DE7"/>
    <w:rsid w:val="0032793E"/>
    <w:rsid w:val="0032795D"/>
    <w:rsid w:val="00327A13"/>
    <w:rsid w:val="00327FB1"/>
    <w:rsid w:val="003300DB"/>
    <w:rsid w:val="00330232"/>
    <w:rsid w:val="00330C13"/>
    <w:rsid w:val="00330CC5"/>
    <w:rsid w:val="003311E9"/>
    <w:rsid w:val="00331287"/>
    <w:rsid w:val="0033199A"/>
    <w:rsid w:val="00331A99"/>
    <w:rsid w:val="003321C2"/>
    <w:rsid w:val="00332762"/>
    <w:rsid w:val="00332863"/>
    <w:rsid w:val="00332DED"/>
    <w:rsid w:val="003331CA"/>
    <w:rsid w:val="003333DE"/>
    <w:rsid w:val="003335B4"/>
    <w:rsid w:val="0033377E"/>
    <w:rsid w:val="003337B9"/>
    <w:rsid w:val="0033391A"/>
    <w:rsid w:val="00333AD4"/>
    <w:rsid w:val="00334660"/>
    <w:rsid w:val="00334987"/>
    <w:rsid w:val="00334EC6"/>
    <w:rsid w:val="00334FBF"/>
    <w:rsid w:val="0033508E"/>
    <w:rsid w:val="00335167"/>
    <w:rsid w:val="003356F4"/>
    <w:rsid w:val="003357A9"/>
    <w:rsid w:val="00335984"/>
    <w:rsid w:val="00335AED"/>
    <w:rsid w:val="00335E13"/>
    <w:rsid w:val="003361EE"/>
    <w:rsid w:val="0033684D"/>
    <w:rsid w:val="00336E86"/>
    <w:rsid w:val="00336ED7"/>
    <w:rsid w:val="00337582"/>
    <w:rsid w:val="0033796D"/>
    <w:rsid w:val="00337B42"/>
    <w:rsid w:val="00337CA4"/>
    <w:rsid w:val="00337CD1"/>
    <w:rsid w:val="003403D5"/>
    <w:rsid w:val="00340658"/>
    <w:rsid w:val="0034092F"/>
    <w:rsid w:val="0034105A"/>
    <w:rsid w:val="00341257"/>
    <w:rsid w:val="00341367"/>
    <w:rsid w:val="00341B42"/>
    <w:rsid w:val="00341CFB"/>
    <w:rsid w:val="003421E4"/>
    <w:rsid w:val="003427FA"/>
    <w:rsid w:val="003431D6"/>
    <w:rsid w:val="003433CC"/>
    <w:rsid w:val="003433F4"/>
    <w:rsid w:val="0034348F"/>
    <w:rsid w:val="00343A23"/>
    <w:rsid w:val="00343B90"/>
    <w:rsid w:val="00343DD9"/>
    <w:rsid w:val="00344F04"/>
    <w:rsid w:val="003450A4"/>
    <w:rsid w:val="003453E4"/>
    <w:rsid w:val="003458EB"/>
    <w:rsid w:val="00345CD4"/>
    <w:rsid w:val="00346590"/>
    <w:rsid w:val="003467D1"/>
    <w:rsid w:val="0034686E"/>
    <w:rsid w:val="00346899"/>
    <w:rsid w:val="00346F7E"/>
    <w:rsid w:val="0035035C"/>
    <w:rsid w:val="0035093B"/>
    <w:rsid w:val="00350BE7"/>
    <w:rsid w:val="00350EEC"/>
    <w:rsid w:val="00350FB3"/>
    <w:rsid w:val="003511A5"/>
    <w:rsid w:val="00351666"/>
    <w:rsid w:val="00351781"/>
    <w:rsid w:val="00351F7F"/>
    <w:rsid w:val="0035234E"/>
    <w:rsid w:val="00352FB7"/>
    <w:rsid w:val="00352FE2"/>
    <w:rsid w:val="00353080"/>
    <w:rsid w:val="003531E5"/>
    <w:rsid w:val="003532FE"/>
    <w:rsid w:val="00353985"/>
    <w:rsid w:val="00353D4A"/>
    <w:rsid w:val="003541EB"/>
    <w:rsid w:val="003542BF"/>
    <w:rsid w:val="0035461E"/>
    <w:rsid w:val="003547B4"/>
    <w:rsid w:val="00354899"/>
    <w:rsid w:val="00354F12"/>
    <w:rsid w:val="00355027"/>
    <w:rsid w:val="0035536A"/>
    <w:rsid w:val="003555C3"/>
    <w:rsid w:val="003555D5"/>
    <w:rsid w:val="00355C13"/>
    <w:rsid w:val="00356195"/>
    <w:rsid w:val="00356653"/>
    <w:rsid w:val="00356B36"/>
    <w:rsid w:val="0035743F"/>
    <w:rsid w:val="00357660"/>
    <w:rsid w:val="00357BE2"/>
    <w:rsid w:val="00357CE3"/>
    <w:rsid w:val="00357F41"/>
    <w:rsid w:val="003601EE"/>
    <w:rsid w:val="003602E9"/>
    <w:rsid w:val="0036061F"/>
    <w:rsid w:val="00360B05"/>
    <w:rsid w:val="00360C69"/>
    <w:rsid w:val="00360CF2"/>
    <w:rsid w:val="003615C3"/>
    <w:rsid w:val="0036170C"/>
    <w:rsid w:val="003618E0"/>
    <w:rsid w:val="00361E8E"/>
    <w:rsid w:val="0036205C"/>
    <w:rsid w:val="0036226F"/>
    <w:rsid w:val="00362340"/>
    <w:rsid w:val="00362A71"/>
    <w:rsid w:val="00362FFD"/>
    <w:rsid w:val="00363461"/>
    <w:rsid w:val="00363660"/>
    <w:rsid w:val="00363718"/>
    <w:rsid w:val="003637E8"/>
    <w:rsid w:val="00363993"/>
    <w:rsid w:val="00364157"/>
    <w:rsid w:val="0036448E"/>
    <w:rsid w:val="003645AA"/>
    <w:rsid w:val="003646C2"/>
    <w:rsid w:val="00364F50"/>
    <w:rsid w:val="0036549F"/>
    <w:rsid w:val="00365767"/>
    <w:rsid w:val="0036581F"/>
    <w:rsid w:val="00365901"/>
    <w:rsid w:val="00365D94"/>
    <w:rsid w:val="003661E0"/>
    <w:rsid w:val="00366201"/>
    <w:rsid w:val="00366304"/>
    <w:rsid w:val="0036699C"/>
    <w:rsid w:val="00366E0F"/>
    <w:rsid w:val="00367290"/>
    <w:rsid w:val="003677CA"/>
    <w:rsid w:val="00367867"/>
    <w:rsid w:val="0036794F"/>
    <w:rsid w:val="00367D47"/>
    <w:rsid w:val="003701DD"/>
    <w:rsid w:val="003701E4"/>
    <w:rsid w:val="00370667"/>
    <w:rsid w:val="0037072B"/>
    <w:rsid w:val="00370BA0"/>
    <w:rsid w:val="00370DEE"/>
    <w:rsid w:val="00371241"/>
    <w:rsid w:val="00371564"/>
    <w:rsid w:val="003715B7"/>
    <w:rsid w:val="0037194D"/>
    <w:rsid w:val="00371BFA"/>
    <w:rsid w:val="00371C79"/>
    <w:rsid w:val="00371F1D"/>
    <w:rsid w:val="003720A0"/>
    <w:rsid w:val="00372457"/>
    <w:rsid w:val="003727F4"/>
    <w:rsid w:val="003729EF"/>
    <w:rsid w:val="00372CE5"/>
    <w:rsid w:val="00373011"/>
    <w:rsid w:val="003739C8"/>
    <w:rsid w:val="00373BE4"/>
    <w:rsid w:val="00373D85"/>
    <w:rsid w:val="00373EA9"/>
    <w:rsid w:val="00374090"/>
    <w:rsid w:val="0037442E"/>
    <w:rsid w:val="003747B4"/>
    <w:rsid w:val="00374BF3"/>
    <w:rsid w:val="00374D21"/>
    <w:rsid w:val="00374D6E"/>
    <w:rsid w:val="00374DEB"/>
    <w:rsid w:val="00374F41"/>
    <w:rsid w:val="00375B1E"/>
    <w:rsid w:val="00375B33"/>
    <w:rsid w:val="00375D91"/>
    <w:rsid w:val="0037665B"/>
    <w:rsid w:val="0037668C"/>
    <w:rsid w:val="00376F82"/>
    <w:rsid w:val="003772FC"/>
    <w:rsid w:val="0037751B"/>
    <w:rsid w:val="003777E9"/>
    <w:rsid w:val="00377D48"/>
    <w:rsid w:val="00377E3C"/>
    <w:rsid w:val="00377F53"/>
    <w:rsid w:val="003800F4"/>
    <w:rsid w:val="0038026E"/>
    <w:rsid w:val="00380A94"/>
    <w:rsid w:val="00380C5C"/>
    <w:rsid w:val="00380CC4"/>
    <w:rsid w:val="00381426"/>
    <w:rsid w:val="003818B1"/>
    <w:rsid w:val="00381A72"/>
    <w:rsid w:val="00381E6F"/>
    <w:rsid w:val="00382122"/>
    <w:rsid w:val="00382942"/>
    <w:rsid w:val="00382DCA"/>
    <w:rsid w:val="00383239"/>
    <w:rsid w:val="003835E4"/>
    <w:rsid w:val="0038403F"/>
    <w:rsid w:val="003845D8"/>
    <w:rsid w:val="00384676"/>
    <w:rsid w:val="00384789"/>
    <w:rsid w:val="00384944"/>
    <w:rsid w:val="00384B6C"/>
    <w:rsid w:val="003853CA"/>
    <w:rsid w:val="003856E0"/>
    <w:rsid w:val="003857D3"/>
    <w:rsid w:val="00386397"/>
    <w:rsid w:val="00386752"/>
    <w:rsid w:val="00386AB1"/>
    <w:rsid w:val="00386AD7"/>
    <w:rsid w:val="00386F26"/>
    <w:rsid w:val="0038709E"/>
    <w:rsid w:val="003877F4"/>
    <w:rsid w:val="00390829"/>
    <w:rsid w:val="00390857"/>
    <w:rsid w:val="00390DCE"/>
    <w:rsid w:val="00390DDD"/>
    <w:rsid w:val="003914E8"/>
    <w:rsid w:val="003917C1"/>
    <w:rsid w:val="00391B32"/>
    <w:rsid w:val="00391BBB"/>
    <w:rsid w:val="00391C1D"/>
    <w:rsid w:val="00391F29"/>
    <w:rsid w:val="003928F3"/>
    <w:rsid w:val="00392AC9"/>
    <w:rsid w:val="00392DF8"/>
    <w:rsid w:val="00392E6F"/>
    <w:rsid w:val="00393312"/>
    <w:rsid w:val="00393CFF"/>
    <w:rsid w:val="0039435E"/>
    <w:rsid w:val="003948FA"/>
    <w:rsid w:val="00394B3E"/>
    <w:rsid w:val="00394C66"/>
    <w:rsid w:val="003953EF"/>
    <w:rsid w:val="0039544D"/>
    <w:rsid w:val="00395783"/>
    <w:rsid w:val="00395B05"/>
    <w:rsid w:val="00395B4A"/>
    <w:rsid w:val="00395D48"/>
    <w:rsid w:val="00396636"/>
    <w:rsid w:val="00396E05"/>
    <w:rsid w:val="0039707B"/>
    <w:rsid w:val="00397284"/>
    <w:rsid w:val="0039735D"/>
    <w:rsid w:val="00397E80"/>
    <w:rsid w:val="003A0A56"/>
    <w:rsid w:val="003A1454"/>
    <w:rsid w:val="003A154F"/>
    <w:rsid w:val="003A162D"/>
    <w:rsid w:val="003A16F3"/>
    <w:rsid w:val="003A1C15"/>
    <w:rsid w:val="003A2065"/>
    <w:rsid w:val="003A209C"/>
    <w:rsid w:val="003A2353"/>
    <w:rsid w:val="003A2890"/>
    <w:rsid w:val="003A2EFA"/>
    <w:rsid w:val="003A3125"/>
    <w:rsid w:val="003A3A11"/>
    <w:rsid w:val="003A3D4E"/>
    <w:rsid w:val="003A4347"/>
    <w:rsid w:val="003A4A83"/>
    <w:rsid w:val="003A4B7B"/>
    <w:rsid w:val="003A4BF3"/>
    <w:rsid w:val="003A4E29"/>
    <w:rsid w:val="003A5028"/>
    <w:rsid w:val="003A541C"/>
    <w:rsid w:val="003A576D"/>
    <w:rsid w:val="003A5B87"/>
    <w:rsid w:val="003A5F4D"/>
    <w:rsid w:val="003A6234"/>
    <w:rsid w:val="003A62D5"/>
    <w:rsid w:val="003A6399"/>
    <w:rsid w:val="003A6586"/>
    <w:rsid w:val="003A6EA4"/>
    <w:rsid w:val="003A729F"/>
    <w:rsid w:val="003B015B"/>
    <w:rsid w:val="003B02BC"/>
    <w:rsid w:val="003B041C"/>
    <w:rsid w:val="003B08CD"/>
    <w:rsid w:val="003B0AE3"/>
    <w:rsid w:val="003B0D32"/>
    <w:rsid w:val="003B0DB4"/>
    <w:rsid w:val="003B111E"/>
    <w:rsid w:val="003B14E8"/>
    <w:rsid w:val="003B1542"/>
    <w:rsid w:val="003B1740"/>
    <w:rsid w:val="003B1B91"/>
    <w:rsid w:val="003B1B9A"/>
    <w:rsid w:val="003B249B"/>
    <w:rsid w:val="003B2580"/>
    <w:rsid w:val="003B2B85"/>
    <w:rsid w:val="003B33C9"/>
    <w:rsid w:val="003B37D5"/>
    <w:rsid w:val="003B3948"/>
    <w:rsid w:val="003B39CE"/>
    <w:rsid w:val="003B3DA3"/>
    <w:rsid w:val="003B420D"/>
    <w:rsid w:val="003B4457"/>
    <w:rsid w:val="003B452B"/>
    <w:rsid w:val="003B46E6"/>
    <w:rsid w:val="003B4A5E"/>
    <w:rsid w:val="003B4DAB"/>
    <w:rsid w:val="003B4DDB"/>
    <w:rsid w:val="003B4E6A"/>
    <w:rsid w:val="003B5466"/>
    <w:rsid w:val="003B5E08"/>
    <w:rsid w:val="003B6AF4"/>
    <w:rsid w:val="003B711B"/>
    <w:rsid w:val="003B7144"/>
    <w:rsid w:val="003B7279"/>
    <w:rsid w:val="003C091D"/>
    <w:rsid w:val="003C09D9"/>
    <w:rsid w:val="003C0EBD"/>
    <w:rsid w:val="003C103E"/>
    <w:rsid w:val="003C133E"/>
    <w:rsid w:val="003C13F3"/>
    <w:rsid w:val="003C18E1"/>
    <w:rsid w:val="003C1975"/>
    <w:rsid w:val="003C1AAD"/>
    <w:rsid w:val="003C1BAB"/>
    <w:rsid w:val="003C325E"/>
    <w:rsid w:val="003C3B3A"/>
    <w:rsid w:val="003C3C94"/>
    <w:rsid w:val="003C3D88"/>
    <w:rsid w:val="003C3F00"/>
    <w:rsid w:val="003C42D3"/>
    <w:rsid w:val="003C447D"/>
    <w:rsid w:val="003C452D"/>
    <w:rsid w:val="003C50C4"/>
    <w:rsid w:val="003C55EB"/>
    <w:rsid w:val="003C572A"/>
    <w:rsid w:val="003C58A5"/>
    <w:rsid w:val="003C5D15"/>
    <w:rsid w:val="003C6375"/>
    <w:rsid w:val="003C6C10"/>
    <w:rsid w:val="003C6C16"/>
    <w:rsid w:val="003C6EF6"/>
    <w:rsid w:val="003C7592"/>
    <w:rsid w:val="003C75E5"/>
    <w:rsid w:val="003C78B3"/>
    <w:rsid w:val="003D01F7"/>
    <w:rsid w:val="003D0460"/>
    <w:rsid w:val="003D0573"/>
    <w:rsid w:val="003D07E4"/>
    <w:rsid w:val="003D096D"/>
    <w:rsid w:val="003D0B0C"/>
    <w:rsid w:val="003D1129"/>
    <w:rsid w:val="003D17EA"/>
    <w:rsid w:val="003D1F83"/>
    <w:rsid w:val="003D24F9"/>
    <w:rsid w:val="003D25A9"/>
    <w:rsid w:val="003D34AA"/>
    <w:rsid w:val="003D35C6"/>
    <w:rsid w:val="003D3C46"/>
    <w:rsid w:val="003D3D1F"/>
    <w:rsid w:val="003D3D40"/>
    <w:rsid w:val="003D40E7"/>
    <w:rsid w:val="003D4308"/>
    <w:rsid w:val="003D4A82"/>
    <w:rsid w:val="003D4F21"/>
    <w:rsid w:val="003D5322"/>
    <w:rsid w:val="003D5831"/>
    <w:rsid w:val="003D5855"/>
    <w:rsid w:val="003D6053"/>
    <w:rsid w:val="003D621E"/>
    <w:rsid w:val="003D676E"/>
    <w:rsid w:val="003D67D0"/>
    <w:rsid w:val="003D6994"/>
    <w:rsid w:val="003D6A35"/>
    <w:rsid w:val="003D6AC4"/>
    <w:rsid w:val="003D6DC0"/>
    <w:rsid w:val="003D6E99"/>
    <w:rsid w:val="003D7342"/>
    <w:rsid w:val="003D75F1"/>
    <w:rsid w:val="003D7805"/>
    <w:rsid w:val="003D794D"/>
    <w:rsid w:val="003D7B16"/>
    <w:rsid w:val="003D7B8B"/>
    <w:rsid w:val="003D7C5B"/>
    <w:rsid w:val="003E04EC"/>
    <w:rsid w:val="003E0609"/>
    <w:rsid w:val="003E07D6"/>
    <w:rsid w:val="003E0854"/>
    <w:rsid w:val="003E0A0C"/>
    <w:rsid w:val="003E0A83"/>
    <w:rsid w:val="003E0FB2"/>
    <w:rsid w:val="003E142E"/>
    <w:rsid w:val="003E1E6A"/>
    <w:rsid w:val="003E1F21"/>
    <w:rsid w:val="003E23BB"/>
    <w:rsid w:val="003E2519"/>
    <w:rsid w:val="003E2776"/>
    <w:rsid w:val="003E2902"/>
    <w:rsid w:val="003E2DC7"/>
    <w:rsid w:val="003E2E1F"/>
    <w:rsid w:val="003E2F11"/>
    <w:rsid w:val="003E3058"/>
    <w:rsid w:val="003E35E3"/>
    <w:rsid w:val="003E4009"/>
    <w:rsid w:val="003E4AF4"/>
    <w:rsid w:val="003E4B06"/>
    <w:rsid w:val="003E4BDA"/>
    <w:rsid w:val="003E4E10"/>
    <w:rsid w:val="003E589F"/>
    <w:rsid w:val="003E5AEF"/>
    <w:rsid w:val="003E5B83"/>
    <w:rsid w:val="003E5D4D"/>
    <w:rsid w:val="003E6216"/>
    <w:rsid w:val="003E62EA"/>
    <w:rsid w:val="003E6770"/>
    <w:rsid w:val="003E691A"/>
    <w:rsid w:val="003E6E8A"/>
    <w:rsid w:val="003E6ECD"/>
    <w:rsid w:val="003E76A9"/>
    <w:rsid w:val="003E76D9"/>
    <w:rsid w:val="003E78E5"/>
    <w:rsid w:val="003E7906"/>
    <w:rsid w:val="003E790F"/>
    <w:rsid w:val="003E7E75"/>
    <w:rsid w:val="003F0809"/>
    <w:rsid w:val="003F12CD"/>
    <w:rsid w:val="003F15D9"/>
    <w:rsid w:val="003F2107"/>
    <w:rsid w:val="003F27FF"/>
    <w:rsid w:val="003F2B73"/>
    <w:rsid w:val="003F2D9D"/>
    <w:rsid w:val="003F2DAA"/>
    <w:rsid w:val="003F4031"/>
    <w:rsid w:val="003F4D8D"/>
    <w:rsid w:val="003F52AE"/>
    <w:rsid w:val="003F5532"/>
    <w:rsid w:val="003F576B"/>
    <w:rsid w:val="003F5BC3"/>
    <w:rsid w:val="003F5D9F"/>
    <w:rsid w:val="003F5EBF"/>
    <w:rsid w:val="003F6A8C"/>
    <w:rsid w:val="003F6AA1"/>
    <w:rsid w:val="003F6B41"/>
    <w:rsid w:val="003F6EE5"/>
    <w:rsid w:val="003F6EF4"/>
    <w:rsid w:val="003F70C9"/>
    <w:rsid w:val="003F735F"/>
    <w:rsid w:val="003F7382"/>
    <w:rsid w:val="003F749C"/>
    <w:rsid w:val="003F7554"/>
    <w:rsid w:val="003F755C"/>
    <w:rsid w:val="00400146"/>
    <w:rsid w:val="004004FF"/>
    <w:rsid w:val="0040062A"/>
    <w:rsid w:val="004006EE"/>
    <w:rsid w:val="0040070F"/>
    <w:rsid w:val="00400840"/>
    <w:rsid w:val="00400FA1"/>
    <w:rsid w:val="00401111"/>
    <w:rsid w:val="00401471"/>
    <w:rsid w:val="00401ABF"/>
    <w:rsid w:val="00401F24"/>
    <w:rsid w:val="004020CA"/>
    <w:rsid w:val="004021C7"/>
    <w:rsid w:val="0040226D"/>
    <w:rsid w:val="004022E0"/>
    <w:rsid w:val="00402E59"/>
    <w:rsid w:val="00402FBD"/>
    <w:rsid w:val="00403110"/>
    <w:rsid w:val="00403943"/>
    <w:rsid w:val="004039F8"/>
    <w:rsid w:val="00405472"/>
    <w:rsid w:val="00405588"/>
    <w:rsid w:val="00405CF7"/>
    <w:rsid w:val="00405DB4"/>
    <w:rsid w:val="004064A5"/>
    <w:rsid w:val="004068D3"/>
    <w:rsid w:val="00406A04"/>
    <w:rsid w:val="00406F01"/>
    <w:rsid w:val="0040714B"/>
    <w:rsid w:val="00407AE8"/>
    <w:rsid w:val="00407C23"/>
    <w:rsid w:val="00407C51"/>
    <w:rsid w:val="004102C6"/>
    <w:rsid w:val="00410808"/>
    <w:rsid w:val="0041092F"/>
    <w:rsid w:val="00410F1D"/>
    <w:rsid w:val="0041117A"/>
    <w:rsid w:val="0041121F"/>
    <w:rsid w:val="00411389"/>
    <w:rsid w:val="0041149E"/>
    <w:rsid w:val="00411D20"/>
    <w:rsid w:val="00412CF5"/>
    <w:rsid w:val="00412DFD"/>
    <w:rsid w:val="00412EBF"/>
    <w:rsid w:val="004131D2"/>
    <w:rsid w:val="004136CF"/>
    <w:rsid w:val="0041396A"/>
    <w:rsid w:val="00413D85"/>
    <w:rsid w:val="0041418F"/>
    <w:rsid w:val="00414A5A"/>
    <w:rsid w:val="00414C6D"/>
    <w:rsid w:val="00414DE9"/>
    <w:rsid w:val="00414FE4"/>
    <w:rsid w:val="00415117"/>
    <w:rsid w:val="00415377"/>
    <w:rsid w:val="0041539F"/>
    <w:rsid w:val="004153AF"/>
    <w:rsid w:val="004157E5"/>
    <w:rsid w:val="0041593F"/>
    <w:rsid w:val="00416503"/>
    <w:rsid w:val="00416550"/>
    <w:rsid w:val="0041683B"/>
    <w:rsid w:val="004169D0"/>
    <w:rsid w:val="00416D50"/>
    <w:rsid w:val="00416DBD"/>
    <w:rsid w:val="00416EF2"/>
    <w:rsid w:val="00416FD5"/>
    <w:rsid w:val="00417772"/>
    <w:rsid w:val="00417877"/>
    <w:rsid w:val="00417E64"/>
    <w:rsid w:val="004203B2"/>
    <w:rsid w:val="00420606"/>
    <w:rsid w:val="00420983"/>
    <w:rsid w:val="004209C6"/>
    <w:rsid w:val="00420C6B"/>
    <w:rsid w:val="00420C96"/>
    <w:rsid w:val="00420D0C"/>
    <w:rsid w:val="00420E6A"/>
    <w:rsid w:val="00421253"/>
    <w:rsid w:val="0042177B"/>
    <w:rsid w:val="00421D17"/>
    <w:rsid w:val="00422118"/>
    <w:rsid w:val="004225B6"/>
    <w:rsid w:val="00422BBB"/>
    <w:rsid w:val="00422ECF"/>
    <w:rsid w:val="004232AA"/>
    <w:rsid w:val="0042338F"/>
    <w:rsid w:val="00423707"/>
    <w:rsid w:val="004238FB"/>
    <w:rsid w:val="00423A0E"/>
    <w:rsid w:val="004240EF"/>
    <w:rsid w:val="0042462D"/>
    <w:rsid w:val="00424A06"/>
    <w:rsid w:val="00424A38"/>
    <w:rsid w:val="00424A3F"/>
    <w:rsid w:val="00425A9E"/>
    <w:rsid w:val="00426558"/>
    <w:rsid w:val="00426CDB"/>
    <w:rsid w:val="00426D6B"/>
    <w:rsid w:val="00426F4E"/>
    <w:rsid w:val="00426F77"/>
    <w:rsid w:val="004276A7"/>
    <w:rsid w:val="004276F9"/>
    <w:rsid w:val="004279BE"/>
    <w:rsid w:val="00427AF3"/>
    <w:rsid w:val="00427B1A"/>
    <w:rsid w:val="00427F73"/>
    <w:rsid w:val="00430026"/>
    <w:rsid w:val="0043021C"/>
    <w:rsid w:val="004303C0"/>
    <w:rsid w:val="00430465"/>
    <w:rsid w:val="00430B56"/>
    <w:rsid w:val="00430FE9"/>
    <w:rsid w:val="00431A2E"/>
    <w:rsid w:val="00431E6C"/>
    <w:rsid w:val="00431FDB"/>
    <w:rsid w:val="00432304"/>
    <w:rsid w:val="0043294C"/>
    <w:rsid w:val="00432A34"/>
    <w:rsid w:val="00432F80"/>
    <w:rsid w:val="0043341D"/>
    <w:rsid w:val="00433A93"/>
    <w:rsid w:val="00433C24"/>
    <w:rsid w:val="00433C4A"/>
    <w:rsid w:val="00433CE7"/>
    <w:rsid w:val="00433E60"/>
    <w:rsid w:val="004340FF"/>
    <w:rsid w:val="0043429B"/>
    <w:rsid w:val="004343EF"/>
    <w:rsid w:val="004344D5"/>
    <w:rsid w:val="00435181"/>
    <w:rsid w:val="0043562D"/>
    <w:rsid w:val="004358DF"/>
    <w:rsid w:val="004365A6"/>
    <w:rsid w:val="00436A46"/>
    <w:rsid w:val="00436F95"/>
    <w:rsid w:val="004371F1"/>
    <w:rsid w:val="0043779F"/>
    <w:rsid w:val="0043784C"/>
    <w:rsid w:val="004378B7"/>
    <w:rsid w:val="00437D9E"/>
    <w:rsid w:val="00440632"/>
    <w:rsid w:val="00440937"/>
    <w:rsid w:val="00440AA7"/>
    <w:rsid w:val="004412CF"/>
    <w:rsid w:val="004414A2"/>
    <w:rsid w:val="004416B9"/>
    <w:rsid w:val="0044268E"/>
    <w:rsid w:val="0044292D"/>
    <w:rsid w:val="004429D0"/>
    <w:rsid w:val="00442BCB"/>
    <w:rsid w:val="00442D31"/>
    <w:rsid w:val="004432FA"/>
    <w:rsid w:val="00443634"/>
    <w:rsid w:val="00443843"/>
    <w:rsid w:val="00443B87"/>
    <w:rsid w:val="00443CE9"/>
    <w:rsid w:val="00443D41"/>
    <w:rsid w:val="00443ECE"/>
    <w:rsid w:val="004444A5"/>
    <w:rsid w:val="00444A48"/>
    <w:rsid w:val="00444BEC"/>
    <w:rsid w:val="004456C1"/>
    <w:rsid w:val="0044592A"/>
    <w:rsid w:val="00445AF0"/>
    <w:rsid w:val="00446494"/>
    <w:rsid w:val="004464D9"/>
    <w:rsid w:val="00446AB4"/>
    <w:rsid w:val="00446DBD"/>
    <w:rsid w:val="00446E31"/>
    <w:rsid w:val="004472BF"/>
    <w:rsid w:val="00447B31"/>
    <w:rsid w:val="00447F6A"/>
    <w:rsid w:val="00450347"/>
    <w:rsid w:val="00450549"/>
    <w:rsid w:val="00450B6B"/>
    <w:rsid w:val="00450C0A"/>
    <w:rsid w:val="00450D4D"/>
    <w:rsid w:val="00450E97"/>
    <w:rsid w:val="004513DE"/>
    <w:rsid w:val="00451754"/>
    <w:rsid w:val="00451BA2"/>
    <w:rsid w:val="00451EDA"/>
    <w:rsid w:val="00451F02"/>
    <w:rsid w:val="00452738"/>
    <w:rsid w:val="00452B54"/>
    <w:rsid w:val="00452D2E"/>
    <w:rsid w:val="00453089"/>
    <w:rsid w:val="004532BE"/>
    <w:rsid w:val="004533AB"/>
    <w:rsid w:val="0045346C"/>
    <w:rsid w:val="004537C7"/>
    <w:rsid w:val="004539C9"/>
    <w:rsid w:val="00453B33"/>
    <w:rsid w:val="00453B7E"/>
    <w:rsid w:val="00453E7D"/>
    <w:rsid w:val="00454397"/>
    <w:rsid w:val="004543FD"/>
    <w:rsid w:val="004546F1"/>
    <w:rsid w:val="00454757"/>
    <w:rsid w:val="0045482B"/>
    <w:rsid w:val="00454907"/>
    <w:rsid w:val="004558E4"/>
    <w:rsid w:val="00455988"/>
    <w:rsid w:val="00455A1E"/>
    <w:rsid w:val="00456091"/>
    <w:rsid w:val="004566B9"/>
    <w:rsid w:val="0045733C"/>
    <w:rsid w:val="00457502"/>
    <w:rsid w:val="00457BF4"/>
    <w:rsid w:val="00457D90"/>
    <w:rsid w:val="00457D97"/>
    <w:rsid w:val="00460A6E"/>
    <w:rsid w:val="00461231"/>
    <w:rsid w:val="00461D87"/>
    <w:rsid w:val="00462524"/>
    <w:rsid w:val="004625BF"/>
    <w:rsid w:val="00462638"/>
    <w:rsid w:val="0046280B"/>
    <w:rsid w:val="00462B3D"/>
    <w:rsid w:val="004633F9"/>
    <w:rsid w:val="00463472"/>
    <w:rsid w:val="004634C8"/>
    <w:rsid w:val="00463C14"/>
    <w:rsid w:val="00463CCB"/>
    <w:rsid w:val="00463F6E"/>
    <w:rsid w:val="00464619"/>
    <w:rsid w:val="0046522C"/>
    <w:rsid w:val="004658C2"/>
    <w:rsid w:val="00465A0A"/>
    <w:rsid w:val="00465E88"/>
    <w:rsid w:val="0046607F"/>
    <w:rsid w:val="00466321"/>
    <w:rsid w:val="00466EDB"/>
    <w:rsid w:val="00466F10"/>
    <w:rsid w:val="00467042"/>
    <w:rsid w:val="004676F7"/>
    <w:rsid w:val="00467BFC"/>
    <w:rsid w:val="004709CC"/>
    <w:rsid w:val="00470D93"/>
    <w:rsid w:val="00470E86"/>
    <w:rsid w:val="00471003"/>
    <w:rsid w:val="00471124"/>
    <w:rsid w:val="00471494"/>
    <w:rsid w:val="00472008"/>
    <w:rsid w:val="00472548"/>
    <w:rsid w:val="0047274A"/>
    <w:rsid w:val="004727FF"/>
    <w:rsid w:val="00472DC7"/>
    <w:rsid w:val="00472E47"/>
    <w:rsid w:val="00472E79"/>
    <w:rsid w:val="00473324"/>
    <w:rsid w:val="0047357D"/>
    <w:rsid w:val="00473950"/>
    <w:rsid w:val="00473BF7"/>
    <w:rsid w:val="00473E9D"/>
    <w:rsid w:val="00473F2D"/>
    <w:rsid w:val="004741F3"/>
    <w:rsid w:val="0047446F"/>
    <w:rsid w:val="00474478"/>
    <w:rsid w:val="004745CB"/>
    <w:rsid w:val="0047487D"/>
    <w:rsid w:val="00474893"/>
    <w:rsid w:val="00475088"/>
    <w:rsid w:val="004757E9"/>
    <w:rsid w:val="00475C77"/>
    <w:rsid w:val="00475D22"/>
    <w:rsid w:val="004763F2"/>
    <w:rsid w:val="004765C2"/>
    <w:rsid w:val="00476A75"/>
    <w:rsid w:val="00476B30"/>
    <w:rsid w:val="00476D43"/>
    <w:rsid w:val="00476E2E"/>
    <w:rsid w:val="00476E7B"/>
    <w:rsid w:val="00476F43"/>
    <w:rsid w:val="00477077"/>
    <w:rsid w:val="004771D4"/>
    <w:rsid w:val="004774B3"/>
    <w:rsid w:val="00477631"/>
    <w:rsid w:val="00477688"/>
    <w:rsid w:val="00477A89"/>
    <w:rsid w:val="00477F88"/>
    <w:rsid w:val="004806D4"/>
    <w:rsid w:val="00481782"/>
    <w:rsid w:val="004819F6"/>
    <w:rsid w:val="00481AC4"/>
    <w:rsid w:val="004825DF"/>
    <w:rsid w:val="00482642"/>
    <w:rsid w:val="004826F3"/>
    <w:rsid w:val="00482B82"/>
    <w:rsid w:val="00482BFB"/>
    <w:rsid w:val="00482D82"/>
    <w:rsid w:val="00482DF6"/>
    <w:rsid w:val="00482E4E"/>
    <w:rsid w:val="0048345C"/>
    <w:rsid w:val="004838EE"/>
    <w:rsid w:val="00483F92"/>
    <w:rsid w:val="004846C3"/>
    <w:rsid w:val="00484951"/>
    <w:rsid w:val="00484B9B"/>
    <w:rsid w:val="004854E3"/>
    <w:rsid w:val="004855F6"/>
    <w:rsid w:val="0048574B"/>
    <w:rsid w:val="004857A2"/>
    <w:rsid w:val="00485A04"/>
    <w:rsid w:val="00485AEE"/>
    <w:rsid w:val="00485E1F"/>
    <w:rsid w:val="004860B6"/>
    <w:rsid w:val="0048625C"/>
    <w:rsid w:val="00486399"/>
    <w:rsid w:val="0048661E"/>
    <w:rsid w:val="00486EF1"/>
    <w:rsid w:val="004872F3"/>
    <w:rsid w:val="00487DF8"/>
    <w:rsid w:val="00487E73"/>
    <w:rsid w:val="0049037B"/>
    <w:rsid w:val="004904D1"/>
    <w:rsid w:val="00490521"/>
    <w:rsid w:val="0049070D"/>
    <w:rsid w:val="00490995"/>
    <w:rsid w:val="00490B3D"/>
    <w:rsid w:val="00490BDC"/>
    <w:rsid w:val="00490C62"/>
    <w:rsid w:val="00490C6A"/>
    <w:rsid w:val="00491AA5"/>
    <w:rsid w:val="00491BAC"/>
    <w:rsid w:val="00491D05"/>
    <w:rsid w:val="004921FF"/>
    <w:rsid w:val="0049265A"/>
    <w:rsid w:val="00492DCA"/>
    <w:rsid w:val="004936AA"/>
    <w:rsid w:val="00493B11"/>
    <w:rsid w:val="00493D5D"/>
    <w:rsid w:val="00493D75"/>
    <w:rsid w:val="0049405F"/>
    <w:rsid w:val="004942B9"/>
    <w:rsid w:val="00494670"/>
    <w:rsid w:val="0049498C"/>
    <w:rsid w:val="00494C2E"/>
    <w:rsid w:val="004950B9"/>
    <w:rsid w:val="00495158"/>
    <w:rsid w:val="00495512"/>
    <w:rsid w:val="004958CE"/>
    <w:rsid w:val="00495988"/>
    <w:rsid w:val="00496152"/>
    <w:rsid w:val="00496D25"/>
    <w:rsid w:val="00497664"/>
    <w:rsid w:val="004978B3"/>
    <w:rsid w:val="004A00AA"/>
    <w:rsid w:val="004A04B6"/>
    <w:rsid w:val="004A06C7"/>
    <w:rsid w:val="004A0846"/>
    <w:rsid w:val="004A086F"/>
    <w:rsid w:val="004A12FB"/>
    <w:rsid w:val="004A1678"/>
    <w:rsid w:val="004A1A71"/>
    <w:rsid w:val="004A274C"/>
    <w:rsid w:val="004A2D94"/>
    <w:rsid w:val="004A3804"/>
    <w:rsid w:val="004A3823"/>
    <w:rsid w:val="004A49F2"/>
    <w:rsid w:val="004A4E21"/>
    <w:rsid w:val="004A5021"/>
    <w:rsid w:val="004A5D68"/>
    <w:rsid w:val="004A5EC1"/>
    <w:rsid w:val="004A5EF2"/>
    <w:rsid w:val="004A62A7"/>
    <w:rsid w:val="004A63A3"/>
    <w:rsid w:val="004A652C"/>
    <w:rsid w:val="004A6833"/>
    <w:rsid w:val="004A7350"/>
    <w:rsid w:val="004A7A9F"/>
    <w:rsid w:val="004A7CB4"/>
    <w:rsid w:val="004B00C4"/>
    <w:rsid w:val="004B06A1"/>
    <w:rsid w:val="004B083D"/>
    <w:rsid w:val="004B0C54"/>
    <w:rsid w:val="004B0D01"/>
    <w:rsid w:val="004B1434"/>
    <w:rsid w:val="004B1485"/>
    <w:rsid w:val="004B1FA6"/>
    <w:rsid w:val="004B2183"/>
    <w:rsid w:val="004B219F"/>
    <w:rsid w:val="004B21E6"/>
    <w:rsid w:val="004B256F"/>
    <w:rsid w:val="004B29F5"/>
    <w:rsid w:val="004B2B84"/>
    <w:rsid w:val="004B313B"/>
    <w:rsid w:val="004B35F5"/>
    <w:rsid w:val="004B3680"/>
    <w:rsid w:val="004B3856"/>
    <w:rsid w:val="004B4655"/>
    <w:rsid w:val="004B47D0"/>
    <w:rsid w:val="004B4872"/>
    <w:rsid w:val="004B4934"/>
    <w:rsid w:val="004B4D52"/>
    <w:rsid w:val="004B4DDA"/>
    <w:rsid w:val="004B53D8"/>
    <w:rsid w:val="004B58C5"/>
    <w:rsid w:val="004B5B29"/>
    <w:rsid w:val="004B5E1A"/>
    <w:rsid w:val="004B60A9"/>
    <w:rsid w:val="004B64A2"/>
    <w:rsid w:val="004B6750"/>
    <w:rsid w:val="004B684A"/>
    <w:rsid w:val="004B6BFC"/>
    <w:rsid w:val="004B6CA3"/>
    <w:rsid w:val="004B6F05"/>
    <w:rsid w:val="004B6FC8"/>
    <w:rsid w:val="004B7218"/>
    <w:rsid w:val="004B73C9"/>
    <w:rsid w:val="004B7624"/>
    <w:rsid w:val="004B7742"/>
    <w:rsid w:val="004B77EE"/>
    <w:rsid w:val="004B7A61"/>
    <w:rsid w:val="004C03F3"/>
    <w:rsid w:val="004C04FA"/>
    <w:rsid w:val="004C0FBA"/>
    <w:rsid w:val="004C1733"/>
    <w:rsid w:val="004C186A"/>
    <w:rsid w:val="004C1F60"/>
    <w:rsid w:val="004C22CF"/>
    <w:rsid w:val="004C24E6"/>
    <w:rsid w:val="004C268D"/>
    <w:rsid w:val="004C27DC"/>
    <w:rsid w:val="004C2F39"/>
    <w:rsid w:val="004C4021"/>
    <w:rsid w:val="004C44F7"/>
    <w:rsid w:val="004C4757"/>
    <w:rsid w:val="004C49B8"/>
    <w:rsid w:val="004C5043"/>
    <w:rsid w:val="004C50DD"/>
    <w:rsid w:val="004C5447"/>
    <w:rsid w:val="004C596C"/>
    <w:rsid w:val="004C68A2"/>
    <w:rsid w:val="004C68A6"/>
    <w:rsid w:val="004C6A7E"/>
    <w:rsid w:val="004C7773"/>
    <w:rsid w:val="004C77D1"/>
    <w:rsid w:val="004C785F"/>
    <w:rsid w:val="004D0191"/>
    <w:rsid w:val="004D03BE"/>
    <w:rsid w:val="004D0C43"/>
    <w:rsid w:val="004D0CEB"/>
    <w:rsid w:val="004D10C7"/>
    <w:rsid w:val="004D1821"/>
    <w:rsid w:val="004D18C6"/>
    <w:rsid w:val="004D2255"/>
    <w:rsid w:val="004D2376"/>
    <w:rsid w:val="004D25CF"/>
    <w:rsid w:val="004D2711"/>
    <w:rsid w:val="004D273D"/>
    <w:rsid w:val="004D29FB"/>
    <w:rsid w:val="004D2C29"/>
    <w:rsid w:val="004D2DAA"/>
    <w:rsid w:val="004D3B7D"/>
    <w:rsid w:val="004D41FC"/>
    <w:rsid w:val="004D4945"/>
    <w:rsid w:val="004D4DA7"/>
    <w:rsid w:val="004D5D56"/>
    <w:rsid w:val="004D5EB6"/>
    <w:rsid w:val="004D5EBA"/>
    <w:rsid w:val="004D6298"/>
    <w:rsid w:val="004D6356"/>
    <w:rsid w:val="004D6963"/>
    <w:rsid w:val="004D6D6D"/>
    <w:rsid w:val="004D70AD"/>
    <w:rsid w:val="004D7249"/>
    <w:rsid w:val="004D73A9"/>
    <w:rsid w:val="004D79B4"/>
    <w:rsid w:val="004D7B65"/>
    <w:rsid w:val="004D7E7A"/>
    <w:rsid w:val="004E0076"/>
    <w:rsid w:val="004E0123"/>
    <w:rsid w:val="004E06D3"/>
    <w:rsid w:val="004E0714"/>
    <w:rsid w:val="004E0745"/>
    <w:rsid w:val="004E08F1"/>
    <w:rsid w:val="004E0FD3"/>
    <w:rsid w:val="004E11F6"/>
    <w:rsid w:val="004E1E04"/>
    <w:rsid w:val="004E2566"/>
    <w:rsid w:val="004E29B9"/>
    <w:rsid w:val="004E2CDF"/>
    <w:rsid w:val="004E4154"/>
    <w:rsid w:val="004E415A"/>
    <w:rsid w:val="004E416B"/>
    <w:rsid w:val="004E4209"/>
    <w:rsid w:val="004E4A88"/>
    <w:rsid w:val="004E4E3F"/>
    <w:rsid w:val="004E4FD3"/>
    <w:rsid w:val="004E51B5"/>
    <w:rsid w:val="004E5211"/>
    <w:rsid w:val="004E5B69"/>
    <w:rsid w:val="004E632D"/>
    <w:rsid w:val="004E64AD"/>
    <w:rsid w:val="004E64CE"/>
    <w:rsid w:val="004E650E"/>
    <w:rsid w:val="004E6684"/>
    <w:rsid w:val="004E6946"/>
    <w:rsid w:val="004E6CB5"/>
    <w:rsid w:val="004E71FB"/>
    <w:rsid w:val="004F099C"/>
    <w:rsid w:val="004F0B2A"/>
    <w:rsid w:val="004F0B6C"/>
    <w:rsid w:val="004F0DDA"/>
    <w:rsid w:val="004F0F09"/>
    <w:rsid w:val="004F1191"/>
    <w:rsid w:val="004F120E"/>
    <w:rsid w:val="004F12D5"/>
    <w:rsid w:val="004F1482"/>
    <w:rsid w:val="004F14B3"/>
    <w:rsid w:val="004F1A14"/>
    <w:rsid w:val="004F1AD8"/>
    <w:rsid w:val="004F1BEC"/>
    <w:rsid w:val="004F1DDA"/>
    <w:rsid w:val="004F22DB"/>
    <w:rsid w:val="004F23AD"/>
    <w:rsid w:val="004F23B3"/>
    <w:rsid w:val="004F2618"/>
    <w:rsid w:val="004F29BD"/>
    <w:rsid w:val="004F2BAB"/>
    <w:rsid w:val="004F2DB8"/>
    <w:rsid w:val="004F33EA"/>
    <w:rsid w:val="004F34B5"/>
    <w:rsid w:val="004F354A"/>
    <w:rsid w:val="004F48E0"/>
    <w:rsid w:val="004F4BD1"/>
    <w:rsid w:val="004F507E"/>
    <w:rsid w:val="004F518F"/>
    <w:rsid w:val="004F52C4"/>
    <w:rsid w:val="004F5836"/>
    <w:rsid w:val="004F5E1C"/>
    <w:rsid w:val="004F604C"/>
    <w:rsid w:val="004F604F"/>
    <w:rsid w:val="004F61E4"/>
    <w:rsid w:val="004F6245"/>
    <w:rsid w:val="004F6863"/>
    <w:rsid w:val="004F6A27"/>
    <w:rsid w:val="004F6E93"/>
    <w:rsid w:val="004F7011"/>
    <w:rsid w:val="004F7078"/>
    <w:rsid w:val="004F7B0C"/>
    <w:rsid w:val="00500243"/>
    <w:rsid w:val="005003E6"/>
    <w:rsid w:val="005003E7"/>
    <w:rsid w:val="00500DFE"/>
    <w:rsid w:val="00500FCB"/>
    <w:rsid w:val="005015F2"/>
    <w:rsid w:val="00501ACD"/>
    <w:rsid w:val="00501CA7"/>
    <w:rsid w:val="00501EF2"/>
    <w:rsid w:val="0050203F"/>
    <w:rsid w:val="005022C3"/>
    <w:rsid w:val="005022EF"/>
    <w:rsid w:val="0050247E"/>
    <w:rsid w:val="00502C03"/>
    <w:rsid w:val="005033A0"/>
    <w:rsid w:val="00503457"/>
    <w:rsid w:val="00503744"/>
    <w:rsid w:val="005039CB"/>
    <w:rsid w:val="00503BFD"/>
    <w:rsid w:val="005046CB"/>
    <w:rsid w:val="00504741"/>
    <w:rsid w:val="005047DA"/>
    <w:rsid w:val="0050558F"/>
    <w:rsid w:val="005056C7"/>
    <w:rsid w:val="00505CEB"/>
    <w:rsid w:val="00506286"/>
    <w:rsid w:val="00506357"/>
    <w:rsid w:val="005063B0"/>
    <w:rsid w:val="005065F3"/>
    <w:rsid w:val="00506668"/>
    <w:rsid w:val="0050691F"/>
    <w:rsid w:val="005072FC"/>
    <w:rsid w:val="005073D6"/>
    <w:rsid w:val="00507911"/>
    <w:rsid w:val="00510223"/>
    <w:rsid w:val="00510334"/>
    <w:rsid w:val="00510393"/>
    <w:rsid w:val="00510448"/>
    <w:rsid w:val="005107E2"/>
    <w:rsid w:val="00510813"/>
    <w:rsid w:val="00510F82"/>
    <w:rsid w:val="005112FE"/>
    <w:rsid w:val="00511792"/>
    <w:rsid w:val="005117C8"/>
    <w:rsid w:val="00511990"/>
    <w:rsid w:val="00511A29"/>
    <w:rsid w:val="00511DE0"/>
    <w:rsid w:val="0051212D"/>
    <w:rsid w:val="0051242A"/>
    <w:rsid w:val="005127AE"/>
    <w:rsid w:val="00512863"/>
    <w:rsid w:val="00512C55"/>
    <w:rsid w:val="00512C63"/>
    <w:rsid w:val="00512CE3"/>
    <w:rsid w:val="005131A0"/>
    <w:rsid w:val="0051333E"/>
    <w:rsid w:val="00513A01"/>
    <w:rsid w:val="00513DEB"/>
    <w:rsid w:val="005141D5"/>
    <w:rsid w:val="005147EB"/>
    <w:rsid w:val="0051480A"/>
    <w:rsid w:val="00514870"/>
    <w:rsid w:val="00514B9B"/>
    <w:rsid w:val="0051535A"/>
    <w:rsid w:val="005153D3"/>
    <w:rsid w:val="0051541E"/>
    <w:rsid w:val="00515680"/>
    <w:rsid w:val="005157C2"/>
    <w:rsid w:val="00516428"/>
    <w:rsid w:val="00516B16"/>
    <w:rsid w:val="00516D97"/>
    <w:rsid w:val="005172E6"/>
    <w:rsid w:val="005179AD"/>
    <w:rsid w:val="00517BC3"/>
    <w:rsid w:val="00517D2E"/>
    <w:rsid w:val="00517D49"/>
    <w:rsid w:val="00517D75"/>
    <w:rsid w:val="00517DAB"/>
    <w:rsid w:val="00517F02"/>
    <w:rsid w:val="005204C8"/>
    <w:rsid w:val="005204CC"/>
    <w:rsid w:val="005209D8"/>
    <w:rsid w:val="00520F0D"/>
    <w:rsid w:val="00521482"/>
    <w:rsid w:val="00521978"/>
    <w:rsid w:val="00521C76"/>
    <w:rsid w:val="00522615"/>
    <w:rsid w:val="00522B92"/>
    <w:rsid w:val="00523380"/>
    <w:rsid w:val="005234F5"/>
    <w:rsid w:val="005239EE"/>
    <w:rsid w:val="00523D1E"/>
    <w:rsid w:val="00523D64"/>
    <w:rsid w:val="00524303"/>
    <w:rsid w:val="00524305"/>
    <w:rsid w:val="00524596"/>
    <w:rsid w:val="0052459B"/>
    <w:rsid w:val="00524D45"/>
    <w:rsid w:val="00524F79"/>
    <w:rsid w:val="005251FA"/>
    <w:rsid w:val="005258A2"/>
    <w:rsid w:val="00525B39"/>
    <w:rsid w:val="00525B8F"/>
    <w:rsid w:val="00525C16"/>
    <w:rsid w:val="00525CA1"/>
    <w:rsid w:val="005264D3"/>
    <w:rsid w:val="005269CC"/>
    <w:rsid w:val="00526DF5"/>
    <w:rsid w:val="00526FBF"/>
    <w:rsid w:val="00527567"/>
    <w:rsid w:val="00527AE4"/>
    <w:rsid w:val="00527CEC"/>
    <w:rsid w:val="0053009F"/>
    <w:rsid w:val="00530250"/>
    <w:rsid w:val="00530275"/>
    <w:rsid w:val="00530F51"/>
    <w:rsid w:val="005313A2"/>
    <w:rsid w:val="0053140C"/>
    <w:rsid w:val="0053163C"/>
    <w:rsid w:val="00531807"/>
    <w:rsid w:val="00531A34"/>
    <w:rsid w:val="00531CB8"/>
    <w:rsid w:val="00531F2A"/>
    <w:rsid w:val="005320B4"/>
    <w:rsid w:val="0053219F"/>
    <w:rsid w:val="005326DF"/>
    <w:rsid w:val="005327E6"/>
    <w:rsid w:val="00532CC4"/>
    <w:rsid w:val="00532CEF"/>
    <w:rsid w:val="00533D5B"/>
    <w:rsid w:val="005341D7"/>
    <w:rsid w:val="0053469F"/>
    <w:rsid w:val="00534CFF"/>
    <w:rsid w:val="0053515B"/>
    <w:rsid w:val="0053525D"/>
    <w:rsid w:val="00535435"/>
    <w:rsid w:val="00535C0C"/>
    <w:rsid w:val="00535EF8"/>
    <w:rsid w:val="005361EB"/>
    <w:rsid w:val="00537044"/>
    <w:rsid w:val="00540000"/>
    <w:rsid w:val="005401AE"/>
    <w:rsid w:val="00540A04"/>
    <w:rsid w:val="00540B3A"/>
    <w:rsid w:val="0054108B"/>
    <w:rsid w:val="00541864"/>
    <w:rsid w:val="00541C06"/>
    <w:rsid w:val="00541E56"/>
    <w:rsid w:val="00541F4F"/>
    <w:rsid w:val="00542881"/>
    <w:rsid w:val="00542B35"/>
    <w:rsid w:val="00542BE4"/>
    <w:rsid w:val="00542E07"/>
    <w:rsid w:val="0054314D"/>
    <w:rsid w:val="0054356A"/>
    <w:rsid w:val="00543DD5"/>
    <w:rsid w:val="00544629"/>
    <w:rsid w:val="00544636"/>
    <w:rsid w:val="00544B62"/>
    <w:rsid w:val="00544C00"/>
    <w:rsid w:val="00544E77"/>
    <w:rsid w:val="00545424"/>
    <w:rsid w:val="005459C8"/>
    <w:rsid w:val="00546492"/>
    <w:rsid w:val="00546651"/>
    <w:rsid w:val="00546A94"/>
    <w:rsid w:val="00547089"/>
    <w:rsid w:val="00547775"/>
    <w:rsid w:val="00547D9C"/>
    <w:rsid w:val="00547ED2"/>
    <w:rsid w:val="0055022D"/>
    <w:rsid w:val="00550638"/>
    <w:rsid w:val="0055099E"/>
    <w:rsid w:val="00550D8E"/>
    <w:rsid w:val="0055112F"/>
    <w:rsid w:val="005513B7"/>
    <w:rsid w:val="00551CE3"/>
    <w:rsid w:val="00551E7E"/>
    <w:rsid w:val="00551E9B"/>
    <w:rsid w:val="0055203C"/>
    <w:rsid w:val="005525A6"/>
    <w:rsid w:val="005525AB"/>
    <w:rsid w:val="00552640"/>
    <w:rsid w:val="00552777"/>
    <w:rsid w:val="00552F04"/>
    <w:rsid w:val="005532FE"/>
    <w:rsid w:val="005540FB"/>
    <w:rsid w:val="00554291"/>
    <w:rsid w:val="0055450C"/>
    <w:rsid w:val="005545A8"/>
    <w:rsid w:val="00554A7B"/>
    <w:rsid w:val="0055572C"/>
    <w:rsid w:val="00555D87"/>
    <w:rsid w:val="005561C4"/>
    <w:rsid w:val="0055640E"/>
    <w:rsid w:val="00556584"/>
    <w:rsid w:val="00556E2F"/>
    <w:rsid w:val="00557227"/>
    <w:rsid w:val="00557495"/>
    <w:rsid w:val="00557B3C"/>
    <w:rsid w:val="0056021D"/>
    <w:rsid w:val="005605BF"/>
    <w:rsid w:val="00560B6E"/>
    <w:rsid w:val="00560C74"/>
    <w:rsid w:val="00560D94"/>
    <w:rsid w:val="0056106A"/>
    <w:rsid w:val="005611A5"/>
    <w:rsid w:val="005614FA"/>
    <w:rsid w:val="00561850"/>
    <w:rsid w:val="00561F9A"/>
    <w:rsid w:val="005622F1"/>
    <w:rsid w:val="0056233A"/>
    <w:rsid w:val="00562457"/>
    <w:rsid w:val="005624E0"/>
    <w:rsid w:val="005627A1"/>
    <w:rsid w:val="00562BD8"/>
    <w:rsid w:val="00562E92"/>
    <w:rsid w:val="0056321F"/>
    <w:rsid w:val="00563A4B"/>
    <w:rsid w:val="00563A85"/>
    <w:rsid w:val="00563B33"/>
    <w:rsid w:val="0056402A"/>
    <w:rsid w:val="005641CA"/>
    <w:rsid w:val="00564270"/>
    <w:rsid w:val="005643F7"/>
    <w:rsid w:val="0056467F"/>
    <w:rsid w:val="00564CA8"/>
    <w:rsid w:val="00564F75"/>
    <w:rsid w:val="00565260"/>
    <w:rsid w:val="005655BE"/>
    <w:rsid w:val="00567374"/>
    <w:rsid w:val="0056758D"/>
    <w:rsid w:val="00567A05"/>
    <w:rsid w:val="00570240"/>
    <w:rsid w:val="00570E8B"/>
    <w:rsid w:val="00570F32"/>
    <w:rsid w:val="00570FF3"/>
    <w:rsid w:val="0057112C"/>
    <w:rsid w:val="00571ACD"/>
    <w:rsid w:val="00571AD4"/>
    <w:rsid w:val="00571B60"/>
    <w:rsid w:val="005720AE"/>
    <w:rsid w:val="00572392"/>
    <w:rsid w:val="005724E4"/>
    <w:rsid w:val="00572C03"/>
    <w:rsid w:val="00572F09"/>
    <w:rsid w:val="00573905"/>
    <w:rsid w:val="0057390C"/>
    <w:rsid w:val="00573B2F"/>
    <w:rsid w:val="00573C9F"/>
    <w:rsid w:val="00573D1A"/>
    <w:rsid w:val="00574164"/>
    <w:rsid w:val="00574385"/>
    <w:rsid w:val="00574DEA"/>
    <w:rsid w:val="0057524A"/>
    <w:rsid w:val="0057537B"/>
    <w:rsid w:val="005754ED"/>
    <w:rsid w:val="005755E3"/>
    <w:rsid w:val="00575A44"/>
    <w:rsid w:val="00575B54"/>
    <w:rsid w:val="00575E57"/>
    <w:rsid w:val="00575E84"/>
    <w:rsid w:val="005767AD"/>
    <w:rsid w:val="005767FB"/>
    <w:rsid w:val="00576FB5"/>
    <w:rsid w:val="0057702E"/>
    <w:rsid w:val="0057715E"/>
    <w:rsid w:val="00577A8C"/>
    <w:rsid w:val="00577BE4"/>
    <w:rsid w:val="0058032A"/>
    <w:rsid w:val="00581441"/>
    <w:rsid w:val="005817FA"/>
    <w:rsid w:val="005819D8"/>
    <w:rsid w:val="00582741"/>
    <w:rsid w:val="00582B6F"/>
    <w:rsid w:val="00583414"/>
    <w:rsid w:val="0058374E"/>
    <w:rsid w:val="00584197"/>
    <w:rsid w:val="005845C5"/>
    <w:rsid w:val="0058461C"/>
    <w:rsid w:val="0058498F"/>
    <w:rsid w:val="00584F7D"/>
    <w:rsid w:val="005850C0"/>
    <w:rsid w:val="005857E3"/>
    <w:rsid w:val="00585C69"/>
    <w:rsid w:val="00585DB0"/>
    <w:rsid w:val="00585EEB"/>
    <w:rsid w:val="0058669A"/>
    <w:rsid w:val="00586F37"/>
    <w:rsid w:val="00587741"/>
    <w:rsid w:val="00587873"/>
    <w:rsid w:val="00587AE3"/>
    <w:rsid w:val="005905EC"/>
    <w:rsid w:val="00590623"/>
    <w:rsid w:val="0059066F"/>
    <w:rsid w:val="005906EE"/>
    <w:rsid w:val="0059076E"/>
    <w:rsid w:val="0059099B"/>
    <w:rsid w:val="0059099F"/>
    <w:rsid w:val="005909B7"/>
    <w:rsid w:val="00590A5F"/>
    <w:rsid w:val="00590E65"/>
    <w:rsid w:val="0059112F"/>
    <w:rsid w:val="0059198C"/>
    <w:rsid w:val="00591A12"/>
    <w:rsid w:val="00591DBC"/>
    <w:rsid w:val="00591E7B"/>
    <w:rsid w:val="0059230A"/>
    <w:rsid w:val="00592458"/>
    <w:rsid w:val="00592B55"/>
    <w:rsid w:val="00592F39"/>
    <w:rsid w:val="005932AE"/>
    <w:rsid w:val="00593F04"/>
    <w:rsid w:val="005940C9"/>
    <w:rsid w:val="00594D77"/>
    <w:rsid w:val="00594DE4"/>
    <w:rsid w:val="00595127"/>
    <w:rsid w:val="00595687"/>
    <w:rsid w:val="005957E9"/>
    <w:rsid w:val="005959B0"/>
    <w:rsid w:val="00595DF9"/>
    <w:rsid w:val="00595EC8"/>
    <w:rsid w:val="00596388"/>
    <w:rsid w:val="00596400"/>
    <w:rsid w:val="00596583"/>
    <w:rsid w:val="005969E4"/>
    <w:rsid w:val="005973FB"/>
    <w:rsid w:val="00597734"/>
    <w:rsid w:val="00597AA8"/>
    <w:rsid w:val="00597AFA"/>
    <w:rsid w:val="005A0226"/>
    <w:rsid w:val="005A0346"/>
    <w:rsid w:val="005A06B7"/>
    <w:rsid w:val="005A0755"/>
    <w:rsid w:val="005A079C"/>
    <w:rsid w:val="005A084A"/>
    <w:rsid w:val="005A10B6"/>
    <w:rsid w:val="005A15E8"/>
    <w:rsid w:val="005A163A"/>
    <w:rsid w:val="005A1759"/>
    <w:rsid w:val="005A2697"/>
    <w:rsid w:val="005A2B16"/>
    <w:rsid w:val="005A2E2A"/>
    <w:rsid w:val="005A33D2"/>
    <w:rsid w:val="005A3648"/>
    <w:rsid w:val="005A3969"/>
    <w:rsid w:val="005A39CF"/>
    <w:rsid w:val="005A3CBE"/>
    <w:rsid w:val="005A3FB4"/>
    <w:rsid w:val="005A41B1"/>
    <w:rsid w:val="005A41BE"/>
    <w:rsid w:val="005A4459"/>
    <w:rsid w:val="005A493C"/>
    <w:rsid w:val="005A4A3C"/>
    <w:rsid w:val="005A4AB9"/>
    <w:rsid w:val="005A5661"/>
    <w:rsid w:val="005A5B4B"/>
    <w:rsid w:val="005A6119"/>
    <w:rsid w:val="005A63CF"/>
    <w:rsid w:val="005A670C"/>
    <w:rsid w:val="005A68A7"/>
    <w:rsid w:val="005A70C1"/>
    <w:rsid w:val="005A7479"/>
    <w:rsid w:val="005A7D56"/>
    <w:rsid w:val="005A7F12"/>
    <w:rsid w:val="005B012B"/>
    <w:rsid w:val="005B0558"/>
    <w:rsid w:val="005B056A"/>
    <w:rsid w:val="005B078C"/>
    <w:rsid w:val="005B0872"/>
    <w:rsid w:val="005B0F2A"/>
    <w:rsid w:val="005B15C1"/>
    <w:rsid w:val="005B1D1F"/>
    <w:rsid w:val="005B20D8"/>
    <w:rsid w:val="005B28E2"/>
    <w:rsid w:val="005B2C82"/>
    <w:rsid w:val="005B2D94"/>
    <w:rsid w:val="005B2F98"/>
    <w:rsid w:val="005B3BFE"/>
    <w:rsid w:val="005B3C5D"/>
    <w:rsid w:val="005B3F8C"/>
    <w:rsid w:val="005B4185"/>
    <w:rsid w:val="005B41E4"/>
    <w:rsid w:val="005B43B7"/>
    <w:rsid w:val="005B5944"/>
    <w:rsid w:val="005B5D77"/>
    <w:rsid w:val="005B5E6A"/>
    <w:rsid w:val="005B60CD"/>
    <w:rsid w:val="005B6AF9"/>
    <w:rsid w:val="005B6D31"/>
    <w:rsid w:val="005B753B"/>
    <w:rsid w:val="005B75DA"/>
    <w:rsid w:val="005B7924"/>
    <w:rsid w:val="005B7DDE"/>
    <w:rsid w:val="005B7DE6"/>
    <w:rsid w:val="005B7DFE"/>
    <w:rsid w:val="005C075B"/>
    <w:rsid w:val="005C096B"/>
    <w:rsid w:val="005C1182"/>
    <w:rsid w:val="005C1401"/>
    <w:rsid w:val="005C177E"/>
    <w:rsid w:val="005C2453"/>
    <w:rsid w:val="005C27D2"/>
    <w:rsid w:val="005C33D0"/>
    <w:rsid w:val="005C36A5"/>
    <w:rsid w:val="005C38BC"/>
    <w:rsid w:val="005C3986"/>
    <w:rsid w:val="005C3CF2"/>
    <w:rsid w:val="005C486C"/>
    <w:rsid w:val="005C5067"/>
    <w:rsid w:val="005C518D"/>
    <w:rsid w:val="005C5640"/>
    <w:rsid w:val="005C5A28"/>
    <w:rsid w:val="005C5C2C"/>
    <w:rsid w:val="005C5E0B"/>
    <w:rsid w:val="005C6275"/>
    <w:rsid w:val="005C6450"/>
    <w:rsid w:val="005C667B"/>
    <w:rsid w:val="005C6960"/>
    <w:rsid w:val="005C6D79"/>
    <w:rsid w:val="005C7275"/>
    <w:rsid w:val="005C7598"/>
    <w:rsid w:val="005D0234"/>
    <w:rsid w:val="005D030A"/>
    <w:rsid w:val="005D0498"/>
    <w:rsid w:val="005D183C"/>
    <w:rsid w:val="005D1BFD"/>
    <w:rsid w:val="005D1CE8"/>
    <w:rsid w:val="005D2CC2"/>
    <w:rsid w:val="005D2E2D"/>
    <w:rsid w:val="005D36AB"/>
    <w:rsid w:val="005D3868"/>
    <w:rsid w:val="005D39D2"/>
    <w:rsid w:val="005D3D42"/>
    <w:rsid w:val="005D3DA8"/>
    <w:rsid w:val="005D3E22"/>
    <w:rsid w:val="005D3E3A"/>
    <w:rsid w:val="005D3E43"/>
    <w:rsid w:val="005D415C"/>
    <w:rsid w:val="005D4656"/>
    <w:rsid w:val="005D470C"/>
    <w:rsid w:val="005D55C7"/>
    <w:rsid w:val="005D69F9"/>
    <w:rsid w:val="005D6BD7"/>
    <w:rsid w:val="005D6EA9"/>
    <w:rsid w:val="005D709C"/>
    <w:rsid w:val="005D74D3"/>
    <w:rsid w:val="005D7D46"/>
    <w:rsid w:val="005E0014"/>
    <w:rsid w:val="005E05EA"/>
    <w:rsid w:val="005E0622"/>
    <w:rsid w:val="005E07A2"/>
    <w:rsid w:val="005E0A7B"/>
    <w:rsid w:val="005E1943"/>
    <w:rsid w:val="005E1B0A"/>
    <w:rsid w:val="005E1B68"/>
    <w:rsid w:val="005E2205"/>
    <w:rsid w:val="005E2295"/>
    <w:rsid w:val="005E22AB"/>
    <w:rsid w:val="005E253F"/>
    <w:rsid w:val="005E25F8"/>
    <w:rsid w:val="005E2918"/>
    <w:rsid w:val="005E2AFE"/>
    <w:rsid w:val="005E2B9B"/>
    <w:rsid w:val="005E3095"/>
    <w:rsid w:val="005E34B8"/>
    <w:rsid w:val="005E3507"/>
    <w:rsid w:val="005E375F"/>
    <w:rsid w:val="005E381C"/>
    <w:rsid w:val="005E3AC8"/>
    <w:rsid w:val="005E3E4D"/>
    <w:rsid w:val="005E40BE"/>
    <w:rsid w:val="005E479A"/>
    <w:rsid w:val="005E5382"/>
    <w:rsid w:val="005E5B24"/>
    <w:rsid w:val="005E689E"/>
    <w:rsid w:val="005E6C01"/>
    <w:rsid w:val="005E6E2D"/>
    <w:rsid w:val="005E735F"/>
    <w:rsid w:val="005E7477"/>
    <w:rsid w:val="005E79A6"/>
    <w:rsid w:val="005E7C80"/>
    <w:rsid w:val="005E7DEB"/>
    <w:rsid w:val="005E7E21"/>
    <w:rsid w:val="005F012B"/>
    <w:rsid w:val="005F01B7"/>
    <w:rsid w:val="005F056B"/>
    <w:rsid w:val="005F06DA"/>
    <w:rsid w:val="005F0AF4"/>
    <w:rsid w:val="005F0C95"/>
    <w:rsid w:val="005F0CB7"/>
    <w:rsid w:val="005F102D"/>
    <w:rsid w:val="005F1084"/>
    <w:rsid w:val="005F20DD"/>
    <w:rsid w:val="005F242C"/>
    <w:rsid w:val="005F2666"/>
    <w:rsid w:val="005F2975"/>
    <w:rsid w:val="005F2C18"/>
    <w:rsid w:val="005F309A"/>
    <w:rsid w:val="005F35BF"/>
    <w:rsid w:val="005F35E1"/>
    <w:rsid w:val="005F3902"/>
    <w:rsid w:val="005F3A50"/>
    <w:rsid w:val="005F3CC2"/>
    <w:rsid w:val="005F3ED7"/>
    <w:rsid w:val="005F4D15"/>
    <w:rsid w:val="005F4E53"/>
    <w:rsid w:val="005F50CD"/>
    <w:rsid w:val="005F525D"/>
    <w:rsid w:val="005F58C1"/>
    <w:rsid w:val="005F5C5E"/>
    <w:rsid w:val="005F60B5"/>
    <w:rsid w:val="005F643E"/>
    <w:rsid w:val="005F743D"/>
    <w:rsid w:val="005F78E8"/>
    <w:rsid w:val="005F7C37"/>
    <w:rsid w:val="00600499"/>
    <w:rsid w:val="0060070D"/>
    <w:rsid w:val="00600B08"/>
    <w:rsid w:val="00600E80"/>
    <w:rsid w:val="00600ED0"/>
    <w:rsid w:val="00600F0D"/>
    <w:rsid w:val="00600F2B"/>
    <w:rsid w:val="00600FF6"/>
    <w:rsid w:val="006010ED"/>
    <w:rsid w:val="00601626"/>
    <w:rsid w:val="00601982"/>
    <w:rsid w:val="00601B7A"/>
    <w:rsid w:val="00602A85"/>
    <w:rsid w:val="00602D39"/>
    <w:rsid w:val="006034DF"/>
    <w:rsid w:val="00603540"/>
    <w:rsid w:val="00603946"/>
    <w:rsid w:val="006040E0"/>
    <w:rsid w:val="00604CD2"/>
    <w:rsid w:val="00604EF9"/>
    <w:rsid w:val="00605152"/>
    <w:rsid w:val="006051DD"/>
    <w:rsid w:val="0060561E"/>
    <w:rsid w:val="00605798"/>
    <w:rsid w:val="00605CD7"/>
    <w:rsid w:val="00605F87"/>
    <w:rsid w:val="00606171"/>
    <w:rsid w:val="00606292"/>
    <w:rsid w:val="0060637E"/>
    <w:rsid w:val="006066B1"/>
    <w:rsid w:val="006067C1"/>
    <w:rsid w:val="0060688F"/>
    <w:rsid w:val="00606BD8"/>
    <w:rsid w:val="00606D1C"/>
    <w:rsid w:val="006070E3"/>
    <w:rsid w:val="00607126"/>
    <w:rsid w:val="00607212"/>
    <w:rsid w:val="006074B4"/>
    <w:rsid w:val="00607D1B"/>
    <w:rsid w:val="006105DD"/>
    <w:rsid w:val="006107D0"/>
    <w:rsid w:val="00610A76"/>
    <w:rsid w:val="00611FC8"/>
    <w:rsid w:val="00612BDB"/>
    <w:rsid w:val="00612F81"/>
    <w:rsid w:val="00613A9B"/>
    <w:rsid w:val="00614304"/>
    <w:rsid w:val="0061462F"/>
    <w:rsid w:val="00614895"/>
    <w:rsid w:val="006149BC"/>
    <w:rsid w:val="00614A04"/>
    <w:rsid w:val="00614BA8"/>
    <w:rsid w:val="006150A3"/>
    <w:rsid w:val="0061521A"/>
    <w:rsid w:val="00615719"/>
    <w:rsid w:val="00615E8B"/>
    <w:rsid w:val="00616347"/>
    <w:rsid w:val="00616390"/>
    <w:rsid w:val="00616CC4"/>
    <w:rsid w:val="00616D7B"/>
    <w:rsid w:val="00616F3F"/>
    <w:rsid w:val="00616F88"/>
    <w:rsid w:val="00617924"/>
    <w:rsid w:val="00617CC3"/>
    <w:rsid w:val="00617FB2"/>
    <w:rsid w:val="00617FB3"/>
    <w:rsid w:val="00620885"/>
    <w:rsid w:val="006209F2"/>
    <w:rsid w:val="00620B2B"/>
    <w:rsid w:val="00620F3A"/>
    <w:rsid w:val="0062198D"/>
    <w:rsid w:val="00622003"/>
    <w:rsid w:val="006220DA"/>
    <w:rsid w:val="006222DE"/>
    <w:rsid w:val="00622C8B"/>
    <w:rsid w:val="00622DD1"/>
    <w:rsid w:val="00623572"/>
    <w:rsid w:val="0062388F"/>
    <w:rsid w:val="0062396E"/>
    <w:rsid w:val="00624059"/>
    <w:rsid w:val="0062443B"/>
    <w:rsid w:val="0062443F"/>
    <w:rsid w:val="00624833"/>
    <w:rsid w:val="00624AC7"/>
    <w:rsid w:val="00624EA8"/>
    <w:rsid w:val="0062500A"/>
    <w:rsid w:val="006256FF"/>
    <w:rsid w:val="00625917"/>
    <w:rsid w:val="00625E81"/>
    <w:rsid w:val="00625F29"/>
    <w:rsid w:val="006266B4"/>
    <w:rsid w:val="00626B5F"/>
    <w:rsid w:val="00626EB7"/>
    <w:rsid w:val="006271D7"/>
    <w:rsid w:val="006278B9"/>
    <w:rsid w:val="00627B13"/>
    <w:rsid w:val="006300C6"/>
    <w:rsid w:val="00630161"/>
    <w:rsid w:val="006304EA"/>
    <w:rsid w:val="00630585"/>
    <w:rsid w:val="00630DFA"/>
    <w:rsid w:val="00631263"/>
    <w:rsid w:val="006318CA"/>
    <w:rsid w:val="00631AFD"/>
    <w:rsid w:val="00631B0B"/>
    <w:rsid w:val="0063203E"/>
    <w:rsid w:val="006320DB"/>
    <w:rsid w:val="0063262A"/>
    <w:rsid w:val="006326F4"/>
    <w:rsid w:val="00632714"/>
    <w:rsid w:val="00632E1A"/>
    <w:rsid w:val="00632EFD"/>
    <w:rsid w:val="006339BE"/>
    <w:rsid w:val="006339FD"/>
    <w:rsid w:val="00633BE5"/>
    <w:rsid w:val="00633D93"/>
    <w:rsid w:val="00633FEC"/>
    <w:rsid w:val="00634052"/>
    <w:rsid w:val="00634063"/>
    <w:rsid w:val="006341D1"/>
    <w:rsid w:val="00634225"/>
    <w:rsid w:val="00634280"/>
    <w:rsid w:val="006345C6"/>
    <w:rsid w:val="00634B87"/>
    <w:rsid w:val="00634C27"/>
    <w:rsid w:val="00634CFF"/>
    <w:rsid w:val="00634DDB"/>
    <w:rsid w:val="00635542"/>
    <w:rsid w:val="0063673C"/>
    <w:rsid w:val="00636A49"/>
    <w:rsid w:val="00636B96"/>
    <w:rsid w:val="006374EC"/>
    <w:rsid w:val="00637658"/>
    <w:rsid w:val="0063765D"/>
    <w:rsid w:val="006377A6"/>
    <w:rsid w:val="00637913"/>
    <w:rsid w:val="00637A3D"/>
    <w:rsid w:val="006401B8"/>
    <w:rsid w:val="00640722"/>
    <w:rsid w:val="00640F9E"/>
    <w:rsid w:val="00641072"/>
    <w:rsid w:val="006411EF"/>
    <w:rsid w:val="006417FE"/>
    <w:rsid w:val="00641AAA"/>
    <w:rsid w:val="00641C15"/>
    <w:rsid w:val="00641C5F"/>
    <w:rsid w:val="00642489"/>
    <w:rsid w:val="006425DD"/>
    <w:rsid w:val="006427EB"/>
    <w:rsid w:val="00642878"/>
    <w:rsid w:val="00642962"/>
    <w:rsid w:val="006429D2"/>
    <w:rsid w:val="00642F12"/>
    <w:rsid w:val="00643726"/>
    <w:rsid w:val="006437D8"/>
    <w:rsid w:val="00643A05"/>
    <w:rsid w:val="00643BB6"/>
    <w:rsid w:val="00643BD2"/>
    <w:rsid w:val="00643CE4"/>
    <w:rsid w:val="00644072"/>
    <w:rsid w:val="006442E2"/>
    <w:rsid w:val="00644412"/>
    <w:rsid w:val="0064447D"/>
    <w:rsid w:val="00644A0F"/>
    <w:rsid w:val="00645038"/>
    <w:rsid w:val="006451D9"/>
    <w:rsid w:val="00645489"/>
    <w:rsid w:val="00645E1A"/>
    <w:rsid w:val="00645E56"/>
    <w:rsid w:val="00645E8B"/>
    <w:rsid w:val="0064712E"/>
    <w:rsid w:val="0064720E"/>
    <w:rsid w:val="00647743"/>
    <w:rsid w:val="00647953"/>
    <w:rsid w:val="006508FF"/>
    <w:rsid w:val="00650BC2"/>
    <w:rsid w:val="00650ED8"/>
    <w:rsid w:val="0065114F"/>
    <w:rsid w:val="00651235"/>
    <w:rsid w:val="006514C5"/>
    <w:rsid w:val="00651977"/>
    <w:rsid w:val="006527D2"/>
    <w:rsid w:val="00652B7E"/>
    <w:rsid w:val="00652E18"/>
    <w:rsid w:val="00652EA1"/>
    <w:rsid w:val="006534AD"/>
    <w:rsid w:val="006534E5"/>
    <w:rsid w:val="0065361D"/>
    <w:rsid w:val="00653A5E"/>
    <w:rsid w:val="00653F0F"/>
    <w:rsid w:val="00653F34"/>
    <w:rsid w:val="00653F79"/>
    <w:rsid w:val="00654537"/>
    <w:rsid w:val="006545E4"/>
    <w:rsid w:val="00654892"/>
    <w:rsid w:val="006549E8"/>
    <w:rsid w:val="00654CC2"/>
    <w:rsid w:val="00654CF3"/>
    <w:rsid w:val="00655F4E"/>
    <w:rsid w:val="0065600C"/>
    <w:rsid w:val="00656F80"/>
    <w:rsid w:val="0065722C"/>
    <w:rsid w:val="00657630"/>
    <w:rsid w:val="00657AF1"/>
    <w:rsid w:val="0066057B"/>
    <w:rsid w:val="00661AEF"/>
    <w:rsid w:val="00661FC5"/>
    <w:rsid w:val="0066249B"/>
    <w:rsid w:val="006625BF"/>
    <w:rsid w:val="00662629"/>
    <w:rsid w:val="00662B62"/>
    <w:rsid w:val="00662D0E"/>
    <w:rsid w:val="006633EB"/>
    <w:rsid w:val="0066398B"/>
    <w:rsid w:val="00663ADA"/>
    <w:rsid w:val="00663B3F"/>
    <w:rsid w:val="00663BD4"/>
    <w:rsid w:val="00664918"/>
    <w:rsid w:val="006653CD"/>
    <w:rsid w:val="006658C4"/>
    <w:rsid w:val="00665983"/>
    <w:rsid w:val="00665B02"/>
    <w:rsid w:val="00665C3E"/>
    <w:rsid w:val="00665E3D"/>
    <w:rsid w:val="00665E8D"/>
    <w:rsid w:val="006666D3"/>
    <w:rsid w:val="006667E0"/>
    <w:rsid w:val="006669FA"/>
    <w:rsid w:val="00666C22"/>
    <w:rsid w:val="00666DE7"/>
    <w:rsid w:val="006673B8"/>
    <w:rsid w:val="00667A31"/>
    <w:rsid w:val="00667B43"/>
    <w:rsid w:val="00667D10"/>
    <w:rsid w:val="00670497"/>
    <w:rsid w:val="00670A6E"/>
    <w:rsid w:val="00670EDC"/>
    <w:rsid w:val="0067174C"/>
    <w:rsid w:val="006719A6"/>
    <w:rsid w:val="00671DB9"/>
    <w:rsid w:val="00671E30"/>
    <w:rsid w:val="0067224C"/>
    <w:rsid w:val="0067235D"/>
    <w:rsid w:val="00672B07"/>
    <w:rsid w:val="00672CA9"/>
    <w:rsid w:val="00672EA7"/>
    <w:rsid w:val="00672F24"/>
    <w:rsid w:val="00672F31"/>
    <w:rsid w:val="00673BB8"/>
    <w:rsid w:val="00673D8A"/>
    <w:rsid w:val="006746E6"/>
    <w:rsid w:val="006748B8"/>
    <w:rsid w:val="00674B89"/>
    <w:rsid w:val="006751D5"/>
    <w:rsid w:val="00675249"/>
    <w:rsid w:val="00675CEC"/>
    <w:rsid w:val="00675DA7"/>
    <w:rsid w:val="00675EF5"/>
    <w:rsid w:val="006760AA"/>
    <w:rsid w:val="00676341"/>
    <w:rsid w:val="006768C3"/>
    <w:rsid w:val="00676A8B"/>
    <w:rsid w:val="00676D3A"/>
    <w:rsid w:val="00676F60"/>
    <w:rsid w:val="00676FFC"/>
    <w:rsid w:val="006770A0"/>
    <w:rsid w:val="00677522"/>
    <w:rsid w:val="006775C3"/>
    <w:rsid w:val="00677AF6"/>
    <w:rsid w:val="00680413"/>
    <w:rsid w:val="0068045E"/>
    <w:rsid w:val="00680A8A"/>
    <w:rsid w:val="00680B2C"/>
    <w:rsid w:val="00680BF1"/>
    <w:rsid w:val="0068140B"/>
    <w:rsid w:val="00681468"/>
    <w:rsid w:val="00681488"/>
    <w:rsid w:val="00681697"/>
    <w:rsid w:val="00681ACB"/>
    <w:rsid w:val="00681AEF"/>
    <w:rsid w:val="00681CEE"/>
    <w:rsid w:val="006822D0"/>
    <w:rsid w:val="00683129"/>
    <w:rsid w:val="006832A7"/>
    <w:rsid w:val="006834BC"/>
    <w:rsid w:val="006836D8"/>
    <w:rsid w:val="00683B26"/>
    <w:rsid w:val="006843AF"/>
    <w:rsid w:val="00684A20"/>
    <w:rsid w:val="00684B5F"/>
    <w:rsid w:val="006854AD"/>
    <w:rsid w:val="00685903"/>
    <w:rsid w:val="006859B3"/>
    <w:rsid w:val="00685B8F"/>
    <w:rsid w:val="006861C5"/>
    <w:rsid w:val="00686268"/>
    <w:rsid w:val="0068638B"/>
    <w:rsid w:val="006866B1"/>
    <w:rsid w:val="00686884"/>
    <w:rsid w:val="0068706F"/>
    <w:rsid w:val="006878AE"/>
    <w:rsid w:val="00687CDD"/>
    <w:rsid w:val="00690179"/>
    <w:rsid w:val="006901BC"/>
    <w:rsid w:val="00690317"/>
    <w:rsid w:val="0069052C"/>
    <w:rsid w:val="00690691"/>
    <w:rsid w:val="00690BBD"/>
    <w:rsid w:val="00690D91"/>
    <w:rsid w:val="00690F44"/>
    <w:rsid w:val="00691456"/>
    <w:rsid w:val="006920E2"/>
    <w:rsid w:val="0069234F"/>
    <w:rsid w:val="00692366"/>
    <w:rsid w:val="006923D1"/>
    <w:rsid w:val="0069290A"/>
    <w:rsid w:val="006945A8"/>
    <w:rsid w:val="0069462D"/>
    <w:rsid w:val="00694D52"/>
    <w:rsid w:val="00694F63"/>
    <w:rsid w:val="006952A1"/>
    <w:rsid w:val="00695AF2"/>
    <w:rsid w:val="00696122"/>
    <w:rsid w:val="0069615A"/>
    <w:rsid w:val="0069618D"/>
    <w:rsid w:val="00696490"/>
    <w:rsid w:val="0069650D"/>
    <w:rsid w:val="0069718F"/>
    <w:rsid w:val="0069775A"/>
    <w:rsid w:val="00697813"/>
    <w:rsid w:val="00697E3A"/>
    <w:rsid w:val="006A00A9"/>
    <w:rsid w:val="006A0E6B"/>
    <w:rsid w:val="006A11AC"/>
    <w:rsid w:val="006A11FB"/>
    <w:rsid w:val="006A1552"/>
    <w:rsid w:val="006A1944"/>
    <w:rsid w:val="006A1B6D"/>
    <w:rsid w:val="006A1B72"/>
    <w:rsid w:val="006A1EA0"/>
    <w:rsid w:val="006A2432"/>
    <w:rsid w:val="006A24CF"/>
    <w:rsid w:val="006A2C52"/>
    <w:rsid w:val="006A2D8F"/>
    <w:rsid w:val="006A2E0C"/>
    <w:rsid w:val="006A32EF"/>
    <w:rsid w:val="006A34BF"/>
    <w:rsid w:val="006A39F4"/>
    <w:rsid w:val="006A3EE8"/>
    <w:rsid w:val="006A473B"/>
    <w:rsid w:val="006A49BC"/>
    <w:rsid w:val="006A4B84"/>
    <w:rsid w:val="006A5128"/>
    <w:rsid w:val="006A5741"/>
    <w:rsid w:val="006A617A"/>
    <w:rsid w:val="006A6200"/>
    <w:rsid w:val="006A6506"/>
    <w:rsid w:val="006A6679"/>
    <w:rsid w:val="006A6885"/>
    <w:rsid w:val="006A72BF"/>
    <w:rsid w:val="006A7567"/>
    <w:rsid w:val="006A7628"/>
    <w:rsid w:val="006A781A"/>
    <w:rsid w:val="006A7E7F"/>
    <w:rsid w:val="006A7F4F"/>
    <w:rsid w:val="006A7FB1"/>
    <w:rsid w:val="006B03F2"/>
    <w:rsid w:val="006B0503"/>
    <w:rsid w:val="006B0EE2"/>
    <w:rsid w:val="006B137F"/>
    <w:rsid w:val="006B1395"/>
    <w:rsid w:val="006B1454"/>
    <w:rsid w:val="006B14C1"/>
    <w:rsid w:val="006B14FA"/>
    <w:rsid w:val="006B156F"/>
    <w:rsid w:val="006B1872"/>
    <w:rsid w:val="006B1924"/>
    <w:rsid w:val="006B1C67"/>
    <w:rsid w:val="006B273B"/>
    <w:rsid w:val="006B274D"/>
    <w:rsid w:val="006B2F2A"/>
    <w:rsid w:val="006B3522"/>
    <w:rsid w:val="006B37DC"/>
    <w:rsid w:val="006B384C"/>
    <w:rsid w:val="006B3BD2"/>
    <w:rsid w:val="006B3E80"/>
    <w:rsid w:val="006B3FDF"/>
    <w:rsid w:val="006B429D"/>
    <w:rsid w:val="006B4513"/>
    <w:rsid w:val="006B46F7"/>
    <w:rsid w:val="006B4B8D"/>
    <w:rsid w:val="006B4F68"/>
    <w:rsid w:val="006B57B3"/>
    <w:rsid w:val="006B6326"/>
    <w:rsid w:val="006B64FE"/>
    <w:rsid w:val="006B6E7C"/>
    <w:rsid w:val="006B720D"/>
    <w:rsid w:val="006B791E"/>
    <w:rsid w:val="006C003C"/>
    <w:rsid w:val="006C018B"/>
    <w:rsid w:val="006C0592"/>
    <w:rsid w:val="006C0C06"/>
    <w:rsid w:val="006C0F6C"/>
    <w:rsid w:val="006C11F8"/>
    <w:rsid w:val="006C19CA"/>
    <w:rsid w:val="006C19ED"/>
    <w:rsid w:val="006C1F80"/>
    <w:rsid w:val="006C24F4"/>
    <w:rsid w:val="006C272E"/>
    <w:rsid w:val="006C2B14"/>
    <w:rsid w:val="006C2BB7"/>
    <w:rsid w:val="006C2D55"/>
    <w:rsid w:val="006C3040"/>
    <w:rsid w:val="006C3104"/>
    <w:rsid w:val="006C37B4"/>
    <w:rsid w:val="006C3A7A"/>
    <w:rsid w:val="006C3CC1"/>
    <w:rsid w:val="006C420F"/>
    <w:rsid w:val="006C45A6"/>
    <w:rsid w:val="006C4797"/>
    <w:rsid w:val="006C491D"/>
    <w:rsid w:val="006C4B09"/>
    <w:rsid w:val="006C4B4F"/>
    <w:rsid w:val="006C50CF"/>
    <w:rsid w:val="006C530B"/>
    <w:rsid w:val="006C5479"/>
    <w:rsid w:val="006C5F0E"/>
    <w:rsid w:val="006C602A"/>
    <w:rsid w:val="006C682B"/>
    <w:rsid w:val="006C699C"/>
    <w:rsid w:val="006C69C1"/>
    <w:rsid w:val="006C6C14"/>
    <w:rsid w:val="006C71B7"/>
    <w:rsid w:val="006C75B0"/>
    <w:rsid w:val="006C75D5"/>
    <w:rsid w:val="006C7785"/>
    <w:rsid w:val="006C7AE2"/>
    <w:rsid w:val="006C7B0B"/>
    <w:rsid w:val="006C7CB6"/>
    <w:rsid w:val="006C7D94"/>
    <w:rsid w:val="006D05C0"/>
    <w:rsid w:val="006D0A76"/>
    <w:rsid w:val="006D0C0E"/>
    <w:rsid w:val="006D0F39"/>
    <w:rsid w:val="006D10CD"/>
    <w:rsid w:val="006D10E7"/>
    <w:rsid w:val="006D11D9"/>
    <w:rsid w:val="006D13B5"/>
    <w:rsid w:val="006D13DA"/>
    <w:rsid w:val="006D153D"/>
    <w:rsid w:val="006D181C"/>
    <w:rsid w:val="006D1AF2"/>
    <w:rsid w:val="006D1BCF"/>
    <w:rsid w:val="006D22DF"/>
    <w:rsid w:val="006D23EE"/>
    <w:rsid w:val="006D249B"/>
    <w:rsid w:val="006D2593"/>
    <w:rsid w:val="006D259C"/>
    <w:rsid w:val="006D2666"/>
    <w:rsid w:val="006D2BE3"/>
    <w:rsid w:val="006D36E4"/>
    <w:rsid w:val="006D3E6A"/>
    <w:rsid w:val="006D4711"/>
    <w:rsid w:val="006D476B"/>
    <w:rsid w:val="006D4915"/>
    <w:rsid w:val="006D4949"/>
    <w:rsid w:val="006D4BBB"/>
    <w:rsid w:val="006D4CD7"/>
    <w:rsid w:val="006D56CC"/>
    <w:rsid w:val="006D6799"/>
    <w:rsid w:val="006D68E2"/>
    <w:rsid w:val="006D6B04"/>
    <w:rsid w:val="006D6B6F"/>
    <w:rsid w:val="006D6DCA"/>
    <w:rsid w:val="006D6EA4"/>
    <w:rsid w:val="006D73A2"/>
    <w:rsid w:val="006D77CE"/>
    <w:rsid w:val="006D7820"/>
    <w:rsid w:val="006D7DD8"/>
    <w:rsid w:val="006D7F1B"/>
    <w:rsid w:val="006E024A"/>
    <w:rsid w:val="006E0A04"/>
    <w:rsid w:val="006E0ADE"/>
    <w:rsid w:val="006E0FB8"/>
    <w:rsid w:val="006E12FF"/>
    <w:rsid w:val="006E1D3B"/>
    <w:rsid w:val="006E325B"/>
    <w:rsid w:val="006E33A6"/>
    <w:rsid w:val="006E3D45"/>
    <w:rsid w:val="006E4095"/>
    <w:rsid w:val="006E40A0"/>
    <w:rsid w:val="006E449B"/>
    <w:rsid w:val="006E4936"/>
    <w:rsid w:val="006E51B8"/>
    <w:rsid w:val="006E559F"/>
    <w:rsid w:val="006E5617"/>
    <w:rsid w:val="006E56B7"/>
    <w:rsid w:val="006E5854"/>
    <w:rsid w:val="006E607E"/>
    <w:rsid w:val="006E60D0"/>
    <w:rsid w:val="006E6371"/>
    <w:rsid w:val="006E6557"/>
    <w:rsid w:val="006E65F7"/>
    <w:rsid w:val="006E6A6C"/>
    <w:rsid w:val="006E6E8B"/>
    <w:rsid w:val="006F000C"/>
    <w:rsid w:val="006F051E"/>
    <w:rsid w:val="006F0A58"/>
    <w:rsid w:val="006F0EA7"/>
    <w:rsid w:val="006F0F82"/>
    <w:rsid w:val="006F0F8A"/>
    <w:rsid w:val="006F15E8"/>
    <w:rsid w:val="006F165A"/>
    <w:rsid w:val="006F17C4"/>
    <w:rsid w:val="006F180F"/>
    <w:rsid w:val="006F1AB6"/>
    <w:rsid w:val="006F1E1E"/>
    <w:rsid w:val="006F1E8B"/>
    <w:rsid w:val="006F24BD"/>
    <w:rsid w:val="006F25CE"/>
    <w:rsid w:val="006F2717"/>
    <w:rsid w:val="006F2C0A"/>
    <w:rsid w:val="006F2E10"/>
    <w:rsid w:val="006F2F8A"/>
    <w:rsid w:val="006F3392"/>
    <w:rsid w:val="006F35F9"/>
    <w:rsid w:val="006F3A5C"/>
    <w:rsid w:val="006F3B30"/>
    <w:rsid w:val="006F3E13"/>
    <w:rsid w:val="006F3F9F"/>
    <w:rsid w:val="006F3FED"/>
    <w:rsid w:val="006F40F4"/>
    <w:rsid w:val="006F4278"/>
    <w:rsid w:val="006F4723"/>
    <w:rsid w:val="006F4978"/>
    <w:rsid w:val="006F5219"/>
    <w:rsid w:val="006F5982"/>
    <w:rsid w:val="006F5AF9"/>
    <w:rsid w:val="006F5B8F"/>
    <w:rsid w:val="006F5BA3"/>
    <w:rsid w:val="006F5EC4"/>
    <w:rsid w:val="006F609F"/>
    <w:rsid w:val="006F6851"/>
    <w:rsid w:val="006F6E54"/>
    <w:rsid w:val="006F6FF5"/>
    <w:rsid w:val="006F7F06"/>
    <w:rsid w:val="007002F3"/>
    <w:rsid w:val="00700AAA"/>
    <w:rsid w:val="00700FCD"/>
    <w:rsid w:val="0070105D"/>
    <w:rsid w:val="00702AE5"/>
    <w:rsid w:val="00702DA6"/>
    <w:rsid w:val="00702F79"/>
    <w:rsid w:val="00703100"/>
    <w:rsid w:val="007032DF"/>
    <w:rsid w:val="007038C0"/>
    <w:rsid w:val="00703BC3"/>
    <w:rsid w:val="00703E59"/>
    <w:rsid w:val="00704915"/>
    <w:rsid w:val="00704F2C"/>
    <w:rsid w:val="00704F7A"/>
    <w:rsid w:val="007051DD"/>
    <w:rsid w:val="00705990"/>
    <w:rsid w:val="00705B22"/>
    <w:rsid w:val="00705B2A"/>
    <w:rsid w:val="00705CCE"/>
    <w:rsid w:val="00705D22"/>
    <w:rsid w:val="00705DB1"/>
    <w:rsid w:val="007064F8"/>
    <w:rsid w:val="00706715"/>
    <w:rsid w:val="0070680E"/>
    <w:rsid w:val="00706C5D"/>
    <w:rsid w:val="0070730E"/>
    <w:rsid w:val="00707454"/>
    <w:rsid w:val="007077C6"/>
    <w:rsid w:val="007078FB"/>
    <w:rsid w:val="00707A5D"/>
    <w:rsid w:val="007101B4"/>
    <w:rsid w:val="0071046C"/>
    <w:rsid w:val="0071073B"/>
    <w:rsid w:val="00710945"/>
    <w:rsid w:val="0071251A"/>
    <w:rsid w:val="00713684"/>
    <w:rsid w:val="00713C5B"/>
    <w:rsid w:val="007141E8"/>
    <w:rsid w:val="0071462F"/>
    <w:rsid w:val="00714989"/>
    <w:rsid w:val="00714B80"/>
    <w:rsid w:val="00714D11"/>
    <w:rsid w:val="00715169"/>
    <w:rsid w:val="007154D2"/>
    <w:rsid w:val="007155DD"/>
    <w:rsid w:val="0071569E"/>
    <w:rsid w:val="0071583C"/>
    <w:rsid w:val="00715862"/>
    <w:rsid w:val="007158CA"/>
    <w:rsid w:val="00715E2F"/>
    <w:rsid w:val="00715EC8"/>
    <w:rsid w:val="007163D4"/>
    <w:rsid w:val="00716A11"/>
    <w:rsid w:val="00716B3C"/>
    <w:rsid w:val="007173F4"/>
    <w:rsid w:val="007174DE"/>
    <w:rsid w:val="00717BED"/>
    <w:rsid w:val="007203B5"/>
    <w:rsid w:val="00720589"/>
    <w:rsid w:val="007205F1"/>
    <w:rsid w:val="00720CD7"/>
    <w:rsid w:val="00720CF1"/>
    <w:rsid w:val="00720E25"/>
    <w:rsid w:val="00720F4E"/>
    <w:rsid w:val="00720F95"/>
    <w:rsid w:val="00721A0D"/>
    <w:rsid w:val="00721AE9"/>
    <w:rsid w:val="00721C78"/>
    <w:rsid w:val="00722B4B"/>
    <w:rsid w:val="00722D8F"/>
    <w:rsid w:val="00722F5D"/>
    <w:rsid w:val="00723F2B"/>
    <w:rsid w:val="0072435A"/>
    <w:rsid w:val="0072480C"/>
    <w:rsid w:val="00724F51"/>
    <w:rsid w:val="0072501D"/>
    <w:rsid w:val="00726377"/>
    <w:rsid w:val="00726A50"/>
    <w:rsid w:val="00727097"/>
    <w:rsid w:val="007274EC"/>
    <w:rsid w:val="00727702"/>
    <w:rsid w:val="0072798D"/>
    <w:rsid w:val="00727A5F"/>
    <w:rsid w:val="00730222"/>
    <w:rsid w:val="0073036C"/>
    <w:rsid w:val="0073058C"/>
    <w:rsid w:val="00730866"/>
    <w:rsid w:val="00730BA6"/>
    <w:rsid w:val="00731502"/>
    <w:rsid w:val="0073175A"/>
    <w:rsid w:val="00731762"/>
    <w:rsid w:val="00731B60"/>
    <w:rsid w:val="00731F2D"/>
    <w:rsid w:val="00731F61"/>
    <w:rsid w:val="00731FBF"/>
    <w:rsid w:val="00731FD4"/>
    <w:rsid w:val="007320BB"/>
    <w:rsid w:val="0073222F"/>
    <w:rsid w:val="00732566"/>
    <w:rsid w:val="00732922"/>
    <w:rsid w:val="007329D0"/>
    <w:rsid w:val="007331AE"/>
    <w:rsid w:val="007333CE"/>
    <w:rsid w:val="0073358E"/>
    <w:rsid w:val="00734264"/>
    <w:rsid w:val="0073476B"/>
    <w:rsid w:val="00734AC0"/>
    <w:rsid w:val="0073636B"/>
    <w:rsid w:val="00737437"/>
    <w:rsid w:val="00737C97"/>
    <w:rsid w:val="007402CB"/>
    <w:rsid w:val="0074066B"/>
    <w:rsid w:val="00740C5B"/>
    <w:rsid w:val="00740CB1"/>
    <w:rsid w:val="00740E46"/>
    <w:rsid w:val="00740EF6"/>
    <w:rsid w:val="00740FB4"/>
    <w:rsid w:val="007410A2"/>
    <w:rsid w:val="007410B0"/>
    <w:rsid w:val="00741520"/>
    <w:rsid w:val="00741580"/>
    <w:rsid w:val="007415C1"/>
    <w:rsid w:val="0074166C"/>
    <w:rsid w:val="00741866"/>
    <w:rsid w:val="00741A5F"/>
    <w:rsid w:val="00741A7B"/>
    <w:rsid w:val="00741DB5"/>
    <w:rsid w:val="007422AB"/>
    <w:rsid w:val="007426EA"/>
    <w:rsid w:val="007427F1"/>
    <w:rsid w:val="00742828"/>
    <w:rsid w:val="00742A1C"/>
    <w:rsid w:val="00742A2C"/>
    <w:rsid w:val="0074311E"/>
    <w:rsid w:val="00743494"/>
    <w:rsid w:val="007437FE"/>
    <w:rsid w:val="00743869"/>
    <w:rsid w:val="00743B61"/>
    <w:rsid w:val="00743CA5"/>
    <w:rsid w:val="00743E8A"/>
    <w:rsid w:val="007441E6"/>
    <w:rsid w:val="0074528E"/>
    <w:rsid w:val="00745CC3"/>
    <w:rsid w:val="007460FA"/>
    <w:rsid w:val="00746A6D"/>
    <w:rsid w:val="007472BA"/>
    <w:rsid w:val="00747AAB"/>
    <w:rsid w:val="00747B25"/>
    <w:rsid w:val="00747E55"/>
    <w:rsid w:val="0075004B"/>
    <w:rsid w:val="007500DF"/>
    <w:rsid w:val="0075019D"/>
    <w:rsid w:val="007502C4"/>
    <w:rsid w:val="007503D3"/>
    <w:rsid w:val="00750ACD"/>
    <w:rsid w:val="00750F8E"/>
    <w:rsid w:val="007510EB"/>
    <w:rsid w:val="00751249"/>
    <w:rsid w:val="00751379"/>
    <w:rsid w:val="0075162E"/>
    <w:rsid w:val="00751720"/>
    <w:rsid w:val="00751A4C"/>
    <w:rsid w:val="00751BBB"/>
    <w:rsid w:val="00751E21"/>
    <w:rsid w:val="00752031"/>
    <w:rsid w:val="00752750"/>
    <w:rsid w:val="007529A4"/>
    <w:rsid w:val="007529B0"/>
    <w:rsid w:val="00752BD4"/>
    <w:rsid w:val="007531E8"/>
    <w:rsid w:val="007534D7"/>
    <w:rsid w:val="00753668"/>
    <w:rsid w:val="00753A8A"/>
    <w:rsid w:val="00753B57"/>
    <w:rsid w:val="00754034"/>
    <w:rsid w:val="007547CC"/>
    <w:rsid w:val="00754DC1"/>
    <w:rsid w:val="007553C4"/>
    <w:rsid w:val="00755408"/>
    <w:rsid w:val="00755825"/>
    <w:rsid w:val="00755BE0"/>
    <w:rsid w:val="00755C1D"/>
    <w:rsid w:val="00756255"/>
    <w:rsid w:val="00756556"/>
    <w:rsid w:val="00756A27"/>
    <w:rsid w:val="00756B96"/>
    <w:rsid w:val="00756F69"/>
    <w:rsid w:val="00756FA8"/>
    <w:rsid w:val="007577DF"/>
    <w:rsid w:val="00757BAD"/>
    <w:rsid w:val="0076030E"/>
    <w:rsid w:val="00760415"/>
    <w:rsid w:val="00760963"/>
    <w:rsid w:val="00760E88"/>
    <w:rsid w:val="007615CA"/>
    <w:rsid w:val="007618C4"/>
    <w:rsid w:val="00761A67"/>
    <w:rsid w:val="00761C56"/>
    <w:rsid w:val="00762043"/>
    <w:rsid w:val="00762566"/>
    <w:rsid w:val="007628CD"/>
    <w:rsid w:val="00762F4E"/>
    <w:rsid w:val="007630FD"/>
    <w:rsid w:val="007633EC"/>
    <w:rsid w:val="00763ABE"/>
    <w:rsid w:val="00763C55"/>
    <w:rsid w:val="00763D11"/>
    <w:rsid w:val="00763F67"/>
    <w:rsid w:val="00764074"/>
    <w:rsid w:val="007640DE"/>
    <w:rsid w:val="007641B8"/>
    <w:rsid w:val="007645B8"/>
    <w:rsid w:val="007647F7"/>
    <w:rsid w:val="00764A78"/>
    <w:rsid w:val="00764C09"/>
    <w:rsid w:val="00764F44"/>
    <w:rsid w:val="007651CD"/>
    <w:rsid w:val="007655F3"/>
    <w:rsid w:val="00765880"/>
    <w:rsid w:val="00765921"/>
    <w:rsid w:val="00765DDA"/>
    <w:rsid w:val="00765F9C"/>
    <w:rsid w:val="00766C37"/>
    <w:rsid w:val="0076753C"/>
    <w:rsid w:val="0076788A"/>
    <w:rsid w:val="00767980"/>
    <w:rsid w:val="00767AC7"/>
    <w:rsid w:val="00767B57"/>
    <w:rsid w:val="00767C79"/>
    <w:rsid w:val="00767D9D"/>
    <w:rsid w:val="007701F4"/>
    <w:rsid w:val="0077048D"/>
    <w:rsid w:val="007706C1"/>
    <w:rsid w:val="00770885"/>
    <w:rsid w:val="00770AD5"/>
    <w:rsid w:val="00770ADE"/>
    <w:rsid w:val="00770B19"/>
    <w:rsid w:val="0077129C"/>
    <w:rsid w:val="0077143C"/>
    <w:rsid w:val="00771495"/>
    <w:rsid w:val="00771672"/>
    <w:rsid w:val="00771A5E"/>
    <w:rsid w:val="00771E05"/>
    <w:rsid w:val="00772700"/>
    <w:rsid w:val="00772FBE"/>
    <w:rsid w:val="00773309"/>
    <w:rsid w:val="00773423"/>
    <w:rsid w:val="007736B8"/>
    <w:rsid w:val="00773A89"/>
    <w:rsid w:val="00773EB3"/>
    <w:rsid w:val="00773ED0"/>
    <w:rsid w:val="0077463F"/>
    <w:rsid w:val="00774A11"/>
    <w:rsid w:val="00774A6E"/>
    <w:rsid w:val="0077515A"/>
    <w:rsid w:val="007751D7"/>
    <w:rsid w:val="007753BF"/>
    <w:rsid w:val="007755E8"/>
    <w:rsid w:val="00775BF6"/>
    <w:rsid w:val="007766B0"/>
    <w:rsid w:val="00776CF2"/>
    <w:rsid w:val="00776DD4"/>
    <w:rsid w:val="00776EF0"/>
    <w:rsid w:val="0077718B"/>
    <w:rsid w:val="0077735E"/>
    <w:rsid w:val="00777FB3"/>
    <w:rsid w:val="00780A0D"/>
    <w:rsid w:val="00780AFD"/>
    <w:rsid w:val="00780CAF"/>
    <w:rsid w:val="00780D1D"/>
    <w:rsid w:val="0078169F"/>
    <w:rsid w:val="00781744"/>
    <w:rsid w:val="00781B6D"/>
    <w:rsid w:val="00781F49"/>
    <w:rsid w:val="00782111"/>
    <w:rsid w:val="00782421"/>
    <w:rsid w:val="0078265E"/>
    <w:rsid w:val="00782660"/>
    <w:rsid w:val="007826A4"/>
    <w:rsid w:val="0078271D"/>
    <w:rsid w:val="00782C77"/>
    <w:rsid w:val="007836EA"/>
    <w:rsid w:val="0078400B"/>
    <w:rsid w:val="0078426B"/>
    <w:rsid w:val="007842C4"/>
    <w:rsid w:val="0078456F"/>
    <w:rsid w:val="00784979"/>
    <w:rsid w:val="00784C22"/>
    <w:rsid w:val="00784CDA"/>
    <w:rsid w:val="007850DD"/>
    <w:rsid w:val="007856E1"/>
    <w:rsid w:val="00785730"/>
    <w:rsid w:val="00785B01"/>
    <w:rsid w:val="00785EE5"/>
    <w:rsid w:val="00786959"/>
    <w:rsid w:val="00786E79"/>
    <w:rsid w:val="00786EF2"/>
    <w:rsid w:val="00787083"/>
    <w:rsid w:val="007872E1"/>
    <w:rsid w:val="007876C9"/>
    <w:rsid w:val="0078793E"/>
    <w:rsid w:val="007879C1"/>
    <w:rsid w:val="007902CC"/>
    <w:rsid w:val="007902DE"/>
    <w:rsid w:val="007905D8"/>
    <w:rsid w:val="007906C4"/>
    <w:rsid w:val="00790967"/>
    <w:rsid w:val="0079099B"/>
    <w:rsid w:val="00791058"/>
    <w:rsid w:val="007913D2"/>
    <w:rsid w:val="00792D0F"/>
    <w:rsid w:val="00792D40"/>
    <w:rsid w:val="00792D4F"/>
    <w:rsid w:val="007934F5"/>
    <w:rsid w:val="00793A04"/>
    <w:rsid w:val="007940EA"/>
    <w:rsid w:val="00794917"/>
    <w:rsid w:val="00794C5A"/>
    <w:rsid w:val="00794DD8"/>
    <w:rsid w:val="00794E8D"/>
    <w:rsid w:val="00794F31"/>
    <w:rsid w:val="0079505F"/>
    <w:rsid w:val="007953E3"/>
    <w:rsid w:val="00795F18"/>
    <w:rsid w:val="007966D7"/>
    <w:rsid w:val="007966FB"/>
    <w:rsid w:val="007967E8"/>
    <w:rsid w:val="0079681F"/>
    <w:rsid w:val="00796932"/>
    <w:rsid w:val="0079707A"/>
    <w:rsid w:val="0079776A"/>
    <w:rsid w:val="00797BB1"/>
    <w:rsid w:val="00797C55"/>
    <w:rsid w:val="00797C93"/>
    <w:rsid w:val="00797F95"/>
    <w:rsid w:val="007A0D65"/>
    <w:rsid w:val="007A0DBF"/>
    <w:rsid w:val="007A1562"/>
    <w:rsid w:val="007A1C60"/>
    <w:rsid w:val="007A2170"/>
    <w:rsid w:val="007A22BF"/>
    <w:rsid w:val="007A2524"/>
    <w:rsid w:val="007A2538"/>
    <w:rsid w:val="007A2760"/>
    <w:rsid w:val="007A2F1C"/>
    <w:rsid w:val="007A2F44"/>
    <w:rsid w:val="007A3323"/>
    <w:rsid w:val="007A3AA6"/>
    <w:rsid w:val="007A3AD8"/>
    <w:rsid w:val="007A434E"/>
    <w:rsid w:val="007A438D"/>
    <w:rsid w:val="007A4767"/>
    <w:rsid w:val="007A5A5D"/>
    <w:rsid w:val="007A5ABE"/>
    <w:rsid w:val="007A5BC3"/>
    <w:rsid w:val="007A62ED"/>
    <w:rsid w:val="007A6744"/>
    <w:rsid w:val="007A6EFC"/>
    <w:rsid w:val="007A7301"/>
    <w:rsid w:val="007A736B"/>
    <w:rsid w:val="007A7820"/>
    <w:rsid w:val="007A7D50"/>
    <w:rsid w:val="007A7E25"/>
    <w:rsid w:val="007A7EF1"/>
    <w:rsid w:val="007B009B"/>
    <w:rsid w:val="007B0179"/>
    <w:rsid w:val="007B03DB"/>
    <w:rsid w:val="007B0E96"/>
    <w:rsid w:val="007B1637"/>
    <w:rsid w:val="007B16E7"/>
    <w:rsid w:val="007B176B"/>
    <w:rsid w:val="007B1B86"/>
    <w:rsid w:val="007B1EF3"/>
    <w:rsid w:val="007B250B"/>
    <w:rsid w:val="007B2755"/>
    <w:rsid w:val="007B27FD"/>
    <w:rsid w:val="007B29AA"/>
    <w:rsid w:val="007B2D1B"/>
    <w:rsid w:val="007B2F5F"/>
    <w:rsid w:val="007B359B"/>
    <w:rsid w:val="007B36A5"/>
    <w:rsid w:val="007B4069"/>
    <w:rsid w:val="007B4828"/>
    <w:rsid w:val="007B4A83"/>
    <w:rsid w:val="007B4C03"/>
    <w:rsid w:val="007B4D52"/>
    <w:rsid w:val="007B4EE2"/>
    <w:rsid w:val="007B53AB"/>
    <w:rsid w:val="007B5447"/>
    <w:rsid w:val="007B5803"/>
    <w:rsid w:val="007B5AFF"/>
    <w:rsid w:val="007B5BD6"/>
    <w:rsid w:val="007B5C43"/>
    <w:rsid w:val="007B6587"/>
    <w:rsid w:val="007B68EF"/>
    <w:rsid w:val="007B6C79"/>
    <w:rsid w:val="007B72AD"/>
    <w:rsid w:val="007B72B8"/>
    <w:rsid w:val="007B7A58"/>
    <w:rsid w:val="007B7C2C"/>
    <w:rsid w:val="007C0553"/>
    <w:rsid w:val="007C09E2"/>
    <w:rsid w:val="007C0CB6"/>
    <w:rsid w:val="007C0ED3"/>
    <w:rsid w:val="007C1712"/>
    <w:rsid w:val="007C1C1F"/>
    <w:rsid w:val="007C1FE1"/>
    <w:rsid w:val="007C21B5"/>
    <w:rsid w:val="007C2B03"/>
    <w:rsid w:val="007C2E00"/>
    <w:rsid w:val="007C2EE0"/>
    <w:rsid w:val="007C3895"/>
    <w:rsid w:val="007C3FBC"/>
    <w:rsid w:val="007C4080"/>
    <w:rsid w:val="007C42B2"/>
    <w:rsid w:val="007C42B5"/>
    <w:rsid w:val="007C4428"/>
    <w:rsid w:val="007C5793"/>
    <w:rsid w:val="007C5B1F"/>
    <w:rsid w:val="007C5B73"/>
    <w:rsid w:val="007C5D2C"/>
    <w:rsid w:val="007C5D8E"/>
    <w:rsid w:val="007C61B2"/>
    <w:rsid w:val="007C6322"/>
    <w:rsid w:val="007C65F6"/>
    <w:rsid w:val="007C6C6F"/>
    <w:rsid w:val="007C6E12"/>
    <w:rsid w:val="007C702C"/>
    <w:rsid w:val="007C70A4"/>
    <w:rsid w:val="007C7F32"/>
    <w:rsid w:val="007D0047"/>
    <w:rsid w:val="007D0500"/>
    <w:rsid w:val="007D0FAF"/>
    <w:rsid w:val="007D1165"/>
    <w:rsid w:val="007D150E"/>
    <w:rsid w:val="007D1830"/>
    <w:rsid w:val="007D1956"/>
    <w:rsid w:val="007D1D1C"/>
    <w:rsid w:val="007D3163"/>
    <w:rsid w:val="007D340F"/>
    <w:rsid w:val="007D377D"/>
    <w:rsid w:val="007D3DE4"/>
    <w:rsid w:val="007D4DFB"/>
    <w:rsid w:val="007D4E14"/>
    <w:rsid w:val="007D53B1"/>
    <w:rsid w:val="007D53DD"/>
    <w:rsid w:val="007D6484"/>
    <w:rsid w:val="007D68B7"/>
    <w:rsid w:val="007D6DB8"/>
    <w:rsid w:val="007D6E6F"/>
    <w:rsid w:val="007D729F"/>
    <w:rsid w:val="007D7333"/>
    <w:rsid w:val="007D742D"/>
    <w:rsid w:val="007D7458"/>
    <w:rsid w:val="007D78E4"/>
    <w:rsid w:val="007E0B2F"/>
    <w:rsid w:val="007E13DA"/>
    <w:rsid w:val="007E16AE"/>
    <w:rsid w:val="007E25E2"/>
    <w:rsid w:val="007E274C"/>
    <w:rsid w:val="007E276E"/>
    <w:rsid w:val="007E285B"/>
    <w:rsid w:val="007E2EFB"/>
    <w:rsid w:val="007E307A"/>
    <w:rsid w:val="007E3A40"/>
    <w:rsid w:val="007E3F78"/>
    <w:rsid w:val="007E445D"/>
    <w:rsid w:val="007E4BD2"/>
    <w:rsid w:val="007E4EB0"/>
    <w:rsid w:val="007E53BE"/>
    <w:rsid w:val="007E5C1F"/>
    <w:rsid w:val="007E613F"/>
    <w:rsid w:val="007E6601"/>
    <w:rsid w:val="007E68A4"/>
    <w:rsid w:val="007E6AD6"/>
    <w:rsid w:val="007E6C58"/>
    <w:rsid w:val="007E712B"/>
    <w:rsid w:val="007E7483"/>
    <w:rsid w:val="007E774D"/>
    <w:rsid w:val="007E7782"/>
    <w:rsid w:val="007F0451"/>
    <w:rsid w:val="007F046A"/>
    <w:rsid w:val="007F04D5"/>
    <w:rsid w:val="007F13CA"/>
    <w:rsid w:val="007F140E"/>
    <w:rsid w:val="007F1B76"/>
    <w:rsid w:val="007F1D22"/>
    <w:rsid w:val="007F24B8"/>
    <w:rsid w:val="007F24E5"/>
    <w:rsid w:val="007F2628"/>
    <w:rsid w:val="007F28BD"/>
    <w:rsid w:val="007F2970"/>
    <w:rsid w:val="007F2A30"/>
    <w:rsid w:val="007F2CBC"/>
    <w:rsid w:val="007F2EE2"/>
    <w:rsid w:val="007F3319"/>
    <w:rsid w:val="007F34F6"/>
    <w:rsid w:val="007F3562"/>
    <w:rsid w:val="007F38E3"/>
    <w:rsid w:val="007F39B8"/>
    <w:rsid w:val="007F4095"/>
    <w:rsid w:val="007F4164"/>
    <w:rsid w:val="007F453B"/>
    <w:rsid w:val="007F45D2"/>
    <w:rsid w:val="007F495E"/>
    <w:rsid w:val="007F495F"/>
    <w:rsid w:val="007F5007"/>
    <w:rsid w:val="007F57C0"/>
    <w:rsid w:val="007F5887"/>
    <w:rsid w:val="007F5C15"/>
    <w:rsid w:val="007F5F74"/>
    <w:rsid w:val="007F62F3"/>
    <w:rsid w:val="007F6420"/>
    <w:rsid w:val="007F6B33"/>
    <w:rsid w:val="007F6FAB"/>
    <w:rsid w:val="007F772A"/>
    <w:rsid w:val="007F7FD7"/>
    <w:rsid w:val="00800456"/>
    <w:rsid w:val="008005B2"/>
    <w:rsid w:val="00801033"/>
    <w:rsid w:val="00801393"/>
    <w:rsid w:val="008013DF"/>
    <w:rsid w:val="0080172A"/>
    <w:rsid w:val="00801AE2"/>
    <w:rsid w:val="00801C56"/>
    <w:rsid w:val="00801C79"/>
    <w:rsid w:val="00801D1F"/>
    <w:rsid w:val="00802410"/>
    <w:rsid w:val="0080246F"/>
    <w:rsid w:val="008026CB"/>
    <w:rsid w:val="00802BCA"/>
    <w:rsid w:val="00802CD2"/>
    <w:rsid w:val="00802D90"/>
    <w:rsid w:val="00802F88"/>
    <w:rsid w:val="008032E1"/>
    <w:rsid w:val="008036F8"/>
    <w:rsid w:val="00803CE5"/>
    <w:rsid w:val="00805365"/>
    <w:rsid w:val="008053A5"/>
    <w:rsid w:val="00805631"/>
    <w:rsid w:val="00805CA8"/>
    <w:rsid w:val="0080627B"/>
    <w:rsid w:val="008065C8"/>
    <w:rsid w:val="0080661D"/>
    <w:rsid w:val="008068ED"/>
    <w:rsid w:val="00806D69"/>
    <w:rsid w:val="00806DD2"/>
    <w:rsid w:val="008076DE"/>
    <w:rsid w:val="00807A30"/>
    <w:rsid w:val="00807A4B"/>
    <w:rsid w:val="00807B02"/>
    <w:rsid w:val="00807BFF"/>
    <w:rsid w:val="00807D30"/>
    <w:rsid w:val="0081060B"/>
    <w:rsid w:val="00810756"/>
    <w:rsid w:val="008107F8"/>
    <w:rsid w:val="008109B4"/>
    <w:rsid w:val="00810DAE"/>
    <w:rsid w:val="00810E2F"/>
    <w:rsid w:val="0081114B"/>
    <w:rsid w:val="008118DA"/>
    <w:rsid w:val="00811A74"/>
    <w:rsid w:val="00812044"/>
    <w:rsid w:val="008120E3"/>
    <w:rsid w:val="00812312"/>
    <w:rsid w:val="00812512"/>
    <w:rsid w:val="00812594"/>
    <w:rsid w:val="0081265E"/>
    <w:rsid w:val="0081268D"/>
    <w:rsid w:val="0081293E"/>
    <w:rsid w:val="00812975"/>
    <w:rsid w:val="00812AFE"/>
    <w:rsid w:val="00812C1A"/>
    <w:rsid w:val="00812F63"/>
    <w:rsid w:val="008132A1"/>
    <w:rsid w:val="008132B5"/>
    <w:rsid w:val="00813559"/>
    <w:rsid w:val="00813849"/>
    <w:rsid w:val="008145C2"/>
    <w:rsid w:val="00814E00"/>
    <w:rsid w:val="008150D2"/>
    <w:rsid w:val="00815328"/>
    <w:rsid w:val="00815465"/>
    <w:rsid w:val="0081557A"/>
    <w:rsid w:val="00815C6F"/>
    <w:rsid w:val="00815CAF"/>
    <w:rsid w:val="00815E9D"/>
    <w:rsid w:val="00816312"/>
    <w:rsid w:val="008164FC"/>
    <w:rsid w:val="008166D9"/>
    <w:rsid w:val="008174C2"/>
    <w:rsid w:val="00817576"/>
    <w:rsid w:val="008175A0"/>
    <w:rsid w:val="0081761E"/>
    <w:rsid w:val="00817C87"/>
    <w:rsid w:val="00817E9A"/>
    <w:rsid w:val="0082031F"/>
    <w:rsid w:val="00820FFC"/>
    <w:rsid w:val="008216FB"/>
    <w:rsid w:val="00821860"/>
    <w:rsid w:val="008218E1"/>
    <w:rsid w:val="00821D6F"/>
    <w:rsid w:val="00821F7F"/>
    <w:rsid w:val="0082215C"/>
    <w:rsid w:val="008223FE"/>
    <w:rsid w:val="00823346"/>
    <w:rsid w:val="00823B4A"/>
    <w:rsid w:val="00823C1C"/>
    <w:rsid w:val="00823E56"/>
    <w:rsid w:val="00824236"/>
    <w:rsid w:val="00824980"/>
    <w:rsid w:val="008254CC"/>
    <w:rsid w:val="00825A38"/>
    <w:rsid w:val="00826233"/>
    <w:rsid w:val="00826399"/>
    <w:rsid w:val="008268CD"/>
    <w:rsid w:val="00826D10"/>
    <w:rsid w:val="0082726C"/>
    <w:rsid w:val="008272CC"/>
    <w:rsid w:val="00827816"/>
    <w:rsid w:val="008300E9"/>
    <w:rsid w:val="0083069E"/>
    <w:rsid w:val="008306BD"/>
    <w:rsid w:val="00830DCC"/>
    <w:rsid w:val="00830F27"/>
    <w:rsid w:val="008310EF"/>
    <w:rsid w:val="0083139A"/>
    <w:rsid w:val="00831483"/>
    <w:rsid w:val="0083149C"/>
    <w:rsid w:val="008314BC"/>
    <w:rsid w:val="0083150F"/>
    <w:rsid w:val="0083199C"/>
    <w:rsid w:val="00831A80"/>
    <w:rsid w:val="00831D5E"/>
    <w:rsid w:val="008320A9"/>
    <w:rsid w:val="008322A6"/>
    <w:rsid w:val="00832946"/>
    <w:rsid w:val="00832B79"/>
    <w:rsid w:val="00832BEB"/>
    <w:rsid w:val="00833743"/>
    <w:rsid w:val="00833C78"/>
    <w:rsid w:val="008340A4"/>
    <w:rsid w:val="008341D6"/>
    <w:rsid w:val="00834789"/>
    <w:rsid w:val="00834B95"/>
    <w:rsid w:val="00834C88"/>
    <w:rsid w:val="008352E6"/>
    <w:rsid w:val="00835397"/>
    <w:rsid w:val="008353B6"/>
    <w:rsid w:val="00835431"/>
    <w:rsid w:val="008356F5"/>
    <w:rsid w:val="00835890"/>
    <w:rsid w:val="00835B76"/>
    <w:rsid w:val="00835C75"/>
    <w:rsid w:val="008363E7"/>
    <w:rsid w:val="008365FB"/>
    <w:rsid w:val="00836AF1"/>
    <w:rsid w:val="00836BCA"/>
    <w:rsid w:val="00836CA4"/>
    <w:rsid w:val="00836CD7"/>
    <w:rsid w:val="0083729E"/>
    <w:rsid w:val="008402C0"/>
    <w:rsid w:val="008403AE"/>
    <w:rsid w:val="008406DA"/>
    <w:rsid w:val="00840769"/>
    <w:rsid w:val="008409E0"/>
    <w:rsid w:val="008412C6"/>
    <w:rsid w:val="008413F5"/>
    <w:rsid w:val="008414B7"/>
    <w:rsid w:val="00841678"/>
    <w:rsid w:val="0084194C"/>
    <w:rsid w:val="008420A2"/>
    <w:rsid w:val="008423CD"/>
    <w:rsid w:val="00842452"/>
    <w:rsid w:val="00843141"/>
    <w:rsid w:val="00843234"/>
    <w:rsid w:val="008433D8"/>
    <w:rsid w:val="00843F46"/>
    <w:rsid w:val="00844153"/>
    <w:rsid w:val="00844647"/>
    <w:rsid w:val="00844A66"/>
    <w:rsid w:val="00844AC2"/>
    <w:rsid w:val="00845009"/>
    <w:rsid w:val="00845138"/>
    <w:rsid w:val="008451EB"/>
    <w:rsid w:val="008455D1"/>
    <w:rsid w:val="00845737"/>
    <w:rsid w:val="00845AA5"/>
    <w:rsid w:val="00845D34"/>
    <w:rsid w:val="00845F60"/>
    <w:rsid w:val="0084609A"/>
    <w:rsid w:val="008461E7"/>
    <w:rsid w:val="00846438"/>
    <w:rsid w:val="0084644C"/>
    <w:rsid w:val="00846726"/>
    <w:rsid w:val="00846865"/>
    <w:rsid w:val="008469F5"/>
    <w:rsid w:val="00846CB7"/>
    <w:rsid w:val="00847CB8"/>
    <w:rsid w:val="00847E71"/>
    <w:rsid w:val="008504AD"/>
    <w:rsid w:val="00850667"/>
    <w:rsid w:val="00850EA1"/>
    <w:rsid w:val="0085118A"/>
    <w:rsid w:val="00851194"/>
    <w:rsid w:val="008518BF"/>
    <w:rsid w:val="00851937"/>
    <w:rsid w:val="008529F7"/>
    <w:rsid w:val="00852DB0"/>
    <w:rsid w:val="00852ECF"/>
    <w:rsid w:val="008531D0"/>
    <w:rsid w:val="0085388C"/>
    <w:rsid w:val="00853B1F"/>
    <w:rsid w:val="00853C02"/>
    <w:rsid w:val="00853E96"/>
    <w:rsid w:val="008556FA"/>
    <w:rsid w:val="008559D0"/>
    <w:rsid w:val="00855AEA"/>
    <w:rsid w:val="00855E5A"/>
    <w:rsid w:val="00856367"/>
    <w:rsid w:val="0085654D"/>
    <w:rsid w:val="00856ADB"/>
    <w:rsid w:val="00856D2D"/>
    <w:rsid w:val="00856D57"/>
    <w:rsid w:val="00857036"/>
    <w:rsid w:val="008579DA"/>
    <w:rsid w:val="00857F2D"/>
    <w:rsid w:val="00857F7F"/>
    <w:rsid w:val="00860BFB"/>
    <w:rsid w:val="00860DE8"/>
    <w:rsid w:val="00860FA0"/>
    <w:rsid w:val="008614FF"/>
    <w:rsid w:val="00861593"/>
    <w:rsid w:val="008615C3"/>
    <w:rsid w:val="00861857"/>
    <w:rsid w:val="008618E7"/>
    <w:rsid w:val="00862098"/>
    <w:rsid w:val="00862388"/>
    <w:rsid w:val="008624E1"/>
    <w:rsid w:val="00862770"/>
    <w:rsid w:val="00862C47"/>
    <w:rsid w:val="0086323C"/>
    <w:rsid w:val="008632C7"/>
    <w:rsid w:val="0086387F"/>
    <w:rsid w:val="00863D60"/>
    <w:rsid w:val="00864166"/>
    <w:rsid w:val="00864873"/>
    <w:rsid w:val="00864C08"/>
    <w:rsid w:val="00864F06"/>
    <w:rsid w:val="00865DA1"/>
    <w:rsid w:val="00866626"/>
    <w:rsid w:val="008670C9"/>
    <w:rsid w:val="008671A1"/>
    <w:rsid w:val="008673D5"/>
    <w:rsid w:val="00867480"/>
    <w:rsid w:val="00867651"/>
    <w:rsid w:val="00867DC2"/>
    <w:rsid w:val="00870576"/>
    <w:rsid w:val="0087073E"/>
    <w:rsid w:val="00870B2E"/>
    <w:rsid w:val="00870DCA"/>
    <w:rsid w:val="00870EFE"/>
    <w:rsid w:val="0087135F"/>
    <w:rsid w:val="008716AD"/>
    <w:rsid w:val="00871E05"/>
    <w:rsid w:val="008721BE"/>
    <w:rsid w:val="00872D94"/>
    <w:rsid w:val="008735E9"/>
    <w:rsid w:val="00873CF7"/>
    <w:rsid w:val="00873DCB"/>
    <w:rsid w:val="00874B4E"/>
    <w:rsid w:val="0087545B"/>
    <w:rsid w:val="0087616E"/>
    <w:rsid w:val="00876250"/>
    <w:rsid w:val="008767E5"/>
    <w:rsid w:val="00876D26"/>
    <w:rsid w:val="00877223"/>
    <w:rsid w:val="008773D7"/>
    <w:rsid w:val="00877749"/>
    <w:rsid w:val="0087774D"/>
    <w:rsid w:val="008777C3"/>
    <w:rsid w:val="0088026A"/>
    <w:rsid w:val="008802A6"/>
    <w:rsid w:val="00880364"/>
    <w:rsid w:val="00880AEC"/>
    <w:rsid w:val="00881135"/>
    <w:rsid w:val="00881521"/>
    <w:rsid w:val="00881680"/>
    <w:rsid w:val="00881798"/>
    <w:rsid w:val="008817B2"/>
    <w:rsid w:val="008817FC"/>
    <w:rsid w:val="008818B4"/>
    <w:rsid w:val="00882133"/>
    <w:rsid w:val="00882287"/>
    <w:rsid w:val="00882668"/>
    <w:rsid w:val="00882706"/>
    <w:rsid w:val="008827C4"/>
    <w:rsid w:val="00882BEE"/>
    <w:rsid w:val="00882FC4"/>
    <w:rsid w:val="008831C8"/>
    <w:rsid w:val="008834E6"/>
    <w:rsid w:val="00883816"/>
    <w:rsid w:val="00883AFC"/>
    <w:rsid w:val="00883CC5"/>
    <w:rsid w:val="00883CD3"/>
    <w:rsid w:val="00883D64"/>
    <w:rsid w:val="00883F5E"/>
    <w:rsid w:val="008845DB"/>
    <w:rsid w:val="008845F0"/>
    <w:rsid w:val="00884EF2"/>
    <w:rsid w:val="008850C9"/>
    <w:rsid w:val="0088543E"/>
    <w:rsid w:val="00885F0D"/>
    <w:rsid w:val="00885F5B"/>
    <w:rsid w:val="00885F79"/>
    <w:rsid w:val="008863C1"/>
    <w:rsid w:val="0088659C"/>
    <w:rsid w:val="0088665C"/>
    <w:rsid w:val="008869F0"/>
    <w:rsid w:val="00886F93"/>
    <w:rsid w:val="008900AF"/>
    <w:rsid w:val="0089012E"/>
    <w:rsid w:val="008904AC"/>
    <w:rsid w:val="008905DA"/>
    <w:rsid w:val="008906EF"/>
    <w:rsid w:val="00891008"/>
    <w:rsid w:val="008913B3"/>
    <w:rsid w:val="00891592"/>
    <w:rsid w:val="00891E9E"/>
    <w:rsid w:val="008920EF"/>
    <w:rsid w:val="00892200"/>
    <w:rsid w:val="00892647"/>
    <w:rsid w:val="008928B1"/>
    <w:rsid w:val="00892AC8"/>
    <w:rsid w:val="00892E27"/>
    <w:rsid w:val="0089366E"/>
    <w:rsid w:val="00893DFF"/>
    <w:rsid w:val="008942F9"/>
    <w:rsid w:val="008944C0"/>
    <w:rsid w:val="008944C2"/>
    <w:rsid w:val="008944E8"/>
    <w:rsid w:val="00894601"/>
    <w:rsid w:val="00894AFE"/>
    <w:rsid w:val="0089512C"/>
    <w:rsid w:val="00895922"/>
    <w:rsid w:val="0089599A"/>
    <w:rsid w:val="00895BB4"/>
    <w:rsid w:val="00895C70"/>
    <w:rsid w:val="008962F9"/>
    <w:rsid w:val="00896672"/>
    <w:rsid w:val="0089692C"/>
    <w:rsid w:val="0089722C"/>
    <w:rsid w:val="0089728C"/>
    <w:rsid w:val="008975C7"/>
    <w:rsid w:val="00897AF9"/>
    <w:rsid w:val="008A0161"/>
    <w:rsid w:val="008A18B6"/>
    <w:rsid w:val="008A1E0B"/>
    <w:rsid w:val="008A1F8E"/>
    <w:rsid w:val="008A256A"/>
    <w:rsid w:val="008A2F68"/>
    <w:rsid w:val="008A3071"/>
    <w:rsid w:val="008A3276"/>
    <w:rsid w:val="008A350E"/>
    <w:rsid w:val="008A3B32"/>
    <w:rsid w:val="008A3CF0"/>
    <w:rsid w:val="008A3E47"/>
    <w:rsid w:val="008A3E5A"/>
    <w:rsid w:val="008A4236"/>
    <w:rsid w:val="008A423A"/>
    <w:rsid w:val="008A4648"/>
    <w:rsid w:val="008A5F76"/>
    <w:rsid w:val="008A6414"/>
    <w:rsid w:val="008A66BF"/>
    <w:rsid w:val="008A68E0"/>
    <w:rsid w:val="008A6FED"/>
    <w:rsid w:val="008A7225"/>
    <w:rsid w:val="008A7D5D"/>
    <w:rsid w:val="008A7EF5"/>
    <w:rsid w:val="008B01F0"/>
    <w:rsid w:val="008B04D7"/>
    <w:rsid w:val="008B0666"/>
    <w:rsid w:val="008B0E24"/>
    <w:rsid w:val="008B1262"/>
    <w:rsid w:val="008B16C2"/>
    <w:rsid w:val="008B1EC4"/>
    <w:rsid w:val="008B205B"/>
    <w:rsid w:val="008B2481"/>
    <w:rsid w:val="008B267D"/>
    <w:rsid w:val="008B327A"/>
    <w:rsid w:val="008B35FF"/>
    <w:rsid w:val="008B3981"/>
    <w:rsid w:val="008B3D1F"/>
    <w:rsid w:val="008B3E3F"/>
    <w:rsid w:val="008B3F30"/>
    <w:rsid w:val="008B3F91"/>
    <w:rsid w:val="008B4EC5"/>
    <w:rsid w:val="008B4FA6"/>
    <w:rsid w:val="008B5282"/>
    <w:rsid w:val="008B53F3"/>
    <w:rsid w:val="008B54F7"/>
    <w:rsid w:val="008B570F"/>
    <w:rsid w:val="008B58BF"/>
    <w:rsid w:val="008B5A2D"/>
    <w:rsid w:val="008B5F1D"/>
    <w:rsid w:val="008B60E2"/>
    <w:rsid w:val="008B67A4"/>
    <w:rsid w:val="008B71D3"/>
    <w:rsid w:val="008B7264"/>
    <w:rsid w:val="008B72E6"/>
    <w:rsid w:val="008B73BC"/>
    <w:rsid w:val="008B74D1"/>
    <w:rsid w:val="008B7572"/>
    <w:rsid w:val="008B7775"/>
    <w:rsid w:val="008B7AF1"/>
    <w:rsid w:val="008B7C17"/>
    <w:rsid w:val="008B7E16"/>
    <w:rsid w:val="008B7FA9"/>
    <w:rsid w:val="008C046C"/>
    <w:rsid w:val="008C0998"/>
    <w:rsid w:val="008C0B1D"/>
    <w:rsid w:val="008C0D9E"/>
    <w:rsid w:val="008C128B"/>
    <w:rsid w:val="008C130B"/>
    <w:rsid w:val="008C1C6B"/>
    <w:rsid w:val="008C2723"/>
    <w:rsid w:val="008C290F"/>
    <w:rsid w:val="008C2D01"/>
    <w:rsid w:val="008C320F"/>
    <w:rsid w:val="008C3269"/>
    <w:rsid w:val="008C36B2"/>
    <w:rsid w:val="008C3CDF"/>
    <w:rsid w:val="008C40E6"/>
    <w:rsid w:val="008C4795"/>
    <w:rsid w:val="008C4B9F"/>
    <w:rsid w:val="008C50C2"/>
    <w:rsid w:val="008C5425"/>
    <w:rsid w:val="008C550F"/>
    <w:rsid w:val="008C5CD3"/>
    <w:rsid w:val="008C69B2"/>
    <w:rsid w:val="008C69CD"/>
    <w:rsid w:val="008C6A67"/>
    <w:rsid w:val="008C6B29"/>
    <w:rsid w:val="008C6B35"/>
    <w:rsid w:val="008C6C49"/>
    <w:rsid w:val="008C6D48"/>
    <w:rsid w:val="008C6F95"/>
    <w:rsid w:val="008D0068"/>
    <w:rsid w:val="008D04C6"/>
    <w:rsid w:val="008D0701"/>
    <w:rsid w:val="008D093B"/>
    <w:rsid w:val="008D0F7A"/>
    <w:rsid w:val="008D1176"/>
    <w:rsid w:val="008D1CF9"/>
    <w:rsid w:val="008D1E5E"/>
    <w:rsid w:val="008D2321"/>
    <w:rsid w:val="008D2498"/>
    <w:rsid w:val="008D2569"/>
    <w:rsid w:val="008D25FB"/>
    <w:rsid w:val="008D2682"/>
    <w:rsid w:val="008D2897"/>
    <w:rsid w:val="008D2954"/>
    <w:rsid w:val="008D2ACF"/>
    <w:rsid w:val="008D2E3F"/>
    <w:rsid w:val="008D33AB"/>
    <w:rsid w:val="008D3502"/>
    <w:rsid w:val="008D3649"/>
    <w:rsid w:val="008D3777"/>
    <w:rsid w:val="008D3C15"/>
    <w:rsid w:val="008D4112"/>
    <w:rsid w:val="008D4123"/>
    <w:rsid w:val="008D41D1"/>
    <w:rsid w:val="008D4775"/>
    <w:rsid w:val="008D4834"/>
    <w:rsid w:val="008D4ECB"/>
    <w:rsid w:val="008D564F"/>
    <w:rsid w:val="008D57F2"/>
    <w:rsid w:val="008D5B3E"/>
    <w:rsid w:val="008D5E22"/>
    <w:rsid w:val="008D617C"/>
    <w:rsid w:val="008D622B"/>
    <w:rsid w:val="008D64EB"/>
    <w:rsid w:val="008D68E4"/>
    <w:rsid w:val="008D69BC"/>
    <w:rsid w:val="008D6A07"/>
    <w:rsid w:val="008D6F75"/>
    <w:rsid w:val="008D6FE1"/>
    <w:rsid w:val="008D75B6"/>
    <w:rsid w:val="008D7A70"/>
    <w:rsid w:val="008E0506"/>
    <w:rsid w:val="008E0561"/>
    <w:rsid w:val="008E0676"/>
    <w:rsid w:val="008E077B"/>
    <w:rsid w:val="008E0CFF"/>
    <w:rsid w:val="008E14B8"/>
    <w:rsid w:val="008E19AC"/>
    <w:rsid w:val="008E1C19"/>
    <w:rsid w:val="008E1F08"/>
    <w:rsid w:val="008E20EF"/>
    <w:rsid w:val="008E23E4"/>
    <w:rsid w:val="008E32FC"/>
    <w:rsid w:val="008E38A2"/>
    <w:rsid w:val="008E3F3E"/>
    <w:rsid w:val="008E4381"/>
    <w:rsid w:val="008E515B"/>
    <w:rsid w:val="008E51F1"/>
    <w:rsid w:val="008E5202"/>
    <w:rsid w:val="008E57EA"/>
    <w:rsid w:val="008E5D6B"/>
    <w:rsid w:val="008E5EB4"/>
    <w:rsid w:val="008E5F5E"/>
    <w:rsid w:val="008E60D1"/>
    <w:rsid w:val="008E631E"/>
    <w:rsid w:val="008E6388"/>
    <w:rsid w:val="008E66D9"/>
    <w:rsid w:val="008E6CFD"/>
    <w:rsid w:val="008E6F64"/>
    <w:rsid w:val="008E7047"/>
    <w:rsid w:val="008E7076"/>
    <w:rsid w:val="008E71D9"/>
    <w:rsid w:val="008E747D"/>
    <w:rsid w:val="008E76F0"/>
    <w:rsid w:val="008E7889"/>
    <w:rsid w:val="008E7A4D"/>
    <w:rsid w:val="008F01A8"/>
    <w:rsid w:val="008F0231"/>
    <w:rsid w:val="008F0510"/>
    <w:rsid w:val="008F05A2"/>
    <w:rsid w:val="008F0905"/>
    <w:rsid w:val="008F0A3F"/>
    <w:rsid w:val="008F0C44"/>
    <w:rsid w:val="008F0F34"/>
    <w:rsid w:val="008F10F1"/>
    <w:rsid w:val="008F116E"/>
    <w:rsid w:val="008F12AE"/>
    <w:rsid w:val="008F15FE"/>
    <w:rsid w:val="008F19AD"/>
    <w:rsid w:val="008F1D3D"/>
    <w:rsid w:val="008F1F95"/>
    <w:rsid w:val="008F22A8"/>
    <w:rsid w:val="008F24C2"/>
    <w:rsid w:val="008F2616"/>
    <w:rsid w:val="008F2887"/>
    <w:rsid w:val="008F28ED"/>
    <w:rsid w:val="008F2D29"/>
    <w:rsid w:val="008F2DB5"/>
    <w:rsid w:val="008F2E5D"/>
    <w:rsid w:val="008F2F8F"/>
    <w:rsid w:val="008F3149"/>
    <w:rsid w:val="008F3BB2"/>
    <w:rsid w:val="008F458C"/>
    <w:rsid w:val="008F459A"/>
    <w:rsid w:val="008F47EB"/>
    <w:rsid w:val="008F4E6E"/>
    <w:rsid w:val="008F4F99"/>
    <w:rsid w:val="008F5187"/>
    <w:rsid w:val="008F51A7"/>
    <w:rsid w:val="008F5535"/>
    <w:rsid w:val="008F5ADB"/>
    <w:rsid w:val="008F60D8"/>
    <w:rsid w:val="008F65A9"/>
    <w:rsid w:val="008F66F3"/>
    <w:rsid w:val="008F717D"/>
    <w:rsid w:val="008F7AF6"/>
    <w:rsid w:val="008F7C68"/>
    <w:rsid w:val="008F7F43"/>
    <w:rsid w:val="008F7FA8"/>
    <w:rsid w:val="00900563"/>
    <w:rsid w:val="00900CB0"/>
    <w:rsid w:val="00900CF5"/>
    <w:rsid w:val="009010A1"/>
    <w:rsid w:val="009014E1"/>
    <w:rsid w:val="00901592"/>
    <w:rsid w:val="009019B8"/>
    <w:rsid w:val="00901C87"/>
    <w:rsid w:val="00902369"/>
    <w:rsid w:val="00902406"/>
    <w:rsid w:val="0090241C"/>
    <w:rsid w:val="00902699"/>
    <w:rsid w:val="00902727"/>
    <w:rsid w:val="009027A8"/>
    <w:rsid w:val="00902C58"/>
    <w:rsid w:val="00902C8F"/>
    <w:rsid w:val="00903097"/>
    <w:rsid w:val="0090312B"/>
    <w:rsid w:val="009031EE"/>
    <w:rsid w:val="00903291"/>
    <w:rsid w:val="0090330E"/>
    <w:rsid w:val="0090347E"/>
    <w:rsid w:val="009038D2"/>
    <w:rsid w:val="00903AC0"/>
    <w:rsid w:val="00903B58"/>
    <w:rsid w:val="00903D9B"/>
    <w:rsid w:val="00904EF7"/>
    <w:rsid w:val="00905318"/>
    <w:rsid w:val="0090547C"/>
    <w:rsid w:val="00905528"/>
    <w:rsid w:val="009057B9"/>
    <w:rsid w:val="00905809"/>
    <w:rsid w:val="009059E5"/>
    <w:rsid w:val="00905EC3"/>
    <w:rsid w:val="00905F1B"/>
    <w:rsid w:val="0090616B"/>
    <w:rsid w:val="0090628B"/>
    <w:rsid w:val="009062DA"/>
    <w:rsid w:val="009066BE"/>
    <w:rsid w:val="0090677E"/>
    <w:rsid w:val="009068D2"/>
    <w:rsid w:val="00906973"/>
    <w:rsid w:val="009072E8"/>
    <w:rsid w:val="0090761E"/>
    <w:rsid w:val="00907701"/>
    <w:rsid w:val="00907AD7"/>
    <w:rsid w:val="00907D2A"/>
    <w:rsid w:val="00907F09"/>
    <w:rsid w:val="009100A6"/>
    <w:rsid w:val="0091066D"/>
    <w:rsid w:val="0091087B"/>
    <w:rsid w:val="00910978"/>
    <w:rsid w:val="00911053"/>
    <w:rsid w:val="0091141D"/>
    <w:rsid w:val="00911E76"/>
    <w:rsid w:val="009123FC"/>
    <w:rsid w:val="00912563"/>
    <w:rsid w:val="00912573"/>
    <w:rsid w:val="00912A01"/>
    <w:rsid w:val="00913223"/>
    <w:rsid w:val="0091360E"/>
    <w:rsid w:val="0091394A"/>
    <w:rsid w:val="00913A58"/>
    <w:rsid w:val="0091418E"/>
    <w:rsid w:val="00914259"/>
    <w:rsid w:val="009149A5"/>
    <w:rsid w:val="00914AFA"/>
    <w:rsid w:val="00914CB3"/>
    <w:rsid w:val="00914EF0"/>
    <w:rsid w:val="00914EF3"/>
    <w:rsid w:val="00915112"/>
    <w:rsid w:val="00916177"/>
    <w:rsid w:val="00916648"/>
    <w:rsid w:val="00916A2D"/>
    <w:rsid w:val="009172E0"/>
    <w:rsid w:val="0091736D"/>
    <w:rsid w:val="00917820"/>
    <w:rsid w:val="009178D6"/>
    <w:rsid w:val="009206F3"/>
    <w:rsid w:val="00920BF0"/>
    <w:rsid w:val="00920D05"/>
    <w:rsid w:val="00920DAC"/>
    <w:rsid w:val="00920F7C"/>
    <w:rsid w:val="00920FB7"/>
    <w:rsid w:val="009210E8"/>
    <w:rsid w:val="009213A5"/>
    <w:rsid w:val="009216C4"/>
    <w:rsid w:val="00921778"/>
    <w:rsid w:val="00921FE9"/>
    <w:rsid w:val="00922174"/>
    <w:rsid w:val="009221AE"/>
    <w:rsid w:val="00922243"/>
    <w:rsid w:val="009225F2"/>
    <w:rsid w:val="009232DA"/>
    <w:rsid w:val="0092340D"/>
    <w:rsid w:val="0092378D"/>
    <w:rsid w:val="00923E9C"/>
    <w:rsid w:val="00923EE1"/>
    <w:rsid w:val="009241E7"/>
    <w:rsid w:val="0092441F"/>
    <w:rsid w:val="009244A9"/>
    <w:rsid w:val="00924531"/>
    <w:rsid w:val="009246AB"/>
    <w:rsid w:val="00924885"/>
    <w:rsid w:val="00924D2A"/>
    <w:rsid w:val="00924D52"/>
    <w:rsid w:val="00925189"/>
    <w:rsid w:val="00925938"/>
    <w:rsid w:val="00925A0E"/>
    <w:rsid w:val="00925EEA"/>
    <w:rsid w:val="0092605B"/>
    <w:rsid w:val="0092653D"/>
    <w:rsid w:val="0092660C"/>
    <w:rsid w:val="00926893"/>
    <w:rsid w:val="00926AD8"/>
    <w:rsid w:val="0092754D"/>
    <w:rsid w:val="00927C63"/>
    <w:rsid w:val="0093037A"/>
    <w:rsid w:val="009304CC"/>
    <w:rsid w:val="00931BC9"/>
    <w:rsid w:val="00932258"/>
    <w:rsid w:val="00932347"/>
    <w:rsid w:val="00932375"/>
    <w:rsid w:val="009323AE"/>
    <w:rsid w:val="009329B2"/>
    <w:rsid w:val="00932D13"/>
    <w:rsid w:val="0093361A"/>
    <w:rsid w:val="0093375D"/>
    <w:rsid w:val="00934330"/>
    <w:rsid w:val="0093479C"/>
    <w:rsid w:val="009347A2"/>
    <w:rsid w:val="009349E9"/>
    <w:rsid w:val="00935671"/>
    <w:rsid w:val="0093569C"/>
    <w:rsid w:val="00935D79"/>
    <w:rsid w:val="00935E30"/>
    <w:rsid w:val="009361FB"/>
    <w:rsid w:val="00936A03"/>
    <w:rsid w:val="00936D88"/>
    <w:rsid w:val="0093715F"/>
    <w:rsid w:val="00937B02"/>
    <w:rsid w:val="00937B1E"/>
    <w:rsid w:val="009406D3"/>
    <w:rsid w:val="00940A87"/>
    <w:rsid w:val="00940C75"/>
    <w:rsid w:val="00941340"/>
    <w:rsid w:val="00941426"/>
    <w:rsid w:val="00941475"/>
    <w:rsid w:val="0094154D"/>
    <w:rsid w:val="00941C7E"/>
    <w:rsid w:val="00941E62"/>
    <w:rsid w:val="00941ECF"/>
    <w:rsid w:val="009426E6"/>
    <w:rsid w:val="00942BC6"/>
    <w:rsid w:val="00942E22"/>
    <w:rsid w:val="00942E86"/>
    <w:rsid w:val="00943019"/>
    <w:rsid w:val="00943168"/>
    <w:rsid w:val="00943599"/>
    <w:rsid w:val="00943706"/>
    <w:rsid w:val="00943E96"/>
    <w:rsid w:val="0094442B"/>
    <w:rsid w:val="009449A8"/>
    <w:rsid w:val="00944B49"/>
    <w:rsid w:val="00944C1F"/>
    <w:rsid w:val="00944D2A"/>
    <w:rsid w:val="00944F9A"/>
    <w:rsid w:val="00945999"/>
    <w:rsid w:val="00945AE8"/>
    <w:rsid w:val="0094601D"/>
    <w:rsid w:val="0094603C"/>
    <w:rsid w:val="0094632B"/>
    <w:rsid w:val="009464E2"/>
    <w:rsid w:val="00946598"/>
    <w:rsid w:val="009476A7"/>
    <w:rsid w:val="0094796A"/>
    <w:rsid w:val="00947ED6"/>
    <w:rsid w:val="00950332"/>
    <w:rsid w:val="00950688"/>
    <w:rsid w:val="0095108A"/>
    <w:rsid w:val="009511B3"/>
    <w:rsid w:val="009513BA"/>
    <w:rsid w:val="0095155F"/>
    <w:rsid w:val="00951BE3"/>
    <w:rsid w:val="0095202A"/>
    <w:rsid w:val="00952212"/>
    <w:rsid w:val="00952305"/>
    <w:rsid w:val="0095249F"/>
    <w:rsid w:val="0095288B"/>
    <w:rsid w:val="00953681"/>
    <w:rsid w:val="009538AF"/>
    <w:rsid w:val="00953F65"/>
    <w:rsid w:val="00953F87"/>
    <w:rsid w:val="00954304"/>
    <w:rsid w:val="00954429"/>
    <w:rsid w:val="009547E3"/>
    <w:rsid w:val="00954819"/>
    <w:rsid w:val="00954B2D"/>
    <w:rsid w:val="00954BEA"/>
    <w:rsid w:val="00954E35"/>
    <w:rsid w:val="00954E48"/>
    <w:rsid w:val="009553FF"/>
    <w:rsid w:val="0095567B"/>
    <w:rsid w:val="00955F46"/>
    <w:rsid w:val="009563CE"/>
    <w:rsid w:val="00956B0F"/>
    <w:rsid w:val="00956D03"/>
    <w:rsid w:val="00956E0B"/>
    <w:rsid w:val="00957EAB"/>
    <w:rsid w:val="00960018"/>
    <w:rsid w:val="00960089"/>
    <w:rsid w:val="00960466"/>
    <w:rsid w:val="009607C1"/>
    <w:rsid w:val="009609A9"/>
    <w:rsid w:val="00960A37"/>
    <w:rsid w:val="009614E7"/>
    <w:rsid w:val="0096161E"/>
    <w:rsid w:val="0096183B"/>
    <w:rsid w:val="00961C50"/>
    <w:rsid w:val="00961D97"/>
    <w:rsid w:val="00961E76"/>
    <w:rsid w:val="00962A1A"/>
    <w:rsid w:val="00962ACA"/>
    <w:rsid w:val="00962D84"/>
    <w:rsid w:val="00963113"/>
    <w:rsid w:val="00963292"/>
    <w:rsid w:val="009633F0"/>
    <w:rsid w:val="00963794"/>
    <w:rsid w:val="00963D66"/>
    <w:rsid w:val="009644D1"/>
    <w:rsid w:val="009645B2"/>
    <w:rsid w:val="00964689"/>
    <w:rsid w:val="00964AF4"/>
    <w:rsid w:val="00964C16"/>
    <w:rsid w:val="00964F61"/>
    <w:rsid w:val="00965502"/>
    <w:rsid w:val="009656A9"/>
    <w:rsid w:val="00965962"/>
    <w:rsid w:val="00966C20"/>
    <w:rsid w:val="00966E9E"/>
    <w:rsid w:val="00966FF1"/>
    <w:rsid w:val="00967BC7"/>
    <w:rsid w:val="00967D15"/>
    <w:rsid w:val="0097076C"/>
    <w:rsid w:val="009709DC"/>
    <w:rsid w:val="0097148B"/>
    <w:rsid w:val="00971E01"/>
    <w:rsid w:val="0097280B"/>
    <w:rsid w:val="00972906"/>
    <w:rsid w:val="00972ADF"/>
    <w:rsid w:val="0097326B"/>
    <w:rsid w:val="00973499"/>
    <w:rsid w:val="00973541"/>
    <w:rsid w:val="00973663"/>
    <w:rsid w:val="00973E65"/>
    <w:rsid w:val="00973F1C"/>
    <w:rsid w:val="009749B0"/>
    <w:rsid w:val="00974AB2"/>
    <w:rsid w:val="00975538"/>
    <w:rsid w:val="00975C6E"/>
    <w:rsid w:val="00976328"/>
    <w:rsid w:val="009764B3"/>
    <w:rsid w:val="0097680D"/>
    <w:rsid w:val="00976CA6"/>
    <w:rsid w:val="00976F40"/>
    <w:rsid w:val="009773BB"/>
    <w:rsid w:val="00977627"/>
    <w:rsid w:val="00977816"/>
    <w:rsid w:val="00977D5D"/>
    <w:rsid w:val="00981215"/>
    <w:rsid w:val="009812CC"/>
    <w:rsid w:val="00981A75"/>
    <w:rsid w:val="009822B4"/>
    <w:rsid w:val="00982438"/>
    <w:rsid w:val="009824E5"/>
    <w:rsid w:val="00983055"/>
    <w:rsid w:val="009838E8"/>
    <w:rsid w:val="00983B68"/>
    <w:rsid w:val="0098404C"/>
    <w:rsid w:val="00984180"/>
    <w:rsid w:val="00984656"/>
    <w:rsid w:val="00984681"/>
    <w:rsid w:val="00984ABD"/>
    <w:rsid w:val="00985283"/>
    <w:rsid w:val="0098535F"/>
    <w:rsid w:val="00986436"/>
    <w:rsid w:val="00986952"/>
    <w:rsid w:val="0098699C"/>
    <w:rsid w:val="00986B4C"/>
    <w:rsid w:val="00986E79"/>
    <w:rsid w:val="0098715B"/>
    <w:rsid w:val="009872A9"/>
    <w:rsid w:val="009874FE"/>
    <w:rsid w:val="00987628"/>
    <w:rsid w:val="00987856"/>
    <w:rsid w:val="00987A46"/>
    <w:rsid w:val="00987AFA"/>
    <w:rsid w:val="00987B27"/>
    <w:rsid w:val="00990122"/>
    <w:rsid w:val="009901EC"/>
    <w:rsid w:val="00990509"/>
    <w:rsid w:val="00990538"/>
    <w:rsid w:val="009908D7"/>
    <w:rsid w:val="009909E8"/>
    <w:rsid w:val="00990B9E"/>
    <w:rsid w:val="00990C14"/>
    <w:rsid w:val="009911EB"/>
    <w:rsid w:val="00991260"/>
    <w:rsid w:val="00991ABF"/>
    <w:rsid w:val="009921D6"/>
    <w:rsid w:val="00992281"/>
    <w:rsid w:val="00992612"/>
    <w:rsid w:val="00992836"/>
    <w:rsid w:val="00992ACE"/>
    <w:rsid w:val="00992FA2"/>
    <w:rsid w:val="009930B3"/>
    <w:rsid w:val="00993243"/>
    <w:rsid w:val="009936C3"/>
    <w:rsid w:val="00993B6D"/>
    <w:rsid w:val="00994430"/>
    <w:rsid w:val="0099443A"/>
    <w:rsid w:val="00994696"/>
    <w:rsid w:val="00994717"/>
    <w:rsid w:val="00994B94"/>
    <w:rsid w:val="00994BEF"/>
    <w:rsid w:val="00994C74"/>
    <w:rsid w:val="00995004"/>
    <w:rsid w:val="0099592A"/>
    <w:rsid w:val="00995992"/>
    <w:rsid w:val="00995C60"/>
    <w:rsid w:val="00996867"/>
    <w:rsid w:val="009968E0"/>
    <w:rsid w:val="00997048"/>
    <w:rsid w:val="0099761A"/>
    <w:rsid w:val="00997622"/>
    <w:rsid w:val="009978FB"/>
    <w:rsid w:val="00997EA3"/>
    <w:rsid w:val="009A03E5"/>
    <w:rsid w:val="009A0AA0"/>
    <w:rsid w:val="009A0CD0"/>
    <w:rsid w:val="009A0F1E"/>
    <w:rsid w:val="009A0F3B"/>
    <w:rsid w:val="009A0FA4"/>
    <w:rsid w:val="009A1617"/>
    <w:rsid w:val="009A1A09"/>
    <w:rsid w:val="009A1BB4"/>
    <w:rsid w:val="009A1F68"/>
    <w:rsid w:val="009A2628"/>
    <w:rsid w:val="009A27AF"/>
    <w:rsid w:val="009A27D5"/>
    <w:rsid w:val="009A2EC6"/>
    <w:rsid w:val="009A3133"/>
    <w:rsid w:val="009A3200"/>
    <w:rsid w:val="009A348E"/>
    <w:rsid w:val="009A351A"/>
    <w:rsid w:val="009A37C9"/>
    <w:rsid w:val="009A3C7A"/>
    <w:rsid w:val="009A3C98"/>
    <w:rsid w:val="009A4752"/>
    <w:rsid w:val="009A4809"/>
    <w:rsid w:val="009A4843"/>
    <w:rsid w:val="009A4BA1"/>
    <w:rsid w:val="009A4D81"/>
    <w:rsid w:val="009A55C4"/>
    <w:rsid w:val="009A591B"/>
    <w:rsid w:val="009A5BF5"/>
    <w:rsid w:val="009A5DD8"/>
    <w:rsid w:val="009A60F9"/>
    <w:rsid w:val="009A64EC"/>
    <w:rsid w:val="009A6F77"/>
    <w:rsid w:val="009B0897"/>
    <w:rsid w:val="009B0D97"/>
    <w:rsid w:val="009B1589"/>
    <w:rsid w:val="009B15E4"/>
    <w:rsid w:val="009B1950"/>
    <w:rsid w:val="009B20CC"/>
    <w:rsid w:val="009B2711"/>
    <w:rsid w:val="009B2A87"/>
    <w:rsid w:val="009B2C38"/>
    <w:rsid w:val="009B2DB4"/>
    <w:rsid w:val="009B2EDD"/>
    <w:rsid w:val="009B3046"/>
    <w:rsid w:val="009B32B6"/>
    <w:rsid w:val="009B34F1"/>
    <w:rsid w:val="009B35EE"/>
    <w:rsid w:val="009B38D7"/>
    <w:rsid w:val="009B3A34"/>
    <w:rsid w:val="009B3DF7"/>
    <w:rsid w:val="009B3F97"/>
    <w:rsid w:val="009B462F"/>
    <w:rsid w:val="009B47B5"/>
    <w:rsid w:val="009B4B56"/>
    <w:rsid w:val="009B4BB7"/>
    <w:rsid w:val="009B4C41"/>
    <w:rsid w:val="009B4E02"/>
    <w:rsid w:val="009B5401"/>
    <w:rsid w:val="009B5C6E"/>
    <w:rsid w:val="009B5EC3"/>
    <w:rsid w:val="009B611B"/>
    <w:rsid w:val="009B68EF"/>
    <w:rsid w:val="009B7327"/>
    <w:rsid w:val="009B7991"/>
    <w:rsid w:val="009B7BD9"/>
    <w:rsid w:val="009C0136"/>
    <w:rsid w:val="009C1289"/>
    <w:rsid w:val="009C1611"/>
    <w:rsid w:val="009C22A0"/>
    <w:rsid w:val="009C274A"/>
    <w:rsid w:val="009C2907"/>
    <w:rsid w:val="009C2966"/>
    <w:rsid w:val="009C2C70"/>
    <w:rsid w:val="009C32C5"/>
    <w:rsid w:val="009C3868"/>
    <w:rsid w:val="009C3914"/>
    <w:rsid w:val="009C39F0"/>
    <w:rsid w:val="009C4515"/>
    <w:rsid w:val="009C494F"/>
    <w:rsid w:val="009C49EC"/>
    <w:rsid w:val="009C4D45"/>
    <w:rsid w:val="009C5300"/>
    <w:rsid w:val="009C5434"/>
    <w:rsid w:val="009C55FD"/>
    <w:rsid w:val="009C593D"/>
    <w:rsid w:val="009C65F3"/>
    <w:rsid w:val="009C661B"/>
    <w:rsid w:val="009C7037"/>
    <w:rsid w:val="009C7121"/>
    <w:rsid w:val="009C71CE"/>
    <w:rsid w:val="009C78C2"/>
    <w:rsid w:val="009C7A36"/>
    <w:rsid w:val="009C7DD5"/>
    <w:rsid w:val="009C7EEE"/>
    <w:rsid w:val="009D050F"/>
    <w:rsid w:val="009D0D69"/>
    <w:rsid w:val="009D13DB"/>
    <w:rsid w:val="009D1FC8"/>
    <w:rsid w:val="009D3791"/>
    <w:rsid w:val="009D3A27"/>
    <w:rsid w:val="009D3CA2"/>
    <w:rsid w:val="009D3F7A"/>
    <w:rsid w:val="009D450A"/>
    <w:rsid w:val="009D47FA"/>
    <w:rsid w:val="009D4C1F"/>
    <w:rsid w:val="009D54BD"/>
    <w:rsid w:val="009D5C48"/>
    <w:rsid w:val="009D5FC4"/>
    <w:rsid w:val="009D6323"/>
    <w:rsid w:val="009D65F3"/>
    <w:rsid w:val="009D6B97"/>
    <w:rsid w:val="009D70E5"/>
    <w:rsid w:val="009D7568"/>
    <w:rsid w:val="009D763E"/>
    <w:rsid w:val="009E0450"/>
    <w:rsid w:val="009E077A"/>
    <w:rsid w:val="009E08D0"/>
    <w:rsid w:val="009E0932"/>
    <w:rsid w:val="009E0C0F"/>
    <w:rsid w:val="009E0DEC"/>
    <w:rsid w:val="009E0F95"/>
    <w:rsid w:val="009E1222"/>
    <w:rsid w:val="009E13CE"/>
    <w:rsid w:val="009E15E2"/>
    <w:rsid w:val="009E1AB8"/>
    <w:rsid w:val="009E1AD8"/>
    <w:rsid w:val="009E227D"/>
    <w:rsid w:val="009E2B91"/>
    <w:rsid w:val="009E3380"/>
    <w:rsid w:val="009E3F1A"/>
    <w:rsid w:val="009E41CB"/>
    <w:rsid w:val="009E46F0"/>
    <w:rsid w:val="009E47EB"/>
    <w:rsid w:val="009E48C6"/>
    <w:rsid w:val="009E4D5C"/>
    <w:rsid w:val="009E4D72"/>
    <w:rsid w:val="009E4FD3"/>
    <w:rsid w:val="009E5017"/>
    <w:rsid w:val="009E5019"/>
    <w:rsid w:val="009E5142"/>
    <w:rsid w:val="009E5232"/>
    <w:rsid w:val="009E559D"/>
    <w:rsid w:val="009E57A9"/>
    <w:rsid w:val="009E57D9"/>
    <w:rsid w:val="009E5B72"/>
    <w:rsid w:val="009E5BEA"/>
    <w:rsid w:val="009E5CBE"/>
    <w:rsid w:val="009E5F38"/>
    <w:rsid w:val="009E602F"/>
    <w:rsid w:val="009E606A"/>
    <w:rsid w:val="009E6239"/>
    <w:rsid w:val="009E6814"/>
    <w:rsid w:val="009E6976"/>
    <w:rsid w:val="009E6AD2"/>
    <w:rsid w:val="009E6D48"/>
    <w:rsid w:val="009E706D"/>
    <w:rsid w:val="009E784E"/>
    <w:rsid w:val="009E78F5"/>
    <w:rsid w:val="009E79A6"/>
    <w:rsid w:val="009E7CF8"/>
    <w:rsid w:val="009F1C54"/>
    <w:rsid w:val="009F1EBC"/>
    <w:rsid w:val="009F2599"/>
    <w:rsid w:val="009F2748"/>
    <w:rsid w:val="009F278C"/>
    <w:rsid w:val="009F2C9F"/>
    <w:rsid w:val="009F2DAE"/>
    <w:rsid w:val="009F2FFC"/>
    <w:rsid w:val="009F3134"/>
    <w:rsid w:val="009F33D3"/>
    <w:rsid w:val="009F3581"/>
    <w:rsid w:val="009F3722"/>
    <w:rsid w:val="009F39A2"/>
    <w:rsid w:val="009F4366"/>
    <w:rsid w:val="009F497A"/>
    <w:rsid w:val="009F4AC0"/>
    <w:rsid w:val="009F4E4D"/>
    <w:rsid w:val="009F546B"/>
    <w:rsid w:val="009F69D8"/>
    <w:rsid w:val="009F6C13"/>
    <w:rsid w:val="009F6FD5"/>
    <w:rsid w:val="009F703D"/>
    <w:rsid w:val="009F7608"/>
    <w:rsid w:val="009F7BD8"/>
    <w:rsid w:val="00A00184"/>
    <w:rsid w:val="00A006F4"/>
    <w:rsid w:val="00A0105A"/>
    <w:rsid w:val="00A01089"/>
    <w:rsid w:val="00A018E9"/>
    <w:rsid w:val="00A02097"/>
    <w:rsid w:val="00A020A6"/>
    <w:rsid w:val="00A020AA"/>
    <w:rsid w:val="00A0232E"/>
    <w:rsid w:val="00A025AB"/>
    <w:rsid w:val="00A02F29"/>
    <w:rsid w:val="00A032AC"/>
    <w:rsid w:val="00A03392"/>
    <w:rsid w:val="00A033EB"/>
    <w:rsid w:val="00A03626"/>
    <w:rsid w:val="00A03C05"/>
    <w:rsid w:val="00A03D8E"/>
    <w:rsid w:val="00A04100"/>
    <w:rsid w:val="00A0425D"/>
    <w:rsid w:val="00A04636"/>
    <w:rsid w:val="00A04ACB"/>
    <w:rsid w:val="00A04C3A"/>
    <w:rsid w:val="00A04DDE"/>
    <w:rsid w:val="00A04E3D"/>
    <w:rsid w:val="00A04F1B"/>
    <w:rsid w:val="00A0501B"/>
    <w:rsid w:val="00A057C9"/>
    <w:rsid w:val="00A05815"/>
    <w:rsid w:val="00A0595E"/>
    <w:rsid w:val="00A05AA9"/>
    <w:rsid w:val="00A05ACE"/>
    <w:rsid w:val="00A05B66"/>
    <w:rsid w:val="00A05BB1"/>
    <w:rsid w:val="00A06450"/>
    <w:rsid w:val="00A06570"/>
    <w:rsid w:val="00A066E6"/>
    <w:rsid w:val="00A06D91"/>
    <w:rsid w:val="00A0732B"/>
    <w:rsid w:val="00A07A3A"/>
    <w:rsid w:val="00A07A54"/>
    <w:rsid w:val="00A07D3A"/>
    <w:rsid w:val="00A10873"/>
    <w:rsid w:val="00A10B87"/>
    <w:rsid w:val="00A110FA"/>
    <w:rsid w:val="00A1111C"/>
    <w:rsid w:val="00A1165C"/>
    <w:rsid w:val="00A11BC6"/>
    <w:rsid w:val="00A11FDC"/>
    <w:rsid w:val="00A12062"/>
    <w:rsid w:val="00A120D2"/>
    <w:rsid w:val="00A12401"/>
    <w:rsid w:val="00A127A6"/>
    <w:rsid w:val="00A12CB8"/>
    <w:rsid w:val="00A12E62"/>
    <w:rsid w:val="00A12FE7"/>
    <w:rsid w:val="00A132C3"/>
    <w:rsid w:val="00A1363D"/>
    <w:rsid w:val="00A1366C"/>
    <w:rsid w:val="00A13F66"/>
    <w:rsid w:val="00A1424D"/>
    <w:rsid w:val="00A14947"/>
    <w:rsid w:val="00A149D3"/>
    <w:rsid w:val="00A14AFF"/>
    <w:rsid w:val="00A14BE2"/>
    <w:rsid w:val="00A14FD1"/>
    <w:rsid w:val="00A154CE"/>
    <w:rsid w:val="00A1555D"/>
    <w:rsid w:val="00A1617E"/>
    <w:rsid w:val="00A161AB"/>
    <w:rsid w:val="00A166CD"/>
    <w:rsid w:val="00A16FB2"/>
    <w:rsid w:val="00A1727D"/>
    <w:rsid w:val="00A17488"/>
    <w:rsid w:val="00A17A69"/>
    <w:rsid w:val="00A17F2E"/>
    <w:rsid w:val="00A20437"/>
    <w:rsid w:val="00A20661"/>
    <w:rsid w:val="00A2090E"/>
    <w:rsid w:val="00A20E08"/>
    <w:rsid w:val="00A20EF9"/>
    <w:rsid w:val="00A2131E"/>
    <w:rsid w:val="00A2210B"/>
    <w:rsid w:val="00A2214A"/>
    <w:rsid w:val="00A227B3"/>
    <w:rsid w:val="00A228B3"/>
    <w:rsid w:val="00A228DB"/>
    <w:rsid w:val="00A22988"/>
    <w:rsid w:val="00A22D24"/>
    <w:rsid w:val="00A230AE"/>
    <w:rsid w:val="00A23144"/>
    <w:rsid w:val="00A23588"/>
    <w:rsid w:val="00A23A83"/>
    <w:rsid w:val="00A24652"/>
    <w:rsid w:val="00A24855"/>
    <w:rsid w:val="00A24A7B"/>
    <w:rsid w:val="00A24D36"/>
    <w:rsid w:val="00A25A97"/>
    <w:rsid w:val="00A25FD5"/>
    <w:rsid w:val="00A260A4"/>
    <w:rsid w:val="00A265AB"/>
    <w:rsid w:val="00A26976"/>
    <w:rsid w:val="00A26AA7"/>
    <w:rsid w:val="00A26C8E"/>
    <w:rsid w:val="00A26E1E"/>
    <w:rsid w:val="00A26F63"/>
    <w:rsid w:val="00A2751B"/>
    <w:rsid w:val="00A27915"/>
    <w:rsid w:val="00A279FB"/>
    <w:rsid w:val="00A27FF2"/>
    <w:rsid w:val="00A300A9"/>
    <w:rsid w:val="00A30138"/>
    <w:rsid w:val="00A302D9"/>
    <w:rsid w:val="00A303E9"/>
    <w:rsid w:val="00A305BD"/>
    <w:rsid w:val="00A307E1"/>
    <w:rsid w:val="00A30939"/>
    <w:rsid w:val="00A30AF7"/>
    <w:rsid w:val="00A30BCC"/>
    <w:rsid w:val="00A30E95"/>
    <w:rsid w:val="00A31592"/>
    <w:rsid w:val="00A3161A"/>
    <w:rsid w:val="00A31FDF"/>
    <w:rsid w:val="00A32A77"/>
    <w:rsid w:val="00A32A83"/>
    <w:rsid w:val="00A33668"/>
    <w:rsid w:val="00A337E3"/>
    <w:rsid w:val="00A33A85"/>
    <w:rsid w:val="00A33FED"/>
    <w:rsid w:val="00A34078"/>
    <w:rsid w:val="00A34242"/>
    <w:rsid w:val="00A34426"/>
    <w:rsid w:val="00A34463"/>
    <w:rsid w:val="00A34F6E"/>
    <w:rsid w:val="00A3533D"/>
    <w:rsid w:val="00A35373"/>
    <w:rsid w:val="00A35406"/>
    <w:rsid w:val="00A357D4"/>
    <w:rsid w:val="00A35870"/>
    <w:rsid w:val="00A35A35"/>
    <w:rsid w:val="00A35B38"/>
    <w:rsid w:val="00A36830"/>
    <w:rsid w:val="00A368DB"/>
    <w:rsid w:val="00A36CFB"/>
    <w:rsid w:val="00A37272"/>
    <w:rsid w:val="00A3738F"/>
    <w:rsid w:val="00A37AC7"/>
    <w:rsid w:val="00A37C7C"/>
    <w:rsid w:val="00A37FE7"/>
    <w:rsid w:val="00A401B3"/>
    <w:rsid w:val="00A406C1"/>
    <w:rsid w:val="00A40C49"/>
    <w:rsid w:val="00A423AA"/>
    <w:rsid w:val="00A42A8D"/>
    <w:rsid w:val="00A42C98"/>
    <w:rsid w:val="00A4344F"/>
    <w:rsid w:val="00A43521"/>
    <w:rsid w:val="00A43BC0"/>
    <w:rsid w:val="00A43CE8"/>
    <w:rsid w:val="00A44627"/>
    <w:rsid w:val="00A4469A"/>
    <w:rsid w:val="00A446BB"/>
    <w:rsid w:val="00A44749"/>
    <w:rsid w:val="00A44BD7"/>
    <w:rsid w:val="00A45127"/>
    <w:rsid w:val="00A45BFB"/>
    <w:rsid w:val="00A45C38"/>
    <w:rsid w:val="00A464E8"/>
    <w:rsid w:val="00A4652C"/>
    <w:rsid w:val="00A46737"/>
    <w:rsid w:val="00A467FB"/>
    <w:rsid w:val="00A4690A"/>
    <w:rsid w:val="00A4695B"/>
    <w:rsid w:val="00A46982"/>
    <w:rsid w:val="00A46BFD"/>
    <w:rsid w:val="00A50228"/>
    <w:rsid w:val="00A50731"/>
    <w:rsid w:val="00A508EF"/>
    <w:rsid w:val="00A5099E"/>
    <w:rsid w:val="00A50CFD"/>
    <w:rsid w:val="00A50DB8"/>
    <w:rsid w:val="00A50F4F"/>
    <w:rsid w:val="00A51847"/>
    <w:rsid w:val="00A51903"/>
    <w:rsid w:val="00A52288"/>
    <w:rsid w:val="00A528AD"/>
    <w:rsid w:val="00A53049"/>
    <w:rsid w:val="00A534AE"/>
    <w:rsid w:val="00A53714"/>
    <w:rsid w:val="00A53900"/>
    <w:rsid w:val="00A5394C"/>
    <w:rsid w:val="00A53A56"/>
    <w:rsid w:val="00A53EC6"/>
    <w:rsid w:val="00A54AC1"/>
    <w:rsid w:val="00A54C06"/>
    <w:rsid w:val="00A54DD0"/>
    <w:rsid w:val="00A55374"/>
    <w:rsid w:val="00A5567B"/>
    <w:rsid w:val="00A55C0F"/>
    <w:rsid w:val="00A55E58"/>
    <w:rsid w:val="00A56562"/>
    <w:rsid w:val="00A56A62"/>
    <w:rsid w:val="00A56CFA"/>
    <w:rsid w:val="00A571D5"/>
    <w:rsid w:val="00A5749B"/>
    <w:rsid w:val="00A579F1"/>
    <w:rsid w:val="00A60867"/>
    <w:rsid w:val="00A61465"/>
    <w:rsid w:val="00A614D6"/>
    <w:rsid w:val="00A618C5"/>
    <w:rsid w:val="00A6194D"/>
    <w:rsid w:val="00A61EC5"/>
    <w:rsid w:val="00A6248B"/>
    <w:rsid w:val="00A6258F"/>
    <w:rsid w:val="00A626F8"/>
    <w:rsid w:val="00A62B38"/>
    <w:rsid w:val="00A62D45"/>
    <w:rsid w:val="00A6317C"/>
    <w:rsid w:val="00A639DF"/>
    <w:rsid w:val="00A63BA1"/>
    <w:rsid w:val="00A64F4B"/>
    <w:rsid w:val="00A6536E"/>
    <w:rsid w:val="00A657E8"/>
    <w:rsid w:val="00A65B9E"/>
    <w:rsid w:val="00A65C56"/>
    <w:rsid w:val="00A65D60"/>
    <w:rsid w:val="00A66009"/>
    <w:rsid w:val="00A66117"/>
    <w:rsid w:val="00A66134"/>
    <w:rsid w:val="00A6657E"/>
    <w:rsid w:val="00A66732"/>
    <w:rsid w:val="00A66A28"/>
    <w:rsid w:val="00A66D21"/>
    <w:rsid w:val="00A67284"/>
    <w:rsid w:val="00A6734F"/>
    <w:rsid w:val="00A67568"/>
    <w:rsid w:val="00A67A7A"/>
    <w:rsid w:val="00A67C64"/>
    <w:rsid w:val="00A67D34"/>
    <w:rsid w:val="00A67DAE"/>
    <w:rsid w:val="00A67DFD"/>
    <w:rsid w:val="00A67E12"/>
    <w:rsid w:val="00A67E16"/>
    <w:rsid w:val="00A70639"/>
    <w:rsid w:val="00A70877"/>
    <w:rsid w:val="00A70B81"/>
    <w:rsid w:val="00A7141B"/>
    <w:rsid w:val="00A71C3E"/>
    <w:rsid w:val="00A71DB1"/>
    <w:rsid w:val="00A721F3"/>
    <w:rsid w:val="00A72F65"/>
    <w:rsid w:val="00A73066"/>
    <w:rsid w:val="00A7321E"/>
    <w:rsid w:val="00A732C6"/>
    <w:rsid w:val="00A73676"/>
    <w:rsid w:val="00A73DC9"/>
    <w:rsid w:val="00A74109"/>
    <w:rsid w:val="00A74838"/>
    <w:rsid w:val="00A74A6E"/>
    <w:rsid w:val="00A74B21"/>
    <w:rsid w:val="00A74E1F"/>
    <w:rsid w:val="00A7591C"/>
    <w:rsid w:val="00A75A37"/>
    <w:rsid w:val="00A76374"/>
    <w:rsid w:val="00A76455"/>
    <w:rsid w:val="00A7733C"/>
    <w:rsid w:val="00A77574"/>
    <w:rsid w:val="00A7768F"/>
    <w:rsid w:val="00A77816"/>
    <w:rsid w:val="00A779E2"/>
    <w:rsid w:val="00A77E05"/>
    <w:rsid w:val="00A77E60"/>
    <w:rsid w:val="00A77F38"/>
    <w:rsid w:val="00A8028C"/>
    <w:rsid w:val="00A805DC"/>
    <w:rsid w:val="00A8067E"/>
    <w:rsid w:val="00A80851"/>
    <w:rsid w:val="00A80871"/>
    <w:rsid w:val="00A810D6"/>
    <w:rsid w:val="00A816FC"/>
    <w:rsid w:val="00A81CD9"/>
    <w:rsid w:val="00A81E12"/>
    <w:rsid w:val="00A822EC"/>
    <w:rsid w:val="00A82876"/>
    <w:rsid w:val="00A828D5"/>
    <w:rsid w:val="00A833D2"/>
    <w:rsid w:val="00A834D1"/>
    <w:rsid w:val="00A8399C"/>
    <w:rsid w:val="00A83D03"/>
    <w:rsid w:val="00A85494"/>
    <w:rsid w:val="00A858E5"/>
    <w:rsid w:val="00A85923"/>
    <w:rsid w:val="00A85F83"/>
    <w:rsid w:val="00A864DB"/>
    <w:rsid w:val="00A86B6E"/>
    <w:rsid w:val="00A86DBF"/>
    <w:rsid w:val="00A86E72"/>
    <w:rsid w:val="00A87135"/>
    <w:rsid w:val="00A8713F"/>
    <w:rsid w:val="00A87315"/>
    <w:rsid w:val="00A8768D"/>
    <w:rsid w:val="00A903A1"/>
    <w:rsid w:val="00A904FD"/>
    <w:rsid w:val="00A90662"/>
    <w:rsid w:val="00A9095B"/>
    <w:rsid w:val="00A90AAD"/>
    <w:rsid w:val="00A90BA1"/>
    <w:rsid w:val="00A91A61"/>
    <w:rsid w:val="00A921D6"/>
    <w:rsid w:val="00A924E0"/>
    <w:rsid w:val="00A924EC"/>
    <w:rsid w:val="00A92851"/>
    <w:rsid w:val="00A92AD4"/>
    <w:rsid w:val="00A935DF"/>
    <w:rsid w:val="00A93939"/>
    <w:rsid w:val="00A94616"/>
    <w:rsid w:val="00A947CA"/>
    <w:rsid w:val="00A9521F"/>
    <w:rsid w:val="00A95403"/>
    <w:rsid w:val="00A95679"/>
    <w:rsid w:val="00A95AD6"/>
    <w:rsid w:val="00A95DDA"/>
    <w:rsid w:val="00A95E48"/>
    <w:rsid w:val="00A960E3"/>
    <w:rsid w:val="00A96202"/>
    <w:rsid w:val="00A96506"/>
    <w:rsid w:val="00A966F7"/>
    <w:rsid w:val="00A96976"/>
    <w:rsid w:val="00A96C0C"/>
    <w:rsid w:val="00A97195"/>
    <w:rsid w:val="00A973AD"/>
    <w:rsid w:val="00A97445"/>
    <w:rsid w:val="00A97A9A"/>
    <w:rsid w:val="00A97C75"/>
    <w:rsid w:val="00AA0671"/>
    <w:rsid w:val="00AA0838"/>
    <w:rsid w:val="00AA0F05"/>
    <w:rsid w:val="00AA13BD"/>
    <w:rsid w:val="00AA141D"/>
    <w:rsid w:val="00AA146B"/>
    <w:rsid w:val="00AA17F8"/>
    <w:rsid w:val="00AA1926"/>
    <w:rsid w:val="00AA1B0A"/>
    <w:rsid w:val="00AA1C8B"/>
    <w:rsid w:val="00AA203C"/>
    <w:rsid w:val="00AA2146"/>
    <w:rsid w:val="00AA23C7"/>
    <w:rsid w:val="00AA2531"/>
    <w:rsid w:val="00AA254A"/>
    <w:rsid w:val="00AA2726"/>
    <w:rsid w:val="00AA283E"/>
    <w:rsid w:val="00AA293B"/>
    <w:rsid w:val="00AA2A9F"/>
    <w:rsid w:val="00AA2B6B"/>
    <w:rsid w:val="00AA2C3A"/>
    <w:rsid w:val="00AA2D75"/>
    <w:rsid w:val="00AA2E4E"/>
    <w:rsid w:val="00AA31EA"/>
    <w:rsid w:val="00AA38C8"/>
    <w:rsid w:val="00AA422E"/>
    <w:rsid w:val="00AA4285"/>
    <w:rsid w:val="00AA46A6"/>
    <w:rsid w:val="00AA47AA"/>
    <w:rsid w:val="00AA4E8A"/>
    <w:rsid w:val="00AA5A67"/>
    <w:rsid w:val="00AA5E4C"/>
    <w:rsid w:val="00AA6693"/>
    <w:rsid w:val="00AA696B"/>
    <w:rsid w:val="00AA73F8"/>
    <w:rsid w:val="00AA7865"/>
    <w:rsid w:val="00AB03B5"/>
    <w:rsid w:val="00AB04B8"/>
    <w:rsid w:val="00AB08E3"/>
    <w:rsid w:val="00AB1053"/>
    <w:rsid w:val="00AB1189"/>
    <w:rsid w:val="00AB1244"/>
    <w:rsid w:val="00AB1549"/>
    <w:rsid w:val="00AB17BA"/>
    <w:rsid w:val="00AB1839"/>
    <w:rsid w:val="00AB19F6"/>
    <w:rsid w:val="00AB1B8C"/>
    <w:rsid w:val="00AB1D8F"/>
    <w:rsid w:val="00AB1E09"/>
    <w:rsid w:val="00AB205F"/>
    <w:rsid w:val="00AB232C"/>
    <w:rsid w:val="00AB23A2"/>
    <w:rsid w:val="00AB2786"/>
    <w:rsid w:val="00AB2920"/>
    <w:rsid w:val="00AB2F33"/>
    <w:rsid w:val="00AB3066"/>
    <w:rsid w:val="00AB30D9"/>
    <w:rsid w:val="00AB3768"/>
    <w:rsid w:val="00AB3C75"/>
    <w:rsid w:val="00AB4584"/>
    <w:rsid w:val="00AB45EA"/>
    <w:rsid w:val="00AB45FA"/>
    <w:rsid w:val="00AB4665"/>
    <w:rsid w:val="00AB4A90"/>
    <w:rsid w:val="00AB4FF7"/>
    <w:rsid w:val="00AB505A"/>
    <w:rsid w:val="00AB5330"/>
    <w:rsid w:val="00AB54D9"/>
    <w:rsid w:val="00AB55C8"/>
    <w:rsid w:val="00AB5B9B"/>
    <w:rsid w:val="00AB5E45"/>
    <w:rsid w:val="00AB659A"/>
    <w:rsid w:val="00AB75FB"/>
    <w:rsid w:val="00AB7747"/>
    <w:rsid w:val="00AB77E2"/>
    <w:rsid w:val="00AB782B"/>
    <w:rsid w:val="00AB7920"/>
    <w:rsid w:val="00AB7956"/>
    <w:rsid w:val="00AB7A4B"/>
    <w:rsid w:val="00AB7C6B"/>
    <w:rsid w:val="00AB7D13"/>
    <w:rsid w:val="00AC00D7"/>
    <w:rsid w:val="00AC00E6"/>
    <w:rsid w:val="00AC019C"/>
    <w:rsid w:val="00AC01D2"/>
    <w:rsid w:val="00AC035A"/>
    <w:rsid w:val="00AC03F9"/>
    <w:rsid w:val="00AC07C4"/>
    <w:rsid w:val="00AC08A6"/>
    <w:rsid w:val="00AC090A"/>
    <w:rsid w:val="00AC0FE9"/>
    <w:rsid w:val="00AC14CE"/>
    <w:rsid w:val="00AC1574"/>
    <w:rsid w:val="00AC17BB"/>
    <w:rsid w:val="00AC18DC"/>
    <w:rsid w:val="00AC1B5B"/>
    <w:rsid w:val="00AC1C65"/>
    <w:rsid w:val="00AC1F8A"/>
    <w:rsid w:val="00AC27EE"/>
    <w:rsid w:val="00AC27F6"/>
    <w:rsid w:val="00AC2A56"/>
    <w:rsid w:val="00AC333D"/>
    <w:rsid w:val="00AC3CD6"/>
    <w:rsid w:val="00AC3D56"/>
    <w:rsid w:val="00AC3DE7"/>
    <w:rsid w:val="00AC46FF"/>
    <w:rsid w:val="00AC4D59"/>
    <w:rsid w:val="00AC4F2E"/>
    <w:rsid w:val="00AC4F79"/>
    <w:rsid w:val="00AC4FCB"/>
    <w:rsid w:val="00AC5025"/>
    <w:rsid w:val="00AC55C4"/>
    <w:rsid w:val="00AC6438"/>
    <w:rsid w:val="00AC6DAC"/>
    <w:rsid w:val="00AC6F09"/>
    <w:rsid w:val="00AC7143"/>
    <w:rsid w:val="00AC795A"/>
    <w:rsid w:val="00AC79F5"/>
    <w:rsid w:val="00AC7E61"/>
    <w:rsid w:val="00AC7F60"/>
    <w:rsid w:val="00AD008F"/>
    <w:rsid w:val="00AD022C"/>
    <w:rsid w:val="00AD044D"/>
    <w:rsid w:val="00AD055E"/>
    <w:rsid w:val="00AD118D"/>
    <w:rsid w:val="00AD1303"/>
    <w:rsid w:val="00AD15FE"/>
    <w:rsid w:val="00AD170B"/>
    <w:rsid w:val="00AD25B3"/>
    <w:rsid w:val="00AD25FF"/>
    <w:rsid w:val="00AD2767"/>
    <w:rsid w:val="00AD2A8E"/>
    <w:rsid w:val="00AD2E95"/>
    <w:rsid w:val="00AD2FC2"/>
    <w:rsid w:val="00AD390A"/>
    <w:rsid w:val="00AD3DB6"/>
    <w:rsid w:val="00AD47A7"/>
    <w:rsid w:val="00AD4A26"/>
    <w:rsid w:val="00AD4FA0"/>
    <w:rsid w:val="00AD5431"/>
    <w:rsid w:val="00AD56D3"/>
    <w:rsid w:val="00AD5D39"/>
    <w:rsid w:val="00AD5E2B"/>
    <w:rsid w:val="00AD6630"/>
    <w:rsid w:val="00AD6786"/>
    <w:rsid w:val="00AD6B23"/>
    <w:rsid w:val="00AD6EEB"/>
    <w:rsid w:val="00AD6FC0"/>
    <w:rsid w:val="00AD7FED"/>
    <w:rsid w:val="00AE0528"/>
    <w:rsid w:val="00AE08AF"/>
    <w:rsid w:val="00AE0BCA"/>
    <w:rsid w:val="00AE0F56"/>
    <w:rsid w:val="00AE17B0"/>
    <w:rsid w:val="00AE1836"/>
    <w:rsid w:val="00AE1864"/>
    <w:rsid w:val="00AE1F02"/>
    <w:rsid w:val="00AE20F8"/>
    <w:rsid w:val="00AE269C"/>
    <w:rsid w:val="00AE27E0"/>
    <w:rsid w:val="00AE2CE0"/>
    <w:rsid w:val="00AE340B"/>
    <w:rsid w:val="00AE35B1"/>
    <w:rsid w:val="00AE38E7"/>
    <w:rsid w:val="00AE3CB7"/>
    <w:rsid w:val="00AE3D7B"/>
    <w:rsid w:val="00AE3EF8"/>
    <w:rsid w:val="00AE4696"/>
    <w:rsid w:val="00AE469E"/>
    <w:rsid w:val="00AE46C2"/>
    <w:rsid w:val="00AE46CE"/>
    <w:rsid w:val="00AE48B6"/>
    <w:rsid w:val="00AE4ABA"/>
    <w:rsid w:val="00AE4CCB"/>
    <w:rsid w:val="00AE4D86"/>
    <w:rsid w:val="00AE4E1E"/>
    <w:rsid w:val="00AE4FD5"/>
    <w:rsid w:val="00AE58C2"/>
    <w:rsid w:val="00AE599E"/>
    <w:rsid w:val="00AE59AE"/>
    <w:rsid w:val="00AE5B51"/>
    <w:rsid w:val="00AE5DCD"/>
    <w:rsid w:val="00AE608F"/>
    <w:rsid w:val="00AE617D"/>
    <w:rsid w:val="00AE62B9"/>
    <w:rsid w:val="00AE67DB"/>
    <w:rsid w:val="00AE68C4"/>
    <w:rsid w:val="00AE6A2C"/>
    <w:rsid w:val="00AE6AD7"/>
    <w:rsid w:val="00AE6C64"/>
    <w:rsid w:val="00AE74D9"/>
    <w:rsid w:val="00AE77F2"/>
    <w:rsid w:val="00AE7818"/>
    <w:rsid w:val="00AE7B47"/>
    <w:rsid w:val="00AE7C3B"/>
    <w:rsid w:val="00AE7F8A"/>
    <w:rsid w:val="00AF0056"/>
    <w:rsid w:val="00AF0192"/>
    <w:rsid w:val="00AF02B3"/>
    <w:rsid w:val="00AF0CBF"/>
    <w:rsid w:val="00AF112F"/>
    <w:rsid w:val="00AF11E6"/>
    <w:rsid w:val="00AF159F"/>
    <w:rsid w:val="00AF19D2"/>
    <w:rsid w:val="00AF207B"/>
    <w:rsid w:val="00AF231D"/>
    <w:rsid w:val="00AF257F"/>
    <w:rsid w:val="00AF26B0"/>
    <w:rsid w:val="00AF289F"/>
    <w:rsid w:val="00AF30C9"/>
    <w:rsid w:val="00AF33CF"/>
    <w:rsid w:val="00AF34BD"/>
    <w:rsid w:val="00AF37AA"/>
    <w:rsid w:val="00AF3997"/>
    <w:rsid w:val="00AF48A0"/>
    <w:rsid w:val="00AF4ADD"/>
    <w:rsid w:val="00AF4D50"/>
    <w:rsid w:val="00AF4DA9"/>
    <w:rsid w:val="00AF4F13"/>
    <w:rsid w:val="00AF4FE0"/>
    <w:rsid w:val="00AF58FE"/>
    <w:rsid w:val="00AF5C16"/>
    <w:rsid w:val="00AF6179"/>
    <w:rsid w:val="00AF61E1"/>
    <w:rsid w:val="00AF62AD"/>
    <w:rsid w:val="00AF67EB"/>
    <w:rsid w:val="00AF6CBD"/>
    <w:rsid w:val="00AF6CDB"/>
    <w:rsid w:val="00AF7243"/>
    <w:rsid w:val="00B00234"/>
    <w:rsid w:val="00B00651"/>
    <w:rsid w:val="00B007EF"/>
    <w:rsid w:val="00B00FCF"/>
    <w:rsid w:val="00B010F8"/>
    <w:rsid w:val="00B01382"/>
    <w:rsid w:val="00B01547"/>
    <w:rsid w:val="00B018EF"/>
    <w:rsid w:val="00B02E65"/>
    <w:rsid w:val="00B02EB7"/>
    <w:rsid w:val="00B03E6B"/>
    <w:rsid w:val="00B04321"/>
    <w:rsid w:val="00B04870"/>
    <w:rsid w:val="00B04C92"/>
    <w:rsid w:val="00B04F15"/>
    <w:rsid w:val="00B05AB2"/>
    <w:rsid w:val="00B05DAA"/>
    <w:rsid w:val="00B0604D"/>
    <w:rsid w:val="00B068C0"/>
    <w:rsid w:val="00B06DEF"/>
    <w:rsid w:val="00B06FE9"/>
    <w:rsid w:val="00B0726A"/>
    <w:rsid w:val="00B072EF"/>
    <w:rsid w:val="00B078F9"/>
    <w:rsid w:val="00B07A3C"/>
    <w:rsid w:val="00B07C75"/>
    <w:rsid w:val="00B1010E"/>
    <w:rsid w:val="00B10D12"/>
    <w:rsid w:val="00B10D7A"/>
    <w:rsid w:val="00B10D98"/>
    <w:rsid w:val="00B10F71"/>
    <w:rsid w:val="00B114D1"/>
    <w:rsid w:val="00B1196C"/>
    <w:rsid w:val="00B11B7C"/>
    <w:rsid w:val="00B11C39"/>
    <w:rsid w:val="00B12529"/>
    <w:rsid w:val="00B1254B"/>
    <w:rsid w:val="00B1295A"/>
    <w:rsid w:val="00B12A47"/>
    <w:rsid w:val="00B1397A"/>
    <w:rsid w:val="00B13D94"/>
    <w:rsid w:val="00B1434E"/>
    <w:rsid w:val="00B1505B"/>
    <w:rsid w:val="00B1528D"/>
    <w:rsid w:val="00B156F9"/>
    <w:rsid w:val="00B15E08"/>
    <w:rsid w:val="00B15EE0"/>
    <w:rsid w:val="00B16227"/>
    <w:rsid w:val="00B16851"/>
    <w:rsid w:val="00B169CF"/>
    <w:rsid w:val="00B16B1F"/>
    <w:rsid w:val="00B16B7C"/>
    <w:rsid w:val="00B16BAE"/>
    <w:rsid w:val="00B17425"/>
    <w:rsid w:val="00B1758E"/>
    <w:rsid w:val="00B17932"/>
    <w:rsid w:val="00B17B16"/>
    <w:rsid w:val="00B17B9F"/>
    <w:rsid w:val="00B17ED0"/>
    <w:rsid w:val="00B20167"/>
    <w:rsid w:val="00B20A45"/>
    <w:rsid w:val="00B20DB8"/>
    <w:rsid w:val="00B20E82"/>
    <w:rsid w:val="00B20E84"/>
    <w:rsid w:val="00B211AA"/>
    <w:rsid w:val="00B2135D"/>
    <w:rsid w:val="00B21527"/>
    <w:rsid w:val="00B21610"/>
    <w:rsid w:val="00B21701"/>
    <w:rsid w:val="00B217A6"/>
    <w:rsid w:val="00B21909"/>
    <w:rsid w:val="00B21FED"/>
    <w:rsid w:val="00B22256"/>
    <w:rsid w:val="00B2243F"/>
    <w:rsid w:val="00B2249A"/>
    <w:rsid w:val="00B22838"/>
    <w:rsid w:val="00B22C5C"/>
    <w:rsid w:val="00B22CC4"/>
    <w:rsid w:val="00B22E99"/>
    <w:rsid w:val="00B2316F"/>
    <w:rsid w:val="00B23226"/>
    <w:rsid w:val="00B233D6"/>
    <w:rsid w:val="00B23889"/>
    <w:rsid w:val="00B238B7"/>
    <w:rsid w:val="00B23B1B"/>
    <w:rsid w:val="00B23CFC"/>
    <w:rsid w:val="00B23FB6"/>
    <w:rsid w:val="00B243E0"/>
    <w:rsid w:val="00B24B83"/>
    <w:rsid w:val="00B24D5D"/>
    <w:rsid w:val="00B24F30"/>
    <w:rsid w:val="00B25716"/>
    <w:rsid w:val="00B257EC"/>
    <w:rsid w:val="00B260F9"/>
    <w:rsid w:val="00B26E5B"/>
    <w:rsid w:val="00B27731"/>
    <w:rsid w:val="00B27850"/>
    <w:rsid w:val="00B27D78"/>
    <w:rsid w:val="00B27D7E"/>
    <w:rsid w:val="00B27E78"/>
    <w:rsid w:val="00B30828"/>
    <w:rsid w:val="00B3091E"/>
    <w:rsid w:val="00B30AD3"/>
    <w:rsid w:val="00B30E78"/>
    <w:rsid w:val="00B30EBA"/>
    <w:rsid w:val="00B3127B"/>
    <w:rsid w:val="00B316B6"/>
    <w:rsid w:val="00B31ABF"/>
    <w:rsid w:val="00B31CFE"/>
    <w:rsid w:val="00B3205B"/>
    <w:rsid w:val="00B321EA"/>
    <w:rsid w:val="00B3221D"/>
    <w:rsid w:val="00B32647"/>
    <w:rsid w:val="00B32666"/>
    <w:rsid w:val="00B32D1E"/>
    <w:rsid w:val="00B32D47"/>
    <w:rsid w:val="00B32E2F"/>
    <w:rsid w:val="00B32ECC"/>
    <w:rsid w:val="00B334A0"/>
    <w:rsid w:val="00B3351F"/>
    <w:rsid w:val="00B33530"/>
    <w:rsid w:val="00B33BE3"/>
    <w:rsid w:val="00B3441B"/>
    <w:rsid w:val="00B3441F"/>
    <w:rsid w:val="00B34527"/>
    <w:rsid w:val="00B355F3"/>
    <w:rsid w:val="00B358EB"/>
    <w:rsid w:val="00B358EF"/>
    <w:rsid w:val="00B3593A"/>
    <w:rsid w:val="00B35B5D"/>
    <w:rsid w:val="00B35B66"/>
    <w:rsid w:val="00B366B2"/>
    <w:rsid w:val="00B3677A"/>
    <w:rsid w:val="00B36A2E"/>
    <w:rsid w:val="00B377FD"/>
    <w:rsid w:val="00B4000C"/>
    <w:rsid w:val="00B40C29"/>
    <w:rsid w:val="00B40E7A"/>
    <w:rsid w:val="00B40F0A"/>
    <w:rsid w:val="00B4104C"/>
    <w:rsid w:val="00B416C1"/>
    <w:rsid w:val="00B417F2"/>
    <w:rsid w:val="00B41A27"/>
    <w:rsid w:val="00B41E5E"/>
    <w:rsid w:val="00B41E69"/>
    <w:rsid w:val="00B4203E"/>
    <w:rsid w:val="00B42529"/>
    <w:rsid w:val="00B4318D"/>
    <w:rsid w:val="00B4369D"/>
    <w:rsid w:val="00B43F67"/>
    <w:rsid w:val="00B441A6"/>
    <w:rsid w:val="00B44625"/>
    <w:rsid w:val="00B44FC9"/>
    <w:rsid w:val="00B4500C"/>
    <w:rsid w:val="00B455E1"/>
    <w:rsid w:val="00B4573B"/>
    <w:rsid w:val="00B457E8"/>
    <w:rsid w:val="00B4588D"/>
    <w:rsid w:val="00B458D4"/>
    <w:rsid w:val="00B459D4"/>
    <w:rsid w:val="00B45C90"/>
    <w:rsid w:val="00B46178"/>
    <w:rsid w:val="00B46182"/>
    <w:rsid w:val="00B461B0"/>
    <w:rsid w:val="00B461FB"/>
    <w:rsid w:val="00B4638A"/>
    <w:rsid w:val="00B463D9"/>
    <w:rsid w:val="00B46A25"/>
    <w:rsid w:val="00B46F47"/>
    <w:rsid w:val="00B4797F"/>
    <w:rsid w:val="00B501DF"/>
    <w:rsid w:val="00B50A68"/>
    <w:rsid w:val="00B50F54"/>
    <w:rsid w:val="00B514C0"/>
    <w:rsid w:val="00B51B02"/>
    <w:rsid w:val="00B51D99"/>
    <w:rsid w:val="00B51E0F"/>
    <w:rsid w:val="00B5215A"/>
    <w:rsid w:val="00B525ED"/>
    <w:rsid w:val="00B526A5"/>
    <w:rsid w:val="00B5289A"/>
    <w:rsid w:val="00B52C88"/>
    <w:rsid w:val="00B52E62"/>
    <w:rsid w:val="00B52EA1"/>
    <w:rsid w:val="00B5379B"/>
    <w:rsid w:val="00B53924"/>
    <w:rsid w:val="00B53B5D"/>
    <w:rsid w:val="00B53B6B"/>
    <w:rsid w:val="00B54663"/>
    <w:rsid w:val="00B547A5"/>
    <w:rsid w:val="00B547EA"/>
    <w:rsid w:val="00B548D3"/>
    <w:rsid w:val="00B54D7F"/>
    <w:rsid w:val="00B54E94"/>
    <w:rsid w:val="00B55657"/>
    <w:rsid w:val="00B558B6"/>
    <w:rsid w:val="00B569A5"/>
    <w:rsid w:val="00B56AE9"/>
    <w:rsid w:val="00B56B78"/>
    <w:rsid w:val="00B56BDE"/>
    <w:rsid w:val="00B56C7A"/>
    <w:rsid w:val="00B56CD6"/>
    <w:rsid w:val="00B5737D"/>
    <w:rsid w:val="00B57FCE"/>
    <w:rsid w:val="00B6009E"/>
    <w:rsid w:val="00B6055E"/>
    <w:rsid w:val="00B60857"/>
    <w:rsid w:val="00B60B47"/>
    <w:rsid w:val="00B60B97"/>
    <w:rsid w:val="00B60CD6"/>
    <w:rsid w:val="00B61235"/>
    <w:rsid w:val="00B61895"/>
    <w:rsid w:val="00B619FB"/>
    <w:rsid w:val="00B61B17"/>
    <w:rsid w:val="00B61DEE"/>
    <w:rsid w:val="00B62514"/>
    <w:rsid w:val="00B6266B"/>
    <w:rsid w:val="00B6279C"/>
    <w:rsid w:val="00B628A1"/>
    <w:rsid w:val="00B62B1B"/>
    <w:rsid w:val="00B62B40"/>
    <w:rsid w:val="00B6317D"/>
    <w:rsid w:val="00B63592"/>
    <w:rsid w:val="00B63624"/>
    <w:rsid w:val="00B641B7"/>
    <w:rsid w:val="00B6438C"/>
    <w:rsid w:val="00B64861"/>
    <w:rsid w:val="00B64A76"/>
    <w:rsid w:val="00B64F18"/>
    <w:rsid w:val="00B652BA"/>
    <w:rsid w:val="00B653D1"/>
    <w:rsid w:val="00B6563E"/>
    <w:rsid w:val="00B656F8"/>
    <w:rsid w:val="00B65AAE"/>
    <w:rsid w:val="00B65CAF"/>
    <w:rsid w:val="00B65CE0"/>
    <w:rsid w:val="00B66404"/>
    <w:rsid w:val="00B669FC"/>
    <w:rsid w:val="00B66D76"/>
    <w:rsid w:val="00B66E5E"/>
    <w:rsid w:val="00B66EBD"/>
    <w:rsid w:val="00B67257"/>
    <w:rsid w:val="00B672D4"/>
    <w:rsid w:val="00B6738F"/>
    <w:rsid w:val="00B673F3"/>
    <w:rsid w:val="00B6752F"/>
    <w:rsid w:val="00B67D10"/>
    <w:rsid w:val="00B701D0"/>
    <w:rsid w:val="00B70848"/>
    <w:rsid w:val="00B708FE"/>
    <w:rsid w:val="00B70A30"/>
    <w:rsid w:val="00B710DE"/>
    <w:rsid w:val="00B7147E"/>
    <w:rsid w:val="00B7148F"/>
    <w:rsid w:val="00B71987"/>
    <w:rsid w:val="00B71CE2"/>
    <w:rsid w:val="00B71F82"/>
    <w:rsid w:val="00B71FF3"/>
    <w:rsid w:val="00B72FD9"/>
    <w:rsid w:val="00B74150"/>
    <w:rsid w:val="00B7490D"/>
    <w:rsid w:val="00B749FF"/>
    <w:rsid w:val="00B74CDF"/>
    <w:rsid w:val="00B74D9B"/>
    <w:rsid w:val="00B75163"/>
    <w:rsid w:val="00B753FC"/>
    <w:rsid w:val="00B75A95"/>
    <w:rsid w:val="00B75CA3"/>
    <w:rsid w:val="00B766C9"/>
    <w:rsid w:val="00B76766"/>
    <w:rsid w:val="00B76831"/>
    <w:rsid w:val="00B76A37"/>
    <w:rsid w:val="00B7710B"/>
    <w:rsid w:val="00B77135"/>
    <w:rsid w:val="00B7723F"/>
    <w:rsid w:val="00B777AD"/>
    <w:rsid w:val="00B778DA"/>
    <w:rsid w:val="00B77F43"/>
    <w:rsid w:val="00B80071"/>
    <w:rsid w:val="00B80410"/>
    <w:rsid w:val="00B80482"/>
    <w:rsid w:val="00B80534"/>
    <w:rsid w:val="00B80BEB"/>
    <w:rsid w:val="00B80D12"/>
    <w:rsid w:val="00B80FA8"/>
    <w:rsid w:val="00B82011"/>
    <w:rsid w:val="00B822E4"/>
    <w:rsid w:val="00B823B9"/>
    <w:rsid w:val="00B8247C"/>
    <w:rsid w:val="00B82703"/>
    <w:rsid w:val="00B830A9"/>
    <w:rsid w:val="00B832B3"/>
    <w:rsid w:val="00B832EE"/>
    <w:rsid w:val="00B836F7"/>
    <w:rsid w:val="00B83DF8"/>
    <w:rsid w:val="00B840FA"/>
    <w:rsid w:val="00B8433C"/>
    <w:rsid w:val="00B844EF"/>
    <w:rsid w:val="00B84873"/>
    <w:rsid w:val="00B84BAC"/>
    <w:rsid w:val="00B84CED"/>
    <w:rsid w:val="00B85177"/>
    <w:rsid w:val="00B85902"/>
    <w:rsid w:val="00B86022"/>
    <w:rsid w:val="00B86679"/>
    <w:rsid w:val="00B86724"/>
    <w:rsid w:val="00B8681B"/>
    <w:rsid w:val="00B86B1D"/>
    <w:rsid w:val="00B86E2D"/>
    <w:rsid w:val="00B870FC"/>
    <w:rsid w:val="00B87491"/>
    <w:rsid w:val="00B875B7"/>
    <w:rsid w:val="00B876E2"/>
    <w:rsid w:val="00B87915"/>
    <w:rsid w:val="00B87F73"/>
    <w:rsid w:val="00B87F7E"/>
    <w:rsid w:val="00B87FD7"/>
    <w:rsid w:val="00B90D07"/>
    <w:rsid w:val="00B90E34"/>
    <w:rsid w:val="00B91157"/>
    <w:rsid w:val="00B911A0"/>
    <w:rsid w:val="00B912A7"/>
    <w:rsid w:val="00B912D3"/>
    <w:rsid w:val="00B915DC"/>
    <w:rsid w:val="00B91CFF"/>
    <w:rsid w:val="00B921D7"/>
    <w:rsid w:val="00B924DF"/>
    <w:rsid w:val="00B92670"/>
    <w:rsid w:val="00B92965"/>
    <w:rsid w:val="00B929E2"/>
    <w:rsid w:val="00B92A2F"/>
    <w:rsid w:val="00B92B37"/>
    <w:rsid w:val="00B92F44"/>
    <w:rsid w:val="00B930A9"/>
    <w:rsid w:val="00B93211"/>
    <w:rsid w:val="00B934FB"/>
    <w:rsid w:val="00B93937"/>
    <w:rsid w:val="00B939B4"/>
    <w:rsid w:val="00B94A54"/>
    <w:rsid w:val="00B94D31"/>
    <w:rsid w:val="00B94FEE"/>
    <w:rsid w:val="00B95351"/>
    <w:rsid w:val="00B9547C"/>
    <w:rsid w:val="00B95BF3"/>
    <w:rsid w:val="00B95DAB"/>
    <w:rsid w:val="00B96054"/>
    <w:rsid w:val="00B961F5"/>
    <w:rsid w:val="00B963A3"/>
    <w:rsid w:val="00B96578"/>
    <w:rsid w:val="00B96AD9"/>
    <w:rsid w:val="00B96D5A"/>
    <w:rsid w:val="00B96DDB"/>
    <w:rsid w:val="00B97070"/>
    <w:rsid w:val="00B97086"/>
    <w:rsid w:val="00B97157"/>
    <w:rsid w:val="00B974D0"/>
    <w:rsid w:val="00B976D8"/>
    <w:rsid w:val="00B97884"/>
    <w:rsid w:val="00B97F6E"/>
    <w:rsid w:val="00BA065A"/>
    <w:rsid w:val="00BA067A"/>
    <w:rsid w:val="00BA083E"/>
    <w:rsid w:val="00BA09F2"/>
    <w:rsid w:val="00BA0A19"/>
    <w:rsid w:val="00BA0A9E"/>
    <w:rsid w:val="00BA0FD0"/>
    <w:rsid w:val="00BA0FFD"/>
    <w:rsid w:val="00BA17B1"/>
    <w:rsid w:val="00BA17D1"/>
    <w:rsid w:val="00BA17F8"/>
    <w:rsid w:val="00BA20A8"/>
    <w:rsid w:val="00BA231C"/>
    <w:rsid w:val="00BA2513"/>
    <w:rsid w:val="00BA29E9"/>
    <w:rsid w:val="00BA2A47"/>
    <w:rsid w:val="00BA30FA"/>
    <w:rsid w:val="00BA3120"/>
    <w:rsid w:val="00BA3C70"/>
    <w:rsid w:val="00BA3D12"/>
    <w:rsid w:val="00BA472D"/>
    <w:rsid w:val="00BA47DE"/>
    <w:rsid w:val="00BA4C41"/>
    <w:rsid w:val="00BA5115"/>
    <w:rsid w:val="00BA5145"/>
    <w:rsid w:val="00BA51D3"/>
    <w:rsid w:val="00BA5459"/>
    <w:rsid w:val="00BA5823"/>
    <w:rsid w:val="00BA5D82"/>
    <w:rsid w:val="00BA6482"/>
    <w:rsid w:val="00BA6C3F"/>
    <w:rsid w:val="00BA7142"/>
    <w:rsid w:val="00BA72C9"/>
    <w:rsid w:val="00BA78A8"/>
    <w:rsid w:val="00BA7B39"/>
    <w:rsid w:val="00BA7C6C"/>
    <w:rsid w:val="00BA7CC1"/>
    <w:rsid w:val="00BA7F4A"/>
    <w:rsid w:val="00BB0373"/>
    <w:rsid w:val="00BB07A0"/>
    <w:rsid w:val="00BB0817"/>
    <w:rsid w:val="00BB0B22"/>
    <w:rsid w:val="00BB1647"/>
    <w:rsid w:val="00BB1F31"/>
    <w:rsid w:val="00BB234C"/>
    <w:rsid w:val="00BB237C"/>
    <w:rsid w:val="00BB24B5"/>
    <w:rsid w:val="00BB260B"/>
    <w:rsid w:val="00BB2801"/>
    <w:rsid w:val="00BB33BA"/>
    <w:rsid w:val="00BB3A8E"/>
    <w:rsid w:val="00BB41A3"/>
    <w:rsid w:val="00BB4CD6"/>
    <w:rsid w:val="00BB51AA"/>
    <w:rsid w:val="00BB521E"/>
    <w:rsid w:val="00BB580D"/>
    <w:rsid w:val="00BB5967"/>
    <w:rsid w:val="00BB68AB"/>
    <w:rsid w:val="00BB7061"/>
    <w:rsid w:val="00BB740A"/>
    <w:rsid w:val="00BB751E"/>
    <w:rsid w:val="00BB773C"/>
    <w:rsid w:val="00BB7A66"/>
    <w:rsid w:val="00BB7D48"/>
    <w:rsid w:val="00BC174A"/>
    <w:rsid w:val="00BC1842"/>
    <w:rsid w:val="00BC19C3"/>
    <w:rsid w:val="00BC1C5F"/>
    <w:rsid w:val="00BC22C6"/>
    <w:rsid w:val="00BC2A0A"/>
    <w:rsid w:val="00BC2F22"/>
    <w:rsid w:val="00BC31B1"/>
    <w:rsid w:val="00BC32DC"/>
    <w:rsid w:val="00BC35B6"/>
    <w:rsid w:val="00BC35F1"/>
    <w:rsid w:val="00BC38B0"/>
    <w:rsid w:val="00BC3E46"/>
    <w:rsid w:val="00BC3EDE"/>
    <w:rsid w:val="00BC4ACF"/>
    <w:rsid w:val="00BC4C53"/>
    <w:rsid w:val="00BC4DD1"/>
    <w:rsid w:val="00BC5053"/>
    <w:rsid w:val="00BC51E0"/>
    <w:rsid w:val="00BC5201"/>
    <w:rsid w:val="00BC5417"/>
    <w:rsid w:val="00BC589A"/>
    <w:rsid w:val="00BC5AD1"/>
    <w:rsid w:val="00BC5C6F"/>
    <w:rsid w:val="00BC6172"/>
    <w:rsid w:val="00BC659F"/>
    <w:rsid w:val="00BC6A62"/>
    <w:rsid w:val="00BC73D4"/>
    <w:rsid w:val="00BC7900"/>
    <w:rsid w:val="00BC7E8A"/>
    <w:rsid w:val="00BD0A5A"/>
    <w:rsid w:val="00BD108E"/>
    <w:rsid w:val="00BD13D9"/>
    <w:rsid w:val="00BD16CB"/>
    <w:rsid w:val="00BD1B51"/>
    <w:rsid w:val="00BD1BCA"/>
    <w:rsid w:val="00BD1D07"/>
    <w:rsid w:val="00BD1F6F"/>
    <w:rsid w:val="00BD22BD"/>
    <w:rsid w:val="00BD322B"/>
    <w:rsid w:val="00BD3567"/>
    <w:rsid w:val="00BD382F"/>
    <w:rsid w:val="00BD3896"/>
    <w:rsid w:val="00BD3A19"/>
    <w:rsid w:val="00BD3F25"/>
    <w:rsid w:val="00BD447E"/>
    <w:rsid w:val="00BD4596"/>
    <w:rsid w:val="00BD4FB1"/>
    <w:rsid w:val="00BD52CF"/>
    <w:rsid w:val="00BD551E"/>
    <w:rsid w:val="00BD5D56"/>
    <w:rsid w:val="00BD5DB7"/>
    <w:rsid w:val="00BD6648"/>
    <w:rsid w:val="00BD6842"/>
    <w:rsid w:val="00BD6DEB"/>
    <w:rsid w:val="00BD7294"/>
    <w:rsid w:val="00BD7691"/>
    <w:rsid w:val="00BD79A0"/>
    <w:rsid w:val="00BD7CB1"/>
    <w:rsid w:val="00BE0196"/>
    <w:rsid w:val="00BE0740"/>
    <w:rsid w:val="00BE0AF7"/>
    <w:rsid w:val="00BE10F0"/>
    <w:rsid w:val="00BE1405"/>
    <w:rsid w:val="00BE1961"/>
    <w:rsid w:val="00BE19D2"/>
    <w:rsid w:val="00BE25C3"/>
    <w:rsid w:val="00BE2A75"/>
    <w:rsid w:val="00BE2E0C"/>
    <w:rsid w:val="00BE312D"/>
    <w:rsid w:val="00BE34E8"/>
    <w:rsid w:val="00BE3FA4"/>
    <w:rsid w:val="00BE4215"/>
    <w:rsid w:val="00BE440F"/>
    <w:rsid w:val="00BE4458"/>
    <w:rsid w:val="00BE4691"/>
    <w:rsid w:val="00BE46FC"/>
    <w:rsid w:val="00BE4AF1"/>
    <w:rsid w:val="00BE4B4B"/>
    <w:rsid w:val="00BE50AC"/>
    <w:rsid w:val="00BE5460"/>
    <w:rsid w:val="00BE5A86"/>
    <w:rsid w:val="00BE6650"/>
    <w:rsid w:val="00BE6E64"/>
    <w:rsid w:val="00BE6EAB"/>
    <w:rsid w:val="00BE7746"/>
    <w:rsid w:val="00BE797F"/>
    <w:rsid w:val="00BE7B4C"/>
    <w:rsid w:val="00BE7BB9"/>
    <w:rsid w:val="00BF0F91"/>
    <w:rsid w:val="00BF107B"/>
    <w:rsid w:val="00BF1180"/>
    <w:rsid w:val="00BF1263"/>
    <w:rsid w:val="00BF13B8"/>
    <w:rsid w:val="00BF19E8"/>
    <w:rsid w:val="00BF1A50"/>
    <w:rsid w:val="00BF1C20"/>
    <w:rsid w:val="00BF1C3B"/>
    <w:rsid w:val="00BF1C71"/>
    <w:rsid w:val="00BF1FBE"/>
    <w:rsid w:val="00BF2359"/>
    <w:rsid w:val="00BF27CF"/>
    <w:rsid w:val="00BF29AE"/>
    <w:rsid w:val="00BF29BB"/>
    <w:rsid w:val="00BF2C49"/>
    <w:rsid w:val="00BF2EDC"/>
    <w:rsid w:val="00BF3C21"/>
    <w:rsid w:val="00BF3DD0"/>
    <w:rsid w:val="00BF3FAE"/>
    <w:rsid w:val="00BF4BC8"/>
    <w:rsid w:val="00BF54F3"/>
    <w:rsid w:val="00BF5CA1"/>
    <w:rsid w:val="00BF5EFE"/>
    <w:rsid w:val="00BF6111"/>
    <w:rsid w:val="00BF6AD6"/>
    <w:rsid w:val="00BF6E70"/>
    <w:rsid w:val="00BF6F19"/>
    <w:rsid w:val="00BF7C78"/>
    <w:rsid w:val="00C0033C"/>
    <w:rsid w:val="00C00555"/>
    <w:rsid w:val="00C005AA"/>
    <w:rsid w:val="00C009BD"/>
    <w:rsid w:val="00C009BE"/>
    <w:rsid w:val="00C00A63"/>
    <w:rsid w:val="00C00B74"/>
    <w:rsid w:val="00C00C48"/>
    <w:rsid w:val="00C01255"/>
    <w:rsid w:val="00C015EA"/>
    <w:rsid w:val="00C01C6E"/>
    <w:rsid w:val="00C021DC"/>
    <w:rsid w:val="00C031BC"/>
    <w:rsid w:val="00C032AF"/>
    <w:rsid w:val="00C03E89"/>
    <w:rsid w:val="00C03EA6"/>
    <w:rsid w:val="00C044FF"/>
    <w:rsid w:val="00C04B03"/>
    <w:rsid w:val="00C04F1A"/>
    <w:rsid w:val="00C05193"/>
    <w:rsid w:val="00C05278"/>
    <w:rsid w:val="00C052E3"/>
    <w:rsid w:val="00C052EC"/>
    <w:rsid w:val="00C0547E"/>
    <w:rsid w:val="00C05E1D"/>
    <w:rsid w:val="00C063B7"/>
    <w:rsid w:val="00C06938"/>
    <w:rsid w:val="00C06AA1"/>
    <w:rsid w:val="00C06D52"/>
    <w:rsid w:val="00C06E2F"/>
    <w:rsid w:val="00C06EB3"/>
    <w:rsid w:val="00C07051"/>
    <w:rsid w:val="00C07103"/>
    <w:rsid w:val="00C073ED"/>
    <w:rsid w:val="00C07801"/>
    <w:rsid w:val="00C079C1"/>
    <w:rsid w:val="00C10105"/>
    <w:rsid w:val="00C10423"/>
    <w:rsid w:val="00C10578"/>
    <w:rsid w:val="00C106CD"/>
    <w:rsid w:val="00C1070B"/>
    <w:rsid w:val="00C10A86"/>
    <w:rsid w:val="00C10D1D"/>
    <w:rsid w:val="00C11717"/>
    <w:rsid w:val="00C1190E"/>
    <w:rsid w:val="00C11AF6"/>
    <w:rsid w:val="00C1218C"/>
    <w:rsid w:val="00C122FA"/>
    <w:rsid w:val="00C12363"/>
    <w:rsid w:val="00C1239C"/>
    <w:rsid w:val="00C12D40"/>
    <w:rsid w:val="00C135BC"/>
    <w:rsid w:val="00C141CB"/>
    <w:rsid w:val="00C1464C"/>
    <w:rsid w:val="00C14667"/>
    <w:rsid w:val="00C1482C"/>
    <w:rsid w:val="00C14C82"/>
    <w:rsid w:val="00C14EF2"/>
    <w:rsid w:val="00C15245"/>
    <w:rsid w:val="00C15714"/>
    <w:rsid w:val="00C15C95"/>
    <w:rsid w:val="00C15E4B"/>
    <w:rsid w:val="00C160C4"/>
    <w:rsid w:val="00C1621F"/>
    <w:rsid w:val="00C16515"/>
    <w:rsid w:val="00C16D59"/>
    <w:rsid w:val="00C16DFF"/>
    <w:rsid w:val="00C1704E"/>
    <w:rsid w:val="00C1725D"/>
    <w:rsid w:val="00C17845"/>
    <w:rsid w:val="00C17B92"/>
    <w:rsid w:val="00C17CE2"/>
    <w:rsid w:val="00C20276"/>
    <w:rsid w:val="00C21016"/>
    <w:rsid w:val="00C21AC5"/>
    <w:rsid w:val="00C21B3E"/>
    <w:rsid w:val="00C22100"/>
    <w:rsid w:val="00C226E3"/>
    <w:rsid w:val="00C22C90"/>
    <w:rsid w:val="00C22FD6"/>
    <w:rsid w:val="00C230B9"/>
    <w:rsid w:val="00C23159"/>
    <w:rsid w:val="00C234D5"/>
    <w:rsid w:val="00C23B10"/>
    <w:rsid w:val="00C24328"/>
    <w:rsid w:val="00C24A47"/>
    <w:rsid w:val="00C24A56"/>
    <w:rsid w:val="00C252A7"/>
    <w:rsid w:val="00C2543A"/>
    <w:rsid w:val="00C2557A"/>
    <w:rsid w:val="00C2584C"/>
    <w:rsid w:val="00C25899"/>
    <w:rsid w:val="00C2589D"/>
    <w:rsid w:val="00C2596A"/>
    <w:rsid w:val="00C259DC"/>
    <w:rsid w:val="00C262E1"/>
    <w:rsid w:val="00C265FF"/>
    <w:rsid w:val="00C26765"/>
    <w:rsid w:val="00C26C7E"/>
    <w:rsid w:val="00C26D8B"/>
    <w:rsid w:val="00C2709A"/>
    <w:rsid w:val="00C2747B"/>
    <w:rsid w:val="00C27510"/>
    <w:rsid w:val="00C27537"/>
    <w:rsid w:val="00C2772E"/>
    <w:rsid w:val="00C278A4"/>
    <w:rsid w:val="00C27A04"/>
    <w:rsid w:val="00C27C04"/>
    <w:rsid w:val="00C27D52"/>
    <w:rsid w:val="00C30275"/>
    <w:rsid w:val="00C30BB4"/>
    <w:rsid w:val="00C30E74"/>
    <w:rsid w:val="00C316D1"/>
    <w:rsid w:val="00C31794"/>
    <w:rsid w:val="00C319EB"/>
    <w:rsid w:val="00C31EF2"/>
    <w:rsid w:val="00C32321"/>
    <w:rsid w:val="00C324DE"/>
    <w:rsid w:val="00C325AB"/>
    <w:rsid w:val="00C328FE"/>
    <w:rsid w:val="00C32D5A"/>
    <w:rsid w:val="00C331C4"/>
    <w:rsid w:val="00C33507"/>
    <w:rsid w:val="00C33523"/>
    <w:rsid w:val="00C336F3"/>
    <w:rsid w:val="00C3372E"/>
    <w:rsid w:val="00C337E9"/>
    <w:rsid w:val="00C33A61"/>
    <w:rsid w:val="00C33E12"/>
    <w:rsid w:val="00C34148"/>
    <w:rsid w:val="00C34792"/>
    <w:rsid w:val="00C34CF5"/>
    <w:rsid w:val="00C34DEF"/>
    <w:rsid w:val="00C35384"/>
    <w:rsid w:val="00C361BA"/>
    <w:rsid w:val="00C36394"/>
    <w:rsid w:val="00C366E8"/>
    <w:rsid w:val="00C36D6B"/>
    <w:rsid w:val="00C36E01"/>
    <w:rsid w:val="00C374A8"/>
    <w:rsid w:val="00C37719"/>
    <w:rsid w:val="00C3776F"/>
    <w:rsid w:val="00C37AFC"/>
    <w:rsid w:val="00C37CC7"/>
    <w:rsid w:val="00C37CCA"/>
    <w:rsid w:val="00C4076E"/>
    <w:rsid w:val="00C40FB8"/>
    <w:rsid w:val="00C40FBC"/>
    <w:rsid w:val="00C4148C"/>
    <w:rsid w:val="00C41572"/>
    <w:rsid w:val="00C41618"/>
    <w:rsid w:val="00C41A79"/>
    <w:rsid w:val="00C41AA1"/>
    <w:rsid w:val="00C42471"/>
    <w:rsid w:val="00C42900"/>
    <w:rsid w:val="00C42BE5"/>
    <w:rsid w:val="00C4342B"/>
    <w:rsid w:val="00C43708"/>
    <w:rsid w:val="00C4409D"/>
    <w:rsid w:val="00C44652"/>
    <w:rsid w:val="00C44942"/>
    <w:rsid w:val="00C44A1F"/>
    <w:rsid w:val="00C44B12"/>
    <w:rsid w:val="00C44E20"/>
    <w:rsid w:val="00C44E72"/>
    <w:rsid w:val="00C4535B"/>
    <w:rsid w:val="00C45890"/>
    <w:rsid w:val="00C458D7"/>
    <w:rsid w:val="00C45A06"/>
    <w:rsid w:val="00C46070"/>
    <w:rsid w:val="00C46636"/>
    <w:rsid w:val="00C4684F"/>
    <w:rsid w:val="00C46B46"/>
    <w:rsid w:val="00C46C8C"/>
    <w:rsid w:val="00C46EF0"/>
    <w:rsid w:val="00C470DE"/>
    <w:rsid w:val="00C473D4"/>
    <w:rsid w:val="00C47699"/>
    <w:rsid w:val="00C4782F"/>
    <w:rsid w:val="00C47E5B"/>
    <w:rsid w:val="00C47F1E"/>
    <w:rsid w:val="00C501DF"/>
    <w:rsid w:val="00C50CAE"/>
    <w:rsid w:val="00C50E4E"/>
    <w:rsid w:val="00C51009"/>
    <w:rsid w:val="00C5115A"/>
    <w:rsid w:val="00C5135F"/>
    <w:rsid w:val="00C52CF5"/>
    <w:rsid w:val="00C5312C"/>
    <w:rsid w:val="00C533BE"/>
    <w:rsid w:val="00C53660"/>
    <w:rsid w:val="00C53700"/>
    <w:rsid w:val="00C53707"/>
    <w:rsid w:val="00C537BC"/>
    <w:rsid w:val="00C54074"/>
    <w:rsid w:val="00C540D4"/>
    <w:rsid w:val="00C54A3A"/>
    <w:rsid w:val="00C54BA6"/>
    <w:rsid w:val="00C553ED"/>
    <w:rsid w:val="00C55491"/>
    <w:rsid w:val="00C5556E"/>
    <w:rsid w:val="00C55B6B"/>
    <w:rsid w:val="00C55D1D"/>
    <w:rsid w:val="00C55F1F"/>
    <w:rsid w:val="00C562F8"/>
    <w:rsid w:val="00C564C5"/>
    <w:rsid w:val="00C564FB"/>
    <w:rsid w:val="00C56B87"/>
    <w:rsid w:val="00C56C1B"/>
    <w:rsid w:val="00C56CAA"/>
    <w:rsid w:val="00C56E77"/>
    <w:rsid w:val="00C570A1"/>
    <w:rsid w:val="00C57176"/>
    <w:rsid w:val="00C5755F"/>
    <w:rsid w:val="00C57878"/>
    <w:rsid w:val="00C57C8E"/>
    <w:rsid w:val="00C57EB8"/>
    <w:rsid w:val="00C57EEA"/>
    <w:rsid w:val="00C605C5"/>
    <w:rsid w:val="00C60735"/>
    <w:rsid w:val="00C60DF5"/>
    <w:rsid w:val="00C61094"/>
    <w:rsid w:val="00C61A2E"/>
    <w:rsid w:val="00C61B13"/>
    <w:rsid w:val="00C61BB9"/>
    <w:rsid w:val="00C61E4B"/>
    <w:rsid w:val="00C6252E"/>
    <w:rsid w:val="00C62782"/>
    <w:rsid w:val="00C62786"/>
    <w:rsid w:val="00C628D6"/>
    <w:rsid w:val="00C62A81"/>
    <w:rsid w:val="00C62AAA"/>
    <w:rsid w:val="00C6302B"/>
    <w:rsid w:val="00C630CB"/>
    <w:rsid w:val="00C635D7"/>
    <w:rsid w:val="00C63804"/>
    <w:rsid w:val="00C64163"/>
    <w:rsid w:val="00C64343"/>
    <w:rsid w:val="00C64571"/>
    <w:rsid w:val="00C646F4"/>
    <w:rsid w:val="00C6491A"/>
    <w:rsid w:val="00C64B23"/>
    <w:rsid w:val="00C64BFF"/>
    <w:rsid w:val="00C656B8"/>
    <w:rsid w:val="00C659BD"/>
    <w:rsid w:val="00C65DD7"/>
    <w:rsid w:val="00C65E4F"/>
    <w:rsid w:val="00C65F6A"/>
    <w:rsid w:val="00C6624D"/>
    <w:rsid w:val="00C6664E"/>
    <w:rsid w:val="00C668D2"/>
    <w:rsid w:val="00C66987"/>
    <w:rsid w:val="00C66AB7"/>
    <w:rsid w:val="00C66E0C"/>
    <w:rsid w:val="00C66E43"/>
    <w:rsid w:val="00C670D5"/>
    <w:rsid w:val="00C6720B"/>
    <w:rsid w:val="00C672C7"/>
    <w:rsid w:val="00C6772E"/>
    <w:rsid w:val="00C677C6"/>
    <w:rsid w:val="00C6789D"/>
    <w:rsid w:val="00C70286"/>
    <w:rsid w:val="00C704E9"/>
    <w:rsid w:val="00C70BF5"/>
    <w:rsid w:val="00C70F81"/>
    <w:rsid w:val="00C716B6"/>
    <w:rsid w:val="00C71940"/>
    <w:rsid w:val="00C71B18"/>
    <w:rsid w:val="00C71B29"/>
    <w:rsid w:val="00C71D48"/>
    <w:rsid w:val="00C72326"/>
    <w:rsid w:val="00C7240D"/>
    <w:rsid w:val="00C724F8"/>
    <w:rsid w:val="00C729D5"/>
    <w:rsid w:val="00C729FC"/>
    <w:rsid w:val="00C73290"/>
    <w:rsid w:val="00C73316"/>
    <w:rsid w:val="00C73861"/>
    <w:rsid w:val="00C73B95"/>
    <w:rsid w:val="00C73BBC"/>
    <w:rsid w:val="00C73CCC"/>
    <w:rsid w:val="00C73FCF"/>
    <w:rsid w:val="00C7480B"/>
    <w:rsid w:val="00C74EA2"/>
    <w:rsid w:val="00C752C5"/>
    <w:rsid w:val="00C752D6"/>
    <w:rsid w:val="00C75663"/>
    <w:rsid w:val="00C7581D"/>
    <w:rsid w:val="00C7621D"/>
    <w:rsid w:val="00C762BD"/>
    <w:rsid w:val="00C762E0"/>
    <w:rsid w:val="00C763C9"/>
    <w:rsid w:val="00C76872"/>
    <w:rsid w:val="00C76898"/>
    <w:rsid w:val="00C769D7"/>
    <w:rsid w:val="00C76CBB"/>
    <w:rsid w:val="00C77D6A"/>
    <w:rsid w:val="00C80057"/>
    <w:rsid w:val="00C8033A"/>
    <w:rsid w:val="00C80551"/>
    <w:rsid w:val="00C80730"/>
    <w:rsid w:val="00C80764"/>
    <w:rsid w:val="00C808EC"/>
    <w:rsid w:val="00C809BD"/>
    <w:rsid w:val="00C80A32"/>
    <w:rsid w:val="00C80B70"/>
    <w:rsid w:val="00C818E3"/>
    <w:rsid w:val="00C82232"/>
    <w:rsid w:val="00C8232A"/>
    <w:rsid w:val="00C825F2"/>
    <w:rsid w:val="00C82827"/>
    <w:rsid w:val="00C82913"/>
    <w:rsid w:val="00C82B80"/>
    <w:rsid w:val="00C82C50"/>
    <w:rsid w:val="00C83172"/>
    <w:rsid w:val="00C83312"/>
    <w:rsid w:val="00C83430"/>
    <w:rsid w:val="00C84155"/>
    <w:rsid w:val="00C841E0"/>
    <w:rsid w:val="00C84460"/>
    <w:rsid w:val="00C84527"/>
    <w:rsid w:val="00C8498E"/>
    <w:rsid w:val="00C84BDC"/>
    <w:rsid w:val="00C84EB7"/>
    <w:rsid w:val="00C8505B"/>
    <w:rsid w:val="00C85306"/>
    <w:rsid w:val="00C85BCB"/>
    <w:rsid w:val="00C85D2C"/>
    <w:rsid w:val="00C85E86"/>
    <w:rsid w:val="00C86122"/>
    <w:rsid w:val="00C86172"/>
    <w:rsid w:val="00C86386"/>
    <w:rsid w:val="00C86FEC"/>
    <w:rsid w:val="00C8704A"/>
    <w:rsid w:val="00C87C6E"/>
    <w:rsid w:val="00C87D6B"/>
    <w:rsid w:val="00C91023"/>
    <w:rsid w:val="00C91214"/>
    <w:rsid w:val="00C913DE"/>
    <w:rsid w:val="00C9170C"/>
    <w:rsid w:val="00C919A4"/>
    <w:rsid w:val="00C91CD1"/>
    <w:rsid w:val="00C91E14"/>
    <w:rsid w:val="00C91F06"/>
    <w:rsid w:val="00C92059"/>
    <w:rsid w:val="00C92600"/>
    <w:rsid w:val="00C92C27"/>
    <w:rsid w:val="00C92D19"/>
    <w:rsid w:val="00C9303F"/>
    <w:rsid w:val="00C930B0"/>
    <w:rsid w:val="00C93176"/>
    <w:rsid w:val="00C935ED"/>
    <w:rsid w:val="00C93741"/>
    <w:rsid w:val="00C9384F"/>
    <w:rsid w:val="00C940F5"/>
    <w:rsid w:val="00C945BF"/>
    <w:rsid w:val="00C946FC"/>
    <w:rsid w:val="00C94845"/>
    <w:rsid w:val="00C94D51"/>
    <w:rsid w:val="00C94FF5"/>
    <w:rsid w:val="00C959C0"/>
    <w:rsid w:val="00C95AA5"/>
    <w:rsid w:val="00C95E7E"/>
    <w:rsid w:val="00C9627D"/>
    <w:rsid w:val="00C964F7"/>
    <w:rsid w:val="00C96EFF"/>
    <w:rsid w:val="00C97093"/>
    <w:rsid w:val="00C972B1"/>
    <w:rsid w:val="00C9791C"/>
    <w:rsid w:val="00C97936"/>
    <w:rsid w:val="00C97A1E"/>
    <w:rsid w:val="00C97FB6"/>
    <w:rsid w:val="00CA0161"/>
    <w:rsid w:val="00CA0ADC"/>
    <w:rsid w:val="00CA0D3F"/>
    <w:rsid w:val="00CA16D6"/>
    <w:rsid w:val="00CA1910"/>
    <w:rsid w:val="00CA1E89"/>
    <w:rsid w:val="00CA1EF6"/>
    <w:rsid w:val="00CA231E"/>
    <w:rsid w:val="00CA2729"/>
    <w:rsid w:val="00CA289E"/>
    <w:rsid w:val="00CA2CCE"/>
    <w:rsid w:val="00CA2D22"/>
    <w:rsid w:val="00CA2D41"/>
    <w:rsid w:val="00CA3530"/>
    <w:rsid w:val="00CA3CDE"/>
    <w:rsid w:val="00CA3CE6"/>
    <w:rsid w:val="00CA41D2"/>
    <w:rsid w:val="00CA43FD"/>
    <w:rsid w:val="00CA4481"/>
    <w:rsid w:val="00CA48C4"/>
    <w:rsid w:val="00CA4FB7"/>
    <w:rsid w:val="00CA4FE5"/>
    <w:rsid w:val="00CA5154"/>
    <w:rsid w:val="00CA5D8A"/>
    <w:rsid w:val="00CA5E53"/>
    <w:rsid w:val="00CA607E"/>
    <w:rsid w:val="00CA60CB"/>
    <w:rsid w:val="00CA6A9C"/>
    <w:rsid w:val="00CA6F15"/>
    <w:rsid w:val="00CA7327"/>
    <w:rsid w:val="00CA7C54"/>
    <w:rsid w:val="00CA7EF8"/>
    <w:rsid w:val="00CB04FE"/>
    <w:rsid w:val="00CB08FE"/>
    <w:rsid w:val="00CB0A46"/>
    <w:rsid w:val="00CB0D33"/>
    <w:rsid w:val="00CB0F5B"/>
    <w:rsid w:val="00CB0FC5"/>
    <w:rsid w:val="00CB1617"/>
    <w:rsid w:val="00CB16B6"/>
    <w:rsid w:val="00CB16ED"/>
    <w:rsid w:val="00CB218C"/>
    <w:rsid w:val="00CB22D4"/>
    <w:rsid w:val="00CB2341"/>
    <w:rsid w:val="00CB236D"/>
    <w:rsid w:val="00CB2560"/>
    <w:rsid w:val="00CB26FC"/>
    <w:rsid w:val="00CB28BF"/>
    <w:rsid w:val="00CB2B58"/>
    <w:rsid w:val="00CB3376"/>
    <w:rsid w:val="00CB37D7"/>
    <w:rsid w:val="00CB3EB8"/>
    <w:rsid w:val="00CB4097"/>
    <w:rsid w:val="00CB40A8"/>
    <w:rsid w:val="00CB42C5"/>
    <w:rsid w:val="00CB4806"/>
    <w:rsid w:val="00CB49D3"/>
    <w:rsid w:val="00CB4FE6"/>
    <w:rsid w:val="00CB51DE"/>
    <w:rsid w:val="00CB5232"/>
    <w:rsid w:val="00CB5401"/>
    <w:rsid w:val="00CB574F"/>
    <w:rsid w:val="00CB5924"/>
    <w:rsid w:val="00CB5CA5"/>
    <w:rsid w:val="00CB5F5B"/>
    <w:rsid w:val="00CB658B"/>
    <w:rsid w:val="00CB72A1"/>
    <w:rsid w:val="00CB72C3"/>
    <w:rsid w:val="00CB7663"/>
    <w:rsid w:val="00CB76C2"/>
    <w:rsid w:val="00CB7AF5"/>
    <w:rsid w:val="00CB7D63"/>
    <w:rsid w:val="00CB7E73"/>
    <w:rsid w:val="00CC01B9"/>
    <w:rsid w:val="00CC03C2"/>
    <w:rsid w:val="00CC0809"/>
    <w:rsid w:val="00CC0ADF"/>
    <w:rsid w:val="00CC0B8F"/>
    <w:rsid w:val="00CC0BE5"/>
    <w:rsid w:val="00CC0DA8"/>
    <w:rsid w:val="00CC0E30"/>
    <w:rsid w:val="00CC103B"/>
    <w:rsid w:val="00CC1115"/>
    <w:rsid w:val="00CC18FB"/>
    <w:rsid w:val="00CC193B"/>
    <w:rsid w:val="00CC1AA6"/>
    <w:rsid w:val="00CC1EC1"/>
    <w:rsid w:val="00CC2183"/>
    <w:rsid w:val="00CC2395"/>
    <w:rsid w:val="00CC285F"/>
    <w:rsid w:val="00CC2B9A"/>
    <w:rsid w:val="00CC2E32"/>
    <w:rsid w:val="00CC2FCC"/>
    <w:rsid w:val="00CC3631"/>
    <w:rsid w:val="00CC374B"/>
    <w:rsid w:val="00CC3871"/>
    <w:rsid w:val="00CC391A"/>
    <w:rsid w:val="00CC3BE9"/>
    <w:rsid w:val="00CC3D2A"/>
    <w:rsid w:val="00CC3D66"/>
    <w:rsid w:val="00CC3FE1"/>
    <w:rsid w:val="00CC461C"/>
    <w:rsid w:val="00CC489B"/>
    <w:rsid w:val="00CC4DE9"/>
    <w:rsid w:val="00CC5338"/>
    <w:rsid w:val="00CC5386"/>
    <w:rsid w:val="00CC59AB"/>
    <w:rsid w:val="00CC62E2"/>
    <w:rsid w:val="00CC64AA"/>
    <w:rsid w:val="00CC65DC"/>
    <w:rsid w:val="00CC6C3A"/>
    <w:rsid w:val="00CC6EDE"/>
    <w:rsid w:val="00CC72CA"/>
    <w:rsid w:val="00CC7EEE"/>
    <w:rsid w:val="00CD07C4"/>
    <w:rsid w:val="00CD0FCF"/>
    <w:rsid w:val="00CD1282"/>
    <w:rsid w:val="00CD14F6"/>
    <w:rsid w:val="00CD2741"/>
    <w:rsid w:val="00CD2BCD"/>
    <w:rsid w:val="00CD2F94"/>
    <w:rsid w:val="00CD331B"/>
    <w:rsid w:val="00CD3588"/>
    <w:rsid w:val="00CD39B4"/>
    <w:rsid w:val="00CD3A4C"/>
    <w:rsid w:val="00CD42FB"/>
    <w:rsid w:val="00CD4580"/>
    <w:rsid w:val="00CD4610"/>
    <w:rsid w:val="00CD50AE"/>
    <w:rsid w:val="00CD568D"/>
    <w:rsid w:val="00CD57F6"/>
    <w:rsid w:val="00CD58BA"/>
    <w:rsid w:val="00CD5C9B"/>
    <w:rsid w:val="00CD6A8D"/>
    <w:rsid w:val="00CD6D72"/>
    <w:rsid w:val="00CD7507"/>
    <w:rsid w:val="00CD7913"/>
    <w:rsid w:val="00CD7BDB"/>
    <w:rsid w:val="00CE0948"/>
    <w:rsid w:val="00CE0973"/>
    <w:rsid w:val="00CE0A4C"/>
    <w:rsid w:val="00CE0E5B"/>
    <w:rsid w:val="00CE0EB9"/>
    <w:rsid w:val="00CE10E9"/>
    <w:rsid w:val="00CE1757"/>
    <w:rsid w:val="00CE1AA1"/>
    <w:rsid w:val="00CE1EF8"/>
    <w:rsid w:val="00CE2268"/>
    <w:rsid w:val="00CE2349"/>
    <w:rsid w:val="00CE2910"/>
    <w:rsid w:val="00CE2EAB"/>
    <w:rsid w:val="00CE2ED4"/>
    <w:rsid w:val="00CE3484"/>
    <w:rsid w:val="00CE3658"/>
    <w:rsid w:val="00CE374C"/>
    <w:rsid w:val="00CE379C"/>
    <w:rsid w:val="00CE394E"/>
    <w:rsid w:val="00CE42A8"/>
    <w:rsid w:val="00CE4652"/>
    <w:rsid w:val="00CE4847"/>
    <w:rsid w:val="00CE4C05"/>
    <w:rsid w:val="00CE4D02"/>
    <w:rsid w:val="00CE4E47"/>
    <w:rsid w:val="00CE5007"/>
    <w:rsid w:val="00CE5393"/>
    <w:rsid w:val="00CE566B"/>
    <w:rsid w:val="00CE58A7"/>
    <w:rsid w:val="00CE5A83"/>
    <w:rsid w:val="00CE6341"/>
    <w:rsid w:val="00CE6BF2"/>
    <w:rsid w:val="00CE7872"/>
    <w:rsid w:val="00CF1032"/>
    <w:rsid w:val="00CF1092"/>
    <w:rsid w:val="00CF1193"/>
    <w:rsid w:val="00CF12A6"/>
    <w:rsid w:val="00CF12D3"/>
    <w:rsid w:val="00CF1867"/>
    <w:rsid w:val="00CF2694"/>
    <w:rsid w:val="00CF2DCE"/>
    <w:rsid w:val="00CF2E83"/>
    <w:rsid w:val="00CF2FBD"/>
    <w:rsid w:val="00CF3339"/>
    <w:rsid w:val="00CF33E8"/>
    <w:rsid w:val="00CF36B1"/>
    <w:rsid w:val="00CF36BE"/>
    <w:rsid w:val="00CF3887"/>
    <w:rsid w:val="00CF3E09"/>
    <w:rsid w:val="00CF3E58"/>
    <w:rsid w:val="00CF430F"/>
    <w:rsid w:val="00CF478F"/>
    <w:rsid w:val="00CF4B33"/>
    <w:rsid w:val="00CF4B3A"/>
    <w:rsid w:val="00CF4CA0"/>
    <w:rsid w:val="00CF5946"/>
    <w:rsid w:val="00CF596D"/>
    <w:rsid w:val="00CF5D16"/>
    <w:rsid w:val="00CF5D33"/>
    <w:rsid w:val="00CF5D37"/>
    <w:rsid w:val="00CF5D5C"/>
    <w:rsid w:val="00CF5F88"/>
    <w:rsid w:val="00CF6000"/>
    <w:rsid w:val="00CF64E1"/>
    <w:rsid w:val="00CF6641"/>
    <w:rsid w:val="00CF6670"/>
    <w:rsid w:val="00CF6964"/>
    <w:rsid w:val="00CF6D2B"/>
    <w:rsid w:val="00CF7017"/>
    <w:rsid w:val="00CF7764"/>
    <w:rsid w:val="00CF792A"/>
    <w:rsid w:val="00CF7A74"/>
    <w:rsid w:val="00CF7B72"/>
    <w:rsid w:val="00CF7C49"/>
    <w:rsid w:val="00CF7EE2"/>
    <w:rsid w:val="00D001FC"/>
    <w:rsid w:val="00D003E4"/>
    <w:rsid w:val="00D003F3"/>
    <w:rsid w:val="00D00778"/>
    <w:rsid w:val="00D009DA"/>
    <w:rsid w:val="00D00A60"/>
    <w:rsid w:val="00D00E28"/>
    <w:rsid w:val="00D011BE"/>
    <w:rsid w:val="00D014BF"/>
    <w:rsid w:val="00D016AF"/>
    <w:rsid w:val="00D023E8"/>
    <w:rsid w:val="00D02471"/>
    <w:rsid w:val="00D0258B"/>
    <w:rsid w:val="00D02738"/>
    <w:rsid w:val="00D029B2"/>
    <w:rsid w:val="00D033C3"/>
    <w:rsid w:val="00D03501"/>
    <w:rsid w:val="00D0364F"/>
    <w:rsid w:val="00D0366B"/>
    <w:rsid w:val="00D039C3"/>
    <w:rsid w:val="00D03F6E"/>
    <w:rsid w:val="00D03FC6"/>
    <w:rsid w:val="00D04E3E"/>
    <w:rsid w:val="00D051C3"/>
    <w:rsid w:val="00D055CA"/>
    <w:rsid w:val="00D05F76"/>
    <w:rsid w:val="00D062F8"/>
    <w:rsid w:val="00D066BD"/>
    <w:rsid w:val="00D066EF"/>
    <w:rsid w:val="00D06834"/>
    <w:rsid w:val="00D06D11"/>
    <w:rsid w:val="00D06D92"/>
    <w:rsid w:val="00D07040"/>
    <w:rsid w:val="00D07065"/>
    <w:rsid w:val="00D07D77"/>
    <w:rsid w:val="00D07F16"/>
    <w:rsid w:val="00D10037"/>
    <w:rsid w:val="00D105D7"/>
    <w:rsid w:val="00D1069F"/>
    <w:rsid w:val="00D10BC9"/>
    <w:rsid w:val="00D10E86"/>
    <w:rsid w:val="00D10F35"/>
    <w:rsid w:val="00D113AF"/>
    <w:rsid w:val="00D11910"/>
    <w:rsid w:val="00D11D21"/>
    <w:rsid w:val="00D11F42"/>
    <w:rsid w:val="00D12185"/>
    <w:rsid w:val="00D123BC"/>
    <w:rsid w:val="00D126E4"/>
    <w:rsid w:val="00D12EFB"/>
    <w:rsid w:val="00D135E1"/>
    <w:rsid w:val="00D136FE"/>
    <w:rsid w:val="00D13BAB"/>
    <w:rsid w:val="00D141C8"/>
    <w:rsid w:val="00D141FA"/>
    <w:rsid w:val="00D141FC"/>
    <w:rsid w:val="00D14FB1"/>
    <w:rsid w:val="00D152C2"/>
    <w:rsid w:val="00D1563A"/>
    <w:rsid w:val="00D15826"/>
    <w:rsid w:val="00D158AA"/>
    <w:rsid w:val="00D15AB1"/>
    <w:rsid w:val="00D15D44"/>
    <w:rsid w:val="00D16095"/>
    <w:rsid w:val="00D1638F"/>
    <w:rsid w:val="00D163D0"/>
    <w:rsid w:val="00D163DB"/>
    <w:rsid w:val="00D1645E"/>
    <w:rsid w:val="00D16A7B"/>
    <w:rsid w:val="00D176E5"/>
    <w:rsid w:val="00D177C3"/>
    <w:rsid w:val="00D179A9"/>
    <w:rsid w:val="00D17A0B"/>
    <w:rsid w:val="00D17C0E"/>
    <w:rsid w:val="00D17C7D"/>
    <w:rsid w:val="00D17E68"/>
    <w:rsid w:val="00D20294"/>
    <w:rsid w:val="00D20375"/>
    <w:rsid w:val="00D20650"/>
    <w:rsid w:val="00D207CF"/>
    <w:rsid w:val="00D20936"/>
    <w:rsid w:val="00D20E8A"/>
    <w:rsid w:val="00D21104"/>
    <w:rsid w:val="00D211E9"/>
    <w:rsid w:val="00D21442"/>
    <w:rsid w:val="00D2170F"/>
    <w:rsid w:val="00D21872"/>
    <w:rsid w:val="00D218E0"/>
    <w:rsid w:val="00D21B29"/>
    <w:rsid w:val="00D22497"/>
    <w:rsid w:val="00D2251B"/>
    <w:rsid w:val="00D229C8"/>
    <w:rsid w:val="00D22A64"/>
    <w:rsid w:val="00D22C0B"/>
    <w:rsid w:val="00D22DD3"/>
    <w:rsid w:val="00D23098"/>
    <w:rsid w:val="00D2310E"/>
    <w:rsid w:val="00D232AD"/>
    <w:rsid w:val="00D232F4"/>
    <w:rsid w:val="00D237E6"/>
    <w:rsid w:val="00D23EF7"/>
    <w:rsid w:val="00D23F19"/>
    <w:rsid w:val="00D24121"/>
    <w:rsid w:val="00D24356"/>
    <w:rsid w:val="00D24527"/>
    <w:rsid w:val="00D24553"/>
    <w:rsid w:val="00D24AC1"/>
    <w:rsid w:val="00D24BA7"/>
    <w:rsid w:val="00D24DFD"/>
    <w:rsid w:val="00D25243"/>
    <w:rsid w:val="00D252DE"/>
    <w:rsid w:val="00D2593A"/>
    <w:rsid w:val="00D25AE4"/>
    <w:rsid w:val="00D25DD6"/>
    <w:rsid w:val="00D26704"/>
    <w:rsid w:val="00D2730A"/>
    <w:rsid w:val="00D27753"/>
    <w:rsid w:val="00D27891"/>
    <w:rsid w:val="00D27896"/>
    <w:rsid w:val="00D279F4"/>
    <w:rsid w:val="00D27F66"/>
    <w:rsid w:val="00D30398"/>
    <w:rsid w:val="00D3047D"/>
    <w:rsid w:val="00D30621"/>
    <w:rsid w:val="00D308ED"/>
    <w:rsid w:val="00D30B14"/>
    <w:rsid w:val="00D30E50"/>
    <w:rsid w:val="00D311E0"/>
    <w:rsid w:val="00D31230"/>
    <w:rsid w:val="00D31355"/>
    <w:rsid w:val="00D313D9"/>
    <w:rsid w:val="00D31832"/>
    <w:rsid w:val="00D31CA9"/>
    <w:rsid w:val="00D31D42"/>
    <w:rsid w:val="00D32369"/>
    <w:rsid w:val="00D32464"/>
    <w:rsid w:val="00D32486"/>
    <w:rsid w:val="00D32559"/>
    <w:rsid w:val="00D32961"/>
    <w:rsid w:val="00D32991"/>
    <w:rsid w:val="00D32C1E"/>
    <w:rsid w:val="00D33153"/>
    <w:rsid w:val="00D332E9"/>
    <w:rsid w:val="00D33BB2"/>
    <w:rsid w:val="00D3415A"/>
    <w:rsid w:val="00D34813"/>
    <w:rsid w:val="00D34C60"/>
    <w:rsid w:val="00D34DD5"/>
    <w:rsid w:val="00D34E0F"/>
    <w:rsid w:val="00D35151"/>
    <w:rsid w:val="00D35880"/>
    <w:rsid w:val="00D35905"/>
    <w:rsid w:val="00D3593E"/>
    <w:rsid w:val="00D35AB0"/>
    <w:rsid w:val="00D35BD9"/>
    <w:rsid w:val="00D36900"/>
    <w:rsid w:val="00D36B36"/>
    <w:rsid w:val="00D36B5F"/>
    <w:rsid w:val="00D36D4A"/>
    <w:rsid w:val="00D36D86"/>
    <w:rsid w:val="00D40300"/>
    <w:rsid w:val="00D40792"/>
    <w:rsid w:val="00D41098"/>
    <w:rsid w:val="00D41380"/>
    <w:rsid w:val="00D4158E"/>
    <w:rsid w:val="00D4176F"/>
    <w:rsid w:val="00D417F9"/>
    <w:rsid w:val="00D41B74"/>
    <w:rsid w:val="00D41C72"/>
    <w:rsid w:val="00D41CF1"/>
    <w:rsid w:val="00D41D28"/>
    <w:rsid w:val="00D41D6E"/>
    <w:rsid w:val="00D41E08"/>
    <w:rsid w:val="00D422B0"/>
    <w:rsid w:val="00D424CF"/>
    <w:rsid w:val="00D428AA"/>
    <w:rsid w:val="00D42921"/>
    <w:rsid w:val="00D42D77"/>
    <w:rsid w:val="00D42FAF"/>
    <w:rsid w:val="00D4311A"/>
    <w:rsid w:val="00D43423"/>
    <w:rsid w:val="00D43CB7"/>
    <w:rsid w:val="00D43E3A"/>
    <w:rsid w:val="00D43F2B"/>
    <w:rsid w:val="00D44113"/>
    <w:rsid w:val="00D442A3"/>
    <w:rsid w:val="00D443D0"/>
    <w:rsid w:val="00D44866"/>
    <w:rsid w:val="00D44973"/>
    <w:rsid w:val="00D451CC"/>
    <w:rsid w:val="00D45AA9"/>
    <w:rsid w:val="00D45D31"/>
    <w:rsid w:val="00D4605D"/>
    <w:rsid w:val="00D462E5"/>
    <w:rsid w:val="00D463E2"/>
    <w:rsid w:val="00D46719"/>
    <w:rsid w:val="00D46D9A"/>
    <w:rsid w:val="00D4715E"/>
    <w:rsid w:val="00D4729D"/>
    <w:rsid w:val="00D47421"/>
    <w:rsid w:val="00D475CF"/>
    <w:rsid w:val="00D47763"/>
    <w:rsid w:val="00D4776F"/>
    <w:rsid w:val="00D47792"/>
    <w:rsid w:val="00D4791F"/>
    <w:rsid w:val="00D47D6D"/>
    <w:rsid w:val="00D47E6E"/>
    <w:rsid w:val="00D50144"/>
    <w:rsid w:val="00D50558"/>
    <w:rsid w:val="00D5074F"/>
    <w:rsid w:val="00D50756"/>
    <w:rsid w:val="00D50873"/>
    <w:rsid w:val="00D50A34"/>
    <w:rsid w:val="00D50E77"/>
    <w:rsid w:val="00D51089"/>
    <w:rsid w:val="00D52823"/>
    <w:rsid w:val="00D52935"/>
    <w:rsid w:val="00D52AF2"/>
    <w:rsid w:val="00D5354F"/>
    <w:rsid w:val="00D53622"/>
    <w:rsid w:val="00D53724"/>
    <w:rsid w:val="00D5377D"/>
    <w:rsid w:val="00D538AA"/>
    <w:rsid w:val="00D53D2E"/>
    <w:rsid w:val="00D53EFA"/>
    <w:rsid w:val="00D54602"/>
    <w:rsid w:val="00D54918"/>
    <w:rsid w:val="00D54EAE"/>
    <w:rsid w:val="00D54F32"/>
    <w:rsid w:val="00D55BBD"/>
    <w:rsid w:val="00D55E8A"/>
    <w:rsid w:val="00D56099"/>
    <w:rsid w:val="00D563F6"/>
    <w:rsid w:val="00D56853"/>
    <w:rsid w:val="00D568AE"/>
    <w:rsid w:val="00D56ABD"/>
    <w:rsid w:val="00D56B9B"/>
    <w:rsid w:val="00D56D77"/>
    <w:rsid w:val="00D57190"/>
    <w:rsid w:val="00D5729E"/>
    <w:rsid w:val="00D609B2"/>
    <w:rsid w:val="00D60A58"/>
    <w:rsid w:val="00D61094"/>
    <w:rsid w:val="00D61153"/>
    <w:rsid w:val="00D614A4"/>
    <w:rsid w:val="00D615DB"/>
    <w:rsid w:val="00D61A67"/>
    <w:rsid w:val="00D61B87"/>
    <w:rsid w:val="00D622EC"/>
    <w:rsid w:val="00D624A0"/>
    <w:rsid w:val="00D62F54"/>
    <w:rsid w:val="00D63465"/>
    <w:rsid w:val="00D634AD"/>
    <w:rsid w:val="00D63C8C"/>
    <w:rsid w:val="00D64028"/>
    <w:rsid w:val="00D642F4"/>
    <w:rsid w:val="00D64393"/>
    <w:rsid w:val="00D64874"/>
    <w:rsid w:val="00D653E6"/>
    <w:rsid w:val="00D65AD3"/>
    <w:rsid w:val="00D661D9"/>
    <w:rsid w:val="00D662F3"/>
    <w:rsid w:val="00D66CC0"/>
    <w:rsid w:val="00D67021"/>
    <w:rsid w:val="00D671D0"/>
    <w:rsid w:val="00D67BAA"/>
    <w:rsid w:val="00D67F36"/>
    <w:rsid w:val="00D701F3"/>
    <w:rsid w:val="00D70292"/>
    <w:rsid w:val="00D7055B"/>
    <w:rsid w:val="00D7092A"/>
    <w:rsid w:val="00D70CEC"/>
    <w:rsid w:val="00D70E81"/>
    <w:rsid w:val="00D70EC2"/>
    <w:rsid w:val="00D716A1"/>
    <w:rsid w:val="00D71ECF"/>
    <w:rsid w:val="00D720BB"/>
    <w:rsid w:val="00D7222C"/>
    <w:rsid w:val="00D725C5"/>
    <w:rsid w:val="00D72705"/>
    <w:rsid w:val="00D728B8"/>
    <w:rsid w:val="00D72CF4"/>
    <w:rsid w:val="00D72E10"/>
    <w:rsid w:val="00D7329F"/>
    <w:rsid w:val="00D741D0"/>
    <w:rsid w:val="00D74872"/>
    <w:rsid w:val="00D749CA"/>
    <w:rsid w:val="00D7525E"/>
    <w:rsid w:val="00D7540C"/>
    <w:rsid w:val="00D7554D"/>
    <w:rsid w:val="00D7576B"/>
    <w:rsid w:val="00D75C9E"/>
    <w:rsid w:val="00D7626C"/>
    <w:rsid w:val="00D76805"/>
    <w:rsid w:val="00D76E6A"/>
    <w:rsid w:val="00D77782"/>
    <w:rsid w:val="00D779DF"/>
    <w:rsid w:val="00D77AF0"/>
    <w:rsid w:val="00D77CCD"/>
    <w:rsid w:val="00D77F47"/>
    <w:rsid w:val="00D8004F"/>
    <w:rsid w:val="00D805FA"/>
    <w:rsid w:val="00D80734"/>
    <w:rsid w:val="00D8094A"/>
    <w:rsid w:val="00D80989"/>
    <w:rsid w:val="00D80A88"/>
    <w:rsid w:val="00D80B36"/>
    <w:rsid w:val="00D80E84"/>
    <w:rsid w:val="00D8163F"/>
    <w:rsid w:val="00D81A1C"/>
    <w:rsid w:val="00D81E98"/>
    <w:rsid w:val="00D81ED2"/>
    <w:rsid w:val="00D81FA7"/>
    <w:rsid w:val="00D81FD9"/>
    <w:rsid w:val="00D823C9"/>
    <w:rsid w:val="00D82786"/>
    <w:rsid w:val="00D83138"/>
    <w:rsid w:val="00D83683"/>
    <w:rsid w:val="00D83B01"/>
    <w:rsid w:val="00D83C20"/>
    <w:rsid w:val="00D83E24"/>
    <w:rsid w:val="00D841E2"/>
    <w:rsid w:val="00D842F3"/>
    <w:rsid w:val="00D84474"/>
    <w:rsid w:val="00D84559"/>
    <w:rsid w:val="00D8456F"/>
    <w:rsid w:val="00D84907"/>
    <w:rsid w:val="00D84CFA"/>
    <w:rsid w:val="00D8526E"/>
    <w:rsid w:val="00D852C2"/>
    <w:rsid w:val="00D858FD"/>
    <w:rsid w:val="00D869BF"/>
    <w:rsid w:val="00D86B33"/>
    <w:rsid w:val="00D86E94"/>
    <w:rsid w:val="00D86F70"/>
    <w:rsid w:val="00D870FB"/>
    <w:rsid w:val="00D87246"/>
    <w:rsid w:val="00D8728C"/>
    <w:rsid w:val="00D8764F"/>
    <w:rsid w:val="00D87BD3"/>
    <w:rsid w:val="00D9023B"/>
    <w:rsid w:val="00D9039E"/>
    <w:rsid w:val="00D910D8"/>
    <w:rsid w:val="00D91124"/>
    <w:rsid w:val="00D9131D"/>
    <w:rsid w:val="00D91371"/>
    <w:rsid w:val="00D916E5"/>
    <w:rsid w:val="00D9185D"/>
    <w:rsid w:val="00D91868"/>
    <w:rsid w:val="00D91AE1"/>
    <w:rsid w:val="00D925E7"/>
    <w:rsid w:val="00D928AE"/>
    <w:rsid w:val="00D92B2E"/>
    <w:rsid w:val="00D92DC2"/>
    <w:rsid w:val="00D9333F"/>
    <w:rsid w:val="00D934D8"/>
    <w:rsid w:val="00D935DB"/>
    <w:rsid w:val="00D93C40"/>
    <w:rsid w:val="00D93D32"/>
    <w:rsid w:val="00D941A0"/>
    <w:rsid w:val="00D944A0"/>
    <w:rsid w:val="00D945C9"/>
    <w:rsid w:val="00D94A79"/>
    <w:rsid w:val="00D94A7C"/>
    <w:rsid w:val="00D94D6F"/>
    <w:rsid w:val="00D952FD"/>
    <w:rsid w:val="00D95464"/>
    <w:rsid w:val="00D95631"/>
    <w:rsid w:val="00D9581F"/>
    <w:rsid w:val="00D95896"/>
    <w:rsid w:val="00D95B38"/>
    <w:rsid w:val="00D95BCB"/>
    <w:rsid w:val="00D96760"/>
    <w:rsid w:val="00D96791"/>
    <w:rsid w:val="00D96ACF"/>
    <w:rsid w:val="00D96FEA"/>
    <w:rsid w:val="00D9731E"/>
    <w:rsid w:val="00D9774A"/>
    <w:rsid w:val="00D97770"/>
    <w:rsid w:val="00D9780A"/>
    <w:rsid w:val="00D9786F"/>
    <w:rsid w:val="00D978AA"/>
    <w:rsid w:val="00D97B1A"/>
    <w:rsid w:val="00DA0425"/>
    <w:rsid w:val="00DA04F8"/>
    <w:rsid w:val="00DA0A82"/>
    <w:rsid w:val="00DA19B8"/>
    <w:rsid w:val="00DA2455"/>
    <w:rsid w:val="00DA24F5"/>
    <w:rsid w:val="00DA2633"/>
    <w:rsid w:val="00DA29C1"/>
    <w:rsid w:val="00DA2A92"/>
    <w:rsid w:val="00DA2B37"/>
    <w:rsid w:val="00DA340E"/>
    <w:rsid w:val="00DA34F5"/>
    <w:rsid w:val="00DA3A52"/>
    <w:rsid w:val="00DA3AA9"/>
    <w:rsid w:val="00DA3B7A"/>
    <w:rsid w:val="00DA3BC0"/>
    <w:rsid w:val="00DA45C5"/>
    <w:rsid w:val="00DA47A3"/>
    <w:rsid w:val="00DA5598"/>
    <w:rsid w:val="00DA62CF"/>
    <w:rsid w:val="00DA64FD"/>
    <w:rsid w:val="00DA6960"/>
    <w:rsid w:val="00DA6F7F"/>
    <w:rsid w:val="00DA6F89"/>
    <w:rsid w:val="00DA6FA7"/>
    <w:rsid w:val="00DA7120"/>
    <w:rsid w:val="00DA74A2"/>
    <w:rsid w:val="00DA7670"/>
    <w:rsid w:val="00DA7D21"/>
    <w:rsid w:val="00DA7F11"/>
    <w:rsid w:val="00DA7FA8"/>
    <w:rsid w:val="00DB02B2"/>
    <w:rsid w:val="00DB034B"/>
    <w:rsid w:val="00DB040C"/>
    <w:rsid w:val="00DB0BD9"/>
    <w:rsid w:val="00DB0ECD"/>
    <w:rsid w:val="00DB1167"/>
    <w:rsid w:val="00DB125D"/>
    <w:rsid w:val="00DB147C"/>
    <w:rsid w:val="00DB1D21"/>
    <w:rsid w:val="00DB20D2"/>
    <w:rsid w:val="00DB21A4"/>
    <w:rsid w:val="00DB253A"/>
    <w:rsid w:val="00DB27FC"/>
    <w:rsid w:val="00DB2983"/>
    <w:rsid w:val="00DB2AC7"/>
    <w:rsid w:val="00DB323F"/>
    <w:rsid w:val="00DB34E0"/>
    <w:rsid w:val="00DB3761"/>
    <w:rsid w:val="00DB3FEB"/>
    <w:rsid w:val="00DB40BC"/>
    <w:rsid w:val="00DB41CF"/>
    <w:rsid w:val="00DB41D6"/>
    <w:rsid w:val="00DB4425"/>
    <w:rsid w:val="00DB44F6"/>
    <w:rsid w:val="00DB464D"/>
    <w:rsid w:val="00DB4DBD"/>
    <w:rsid w:val="00DB5264"/>
    <w:rsid w:val="00DB5609"/>
    <w:rsid w:val="00DB57D3"/>
    <w:rsid w:val="00DB580C"/>
    <w:rsid w:val="00DB5AE0"/>
    <w:rsid w:val="00DB5BF9"/>
    <w:rsid w:val="00DB5C03"/>
    <w:rsid w:val="00DB5C72"/>
    <w:rsid w:val="00DB5E20"/>
    <w:rsid w:val="00DB5E43"/>
    <w:rsid w:val="00DB64B5"/>
    <w:rsid w:val="00DB6A0A"/>
    <w:rsid w:val="00DB6B3A"/>
    <w:rsid w:val="00DB6C88"/>
    <w:rsid w:val="00DB7002"/>
    <w:rsid w:val="00DB7033"/>
    <w:rsid w:val="00DB7581"/>
    <w:rsid w:val="00DB79A4"/>
    <w:rsid w:val="00DB7A05"/>
    <w:rsid w:val="00DB7B5B"/>
    <w:rsid w:val="00DB7C79"/>
    <w:rsid w:val="00DB7EAB"/>
    <w:rsid w:val="00DB7EBE"/>
    <w:rsid w:val="00DC0127"/>
    <w:rsid w:val="00DC05B2"/>
    <w:rsid w:val="00DC062F"/>
    <w:rsid w:val="00DC0646"/>
    <w:rsid w:val="00DC1257"/>
    <w:rsid w:val="00DC12CA"/>
    <w:rsid w:val="00DC1316"/>
    <w:rsid w:val="00DC195A"/>
    <w:rsid w:val="00DC2403"/>
    <w:rsid w:val="00DC26EF"/>
    <w:rsid w:val="00DC2A0C"/>
    <w:rsid w:val="00DC2BAD"/>
    <w:rsid w:val="00DC2BD8"/>
    <w:rsid w:val="00DC2D29"/>
    <w:rsid w:val="00DC2EA8"/>
    <w:rsid w:val="00DC30F1"/>
    <w:rsid w:val="00DC3489"/>
    <w:rsid w:val="00DC362D"/>
    <w:rsid w:val="00DC3BF2"/>
    <w:rsid w:val="00DC3D23"/>
    <w:rsid w:val="00DC3DC0"/>
    <w:rsid w:val="00DC4461"/>
    <w:rsid w:val="00DC46F3"/>
    <w:rsid w:val="00DC4E8A"/>
    <w:rsid w:val="00DC54DD"/>
    <w:rsid w:val="00DC5AC4"/>
    <w:rsid w:val="00DC5B2B"/>
    <w:rsid w:val="00DC60CB"/>
    <w:rsid w:val="00DC61A8"/>
    <w:rsid w:val="00DC6351"/>
    <w:rsid w:val="00DC67CB"/>
    <w:rsid w:val="00DC6CF0"/>
    <w:rsid w:val="00DC72EE"/>
    <w:rsid w:val="00DC7486"/>
    <w:rsid w:val="00DC76BA"/>
    <w:rsid w:val="00DC7892"/>
    <w:rsid w:val="00DC7ED7"/>
    <w:rsid w:val="00DD0510"/>
    <w:rsid w:val="00DD0A76"/>
    <w:rsid w:val="00DD0D6D"/>
    <w:rsid w:val="00DD0F37"/>
    <w:rsid w:val="00DD10AB"/>
    <w:rsid w:val="00DD1907"/>
    <w:rsid w:val="00DD1BE5"/>
    <w:rsid w:val="00DD1C23"/>
    <w:rsid w:val="00DD2192"/>
    <w:rsid w:val="00DD225A"/>
    <w:rsid w:val="00DD255E"/>
    <w:rsid w:val="00DD26BC"/>
    <w:rsid w:val="00DD287E"/>
    <w:rsid w:val="00DD2C18"/>
    <w:rsid w:val="00DD318D"/>
    <w:rsid w:val="00DD35F0"/>
    <w:rsid w:val="00DD3616"/>
    <w:rsid w:val="00DD4167"/>
    <w:rsid w:val="00DD46AB"/>
    <w:rsid w:val="00DD46DD"/>
    <w:rsid w:val="00DD4BBE"/>
    <w:rsid w:val="00DD51F8"/>
    <w:rsid w:val="00DD5813"/>
    <w:rsid w:val="00DD5B9D"/>
    <w:rsid w:val="00DD62EA"/>
    <w:rsid w:val="00DD6CB5"/>
    <w:rsid w:val="00DD6D07"/>
    <w:rsid w:val="00DD6EF2"/>
    <w:rsid w:val="00DD6F6F"/>
    <w:rsid w:val="00DD730E"/>
    <w:rsid w:val="00DD744A"/>
    <w:rsid w:val="00DD74B0"/>
    <w:rsid w:val="00DD78FF"/>
    <w:rsid w:val="00DD7DFA"/>
    <w:rsid w:val="00DE02E8"/>
    <w:rsid w:val="00DE0591"/>
    <w:rsid w:val="00DE0741"/>
    <w:rsid w:val="00DE0753"/>
    <w:rsid w:val="00DE0BC9"/>
    <w:rsid w:val="00DE0E68"/>
    <w:rsid w:val="00DE11CB"/>
    <w:rsid w:val="00DE1718"/>
    <w:rsid w:val="00DE173B"/>
    <w:rsid w:val="00DE17F7"/>
    <w:rsid w:val="00DE1F70"/>
    <w:rsid w:val="00DE22A9"/>
    <w:rsid w:val="00DE2307"/>
    <w:rsid w:val="00DE2369"/>
    <w:rsid w:val="00DE2652"/>
    <w:rsid w:val="00DE273F"/>
    <w:rsid w:val="00DE278A"/>
    <w:rsid w:val="00DE2895"/>
    <w:rsid w:val="00DE2982"/>
    <w:rsid w:val="00DE2C2D"/>
    <w:rsid w:val="00DE319B"/>
    <w:rsid w:val="00DE31F0"/>
    <w:rsid w:val="00DE392E"/>
    <w:rsid w:val="00DE3A33"/>
    <w:rsid w:val="00DE3A4F"/>
    <w:rsid w:val="00DE3C5E"/>
    <w:rsid w:val="00DE3F45"/>
    <w:rsid w:val="00DE4AAC"/>
    <w:rsid w:val="00DE4BF5"/>
    <w:rsid w:val="00DE4E0B"/>
    <w:rsid w:val="00DE5216"/>
    <w:rsid w:val="00DE527F"/>
    <w:rsid w:val="00DE5450"/>
    <w:rsid w:val="00DE57BF"/>
    <w:rsid w:val="00DE5BCA"/>
    <w:rsid w:val="00DE613B"/>
    <w:rsid w:val="00DE7121"/>
    <w:rsid w:val="00DE747C"/>
    <w:rsid w:val="00DE753A"/>
    <w:rsid w:val="00DE77E4"/>
    <w:rsid w:val="00DE7A25"/>
    <w:rsid w:val="00DE7A3A"/>
    <w:rsid w:val="00DF0070"/>
    <w:rsid w:val="00DF0344"/>
    <w:rsid w:val="00DF03CB"/>
    <w:rsid w:val="00DF0AA4"/>
    <w:rsid w:val="00DF0DDE"/>
    <w:rsid w:val="00DF15CA"/>
    <w:rsid w:val="00DF19D6"/>
    <w:rsid w:val="00DF1B3B"/>
    <w:rsid w:val="00DF1BBF"/>
    <w:rsid w:val="00DF1CBF"/>
    <w:rsid w:val="00DF208C"/>
    <w:rsid w:val="00DF20D9"/>
    <w:rsid w:val="00DF2517"/>
    <w:rsid w:val="00DF28A6"/>
    <w:rsid w:val="00DF2A17"/>
    <w:rsid w:val="00DF2DFC"/>
    <w:rsid w:val="00DF2E12"/>
    <w:rsid w:val="00DF36C5"/>
    <w:rsid w:val="00DF37F0"/>
    <w:rsid w:val="00DF3ED0"/>
    <w:rsid w:val="00DF3F8A"/>
    <w:rsid w:val="00DF47AC"/>
    <w:rsid w:val="00DF4ACB"/>
    <w:rsid w:val="00DF514A"/>
    <w:rsid w:val="00DF5396"/>
    <w:rsid w:val="00DF5845"/>
    <w:rsid w:val="00DF5B54"/>
    <w:rsid w:val="00DF5F66"/>
    <w:rsid w:val="00DF616F"/>
    <w:rsid w:val="00DF61F0"/>
    <w:rsid w:val="00DF6690"/>
    <w:rsid w:val="00DF6804"/>
    <w:rsid w:val="00DF683F"/>
    <w:rsid w:val="00DF6FB3"/>
    <w:rsid w:val="00DF7319"/>
    <w:rsid w:val="00DF7408"/>
    <w:rsid w:val="00E005C0"/>
    <w:rsid w:val="00E0079A"/>
    <w:rsid w:val="00E00B6D"/>
    <w:rsid w:val="00E00BA4"/>
    <w:rsid w:val="00E00D34"/>
    <w:rsid w:val="00E00D98"/>
    <w:rsid w:val="00E01EA9"/>
    <w:rsid w:val="00E027EC"/>
    <w:rsid w:val="00E0358D"/>
    <w:rsid w:val="00E03A43"/>
    <w:rsid w:val="00E0430C"/>
    <w:rsid w:val="00E04323"/>
    <w:rsid w:val="00E045A7"/>
    <w:rsid w:val="00E046F2"/>
    <w:rsid w:val="00E049D4"/>
    <w:rsid w:val="00E04A6E"/>
    <w:rsid w:val="00E04D8E"/>
    <w:rsid w:val="00E052F8"/>
    <w:rsid w:val="00E05B8D"/>
    <w:rsid w:val="00E05CCD"/>
    <w:rsid w:val="00E05E2A"/>
    <w:rsid w:val="00E05EB2"/>
    <w:rsid w:val="00E061C0"/>
    <w:rsid w:val="00E0623D"/>
    <w:rsid w:val="00E06301"/>
    <w:rsid w:val="00E065AA"/>
    <w:rsid w:val="00E06732"/>
    <w:rsid w:val="00E06A37"/>
    <w:rsid w:val="00E070A2"/>
    <w:rsid w:val="00E071F9"/>
    <w:rsid w:val="00E0746E"/>
    <w:rsid w:val="00E077D9"/>
    <w:rsid w:val="00E079EE"/>
    <w:rsid w:val="00E07D1D"/>
    <w:rsid w:val="00E102A2"/>
    <w:rsid w:val="00E1045E"/>
    <w:rsid w:val="00E10487"/>
    <w:rsid w:val="00E10817"/>
    <w:rsid w:val="00E114B6"/>
    <w:rsid w:val="00E11BCB"/>
    <w:rsid w:val="00E11D41"/>
    <w:rsid w:val="00E126A6"/>
    <w:rsid w:val="00E1294B"/>
    <w:rsid w:val="00E12F92"/>
    <w:rsid w:val="00E13133"/>
    <w:rsid w:val="00E1350B"/>
    <w:rsid w:val="00E13624"/>
    <w:rsid w:val="00E136C9"/>
    <w:rsid w:val="00E13A66"/>
    <w:rsid w:val="00E13CA8"/>
    <w:rsid w:val="00E13CCF"/>
    <w:rsid w:val="00E14536"/>
    <w:rsid w:val="00E147A4"/>
    <w:rsid w:val="00E14A77"/>
    <w:rsid w:val="00E14A9A"/>
    <w:rsid w:val="00E14DD7"/>
    <w:rsid w:val="00E150C7"/>
    <w:rsid w:val="00E151C7"/>
    <w:rsid w:val="00E154B4"/>
    <w:rsid w:val="00E15953"/>
    <w:rsid w:val="00E16034"/>
    <w:rsid w:val="00E16270"/>
    <w:rsid w:val="00E16F13"/>
    <w:rsid w:val="00E17B0A"/>
    <w:rsid w:val="00E17FC1"/>
    <w:rsid w:val="00E20BA3"/>
    <w:rsid w:val="00E20E21"/>
    <w:rsid w:val="00E21722"/>
    <w:rsid w:val="00E21778"/>
    <w:rsid w:val="00E2187E"/>
    <w:rsid w:val="00E219DE"/>
    <w:rsid w:val="00E22407"/>
    <w:rsid w:val="00E22605"/>
    <w:rsid w:val="00E22BA4"/>
    <w:rsid w:val="00E23379"/>
    <w:rsid w:val="00E23B51"/>
    <w:rsid w:val="00E23C81"/>
    <w:rsid w:val="00E244BE"/>
    <w:rsid w:val="00E24A87"/>
    <w:rsid w:val="00E24B4D"/>
    <w:rsid w:val="00E24B66"/>
    <w:rsid w:val="00E25268"/>
    <w:rsid w:val="00E253D4"/>
    <w:rsid w:val="00E253DE"/>
    <w:rsid w:val="00E256C8"/>
    <w:rsid w:val="00E2571E"/>
    <w:rsid w:val="00E25764"/>
    <w:rsid w:val="00E25788"/>
    <w:rsid w:val="00E25BBF"/>
    <w:rsid w:val="00E25FFA"/>
    <w:rsid w:val="00E2656A"/>
    <w:rsid w:val="00E26656"/>
    <w:rsid w:val="00E26EC2"/>
    <w:rsid w:val="00E26FA5"/>
    <w:rsid w:val="00E2747E"/>
    <w:rsid w:val="00E2752A"/>
    <w:rsid w:val="00E277A5"/>
    <w:rsid w:val="00E278D6"/>
    <w:rsid w:val="00E279A9"/>
    <w:rsid w:val="00E27D00"/>
    <w:rsid w:val="00E27E07"/>
    <w:rsid w:val="00E3013A"/>
    <w:rsid w:val="00E318CA"/>
    <w:rsid w:val="00E31F75"/>
    <w:rsid w:val="00E32002"/>
    <w:rsid w:val="00E32189"/>
    <w:rsid w:val="00E32E71"/>
    <w:rsid w:val="00E330B3"/>
    <w:rsid w:val="00E333D6"/>
    <w:rsid w:val="00E334C0"/>
    <w:rsid w:val="00E33DAB"/>
    <w:rsid w:val="00E3400D"/>
    <w:rsid w:val="00E34235"/>
    <w:rsid w:val="00E3431E"/>
    <w:rsid w:val="00E34FAC"/>
    <w:rsid w:val="00E354BD"/>
    <w:rsid w:val="00E35C96"/>
    <w:rsid w:val="00E36957"/>
    <w:rsid w:val="00E37368"/>
    <w:rsid w:val="00E376E2"/>
    <w:rsid w:val="00E37700"/>
    <w:rsid w:val="00E37D45"/>
    <w:rsid w:val="00E402B9"/>
    <w:rsid w:val="00E4094D"/>
    <w:rsid w:val="00E40ECD"/>
    <w:rsid w:val="00E412D0"/>
    <w:rsid w:val="00E41405"/>
    <w:rsid w:val="00E416F7"/>
    <w:rsid w:val="00E419D3"/>
    <w:rsid w:val="00E42504"/>
    <w:rsid w:val="00E42D3C"/>
    <w:rsid w:val="00E4334D"/>
    <w:rsid w:val="00E4344C"/>
    <w:rsid w:val="00E43470"/>
    <w:rsid w:val="00E437D1"/>
    <w:rsid w:val="00E4399D"/>
    <w:rsid w:val="00E43DED"/>
    <w:rsid w:val="00E44147"/>
    <w:rsid w:val="00E441C5"/>
    <w:rsid w:val="00E4433E"/>
    <w:rsid w:val="00E44386"/>
    <w:rsid w:val="00E44666"/>
    <w:rsid w:val="00E449F3"/>
    <w:rsid w:val="00E44ED4"/>
    <w:rsid w:val="00E45163"/>
    <w:rsid w:val="00E45374"/>
    <w:rsid w:val="00E45EB0"/>
    <w:rsid w:val="00E4603A"/>
    <w:rsid w:val="00E460A8"/>
    <w:rsid w:val="00E4635D"/>
    <w:rsid w:val="00E4635F"/>
    <w:rsid w:val="00E46500"/>
    <w:rsid w:val="00E46C1B"/>
    <w:rsid w:val="00E46D6C"/>
    <w:rsid w:val="00E47292"/>
    <w:rsid w:val="00E507B2"/>
    <w:rsid w:val="00E51963"/>
    <w:rsid w:val="00E51D33"/>
    <w:rsid w:val="00E51FC0"/>
    <w:rsid w:val="00E5289E"/>
    <w:rsid w:val="00E52D89"/>
    <w:rsid w:val="00E52FB9"/>
    <w:rsid w:val="00E5316C"/>
    <w:rsid w:val="00E53AB9"/>
    <w:rsid w:val="00E540E6"/>
    <w:rsid w:val="00E541B8"/>
    <w:rsid w:val="00E5434F"/>
    <w:rsid w:val="00E545D7"/>
    <w:rsid w:val="00E546B8"/>
    <w:rsid w:val="00E54866"/>
    <w:rsid w:val="00E54BE5"/>
    <w:rsid w:val="00E54C4F"/>
    <w:rsid w:val="00E54CEA"/>
    <w:rsid w:val="00E54DC1"/>
    <w:rsid w:val="00E55010"/>
    <w:rsid w:val="00E55319"/>
    <w:rsid w:val="00E55AF1"/>
    <w:rsid w:val="00E56295"/>
    <w:rsid w:val="00E56322"/>
    <w:rsid w:val="00E567C3"/>
    <w:rsid w:val="00E56861"/>
    <w:rsid w:val="00E56E5E"/>
    <w:rsid w:val="00E5769A"/>
    <w:rsid w:val="00E60450"/>
    <w:rsid w:val="00E606FF"/>
    <w:rsid w:val="00E60742"/>
    <w:rsid w:val="00E60982"/>
    <w:rsid w:val="00E60C4A"/>
    <w:rsid w:val="00E60E0E"/>
    <w:rsid w:val="00E61008"/>
    <w:rsid w:val="00E61252"/>
    <w:rsid w:val="00E61545"/>
    <w:rsid w:val="00E615B9"/>
    <w:rsid w:val="00E61BCD"/>
    <w:rsid w:val="00E6206C"/>
    <w:rsid w:val="00E6296E"/>
    <w:rsid w:val="00E629B7"/>
    <w:rsid w:val="00E629DC"/>
    <w:rsid w:val="00E629ED"/>
    <w:rsid w:val="00E62C60"/>
    <w:rsid w:val="00E62C62"/>
    <w:rsid w:val="00E62CD1"/>
    <w:rsid w:val="00E62E44"/>
    <w:rsid w:val="00E63347"/>
    <w:rsid w:val="00E6387D"/>
    <w:rsid w:val="00E63998"/>
    <w:rsid w:val="00E63F68"/>
    <w:rsid w:val="00E644A9"/>
    <w:rsid w:val="00E64653"/>
    <w:rsid w:val="00E6483B"/>
    <w:rsid w:val="00E649CE"/>
    <w:rsid w:val="00E64CB0"/>
    <w:rsid w:val="00E652ED"/>
    <w:rsid w:val="00E6542F"/>
    <w:rsid w:val="00E654C1"/>
    <w:rsid w:val="00E6572C"/>
    <w:rsid w:val="00E65B13"/>
    <w:rsid w:val="00E65BCD"/>
    <w:rsid w:val="00E65D97"/>
    <w:rsid w:val="00E660A7"/>
    <w:rsid w:val="00E660C7"/>
    <w:rsid w:val="00E660D4"/>
    <w:rsid w:val="00E661B0"/>
    <w:rsid w:val="00E668E1"/>
    <w:rsid w:val="00E66E32"/>
    <w:rsid w:val="00E66EE2"/>
    <w:rsid w:val="00E66EEA"/>
    <w:rsid w:val="00E67089"/>
    <w:rsid w:val="00E67328"/>
    <w:rsid w:val="00E67483"/>
    <w:rsid w:val="00E6757C"/>
    <w:rsid w:val="00E678A1"/>
    <w:rsid w:val="00E67D6F"/>
    <w:rsid w:val="00E70277"/>
    <w:rsid w:val="00E702DC"/>
    <w:rsid w:val="00E7097A"/>
    <w:rsid w:val="00E7098B"/>
    <w:rsid w:val="00E70A53"/>
    <w:rsid w:val="00E713F4"/>
    <w:rsid w:val="00E714F1"/>
    <w:rsid w:val="00E716CB"/>
    <w:rsid w:val="00E71C6A"/>
    <w:rsid w:val="00E7209B"/>
    <w:rsid w:val="00E728D8"/>
    <w:rsid w:val="00E72A52"/>
    <w:rsid w:val="00E72A5A"/>
    <w:rsid w:val="00E73128"/>
    <w:rsid w:val="00E73354"/>
    <w:rsid w:val="00E736E3"/>
    <w:rsid w:val="00E7388A"/>
    <w:rsid w:val="00E73B78"/>
    <w:rsid w:val="00E73D71"/>
    <w:rsid w:val="00E73DFE"/>
    <w:rsid w:val="00E73E61"/>
    <w:rsid w:val="00E74F00"/>
    <w:rsid w:val="00E7534E"/>
    <w:rsid w:val="00E753A1"/>
    <w:rsid w:val="00E75DE1"/>
    <w:rsid w:val="00E75FAB"/>
    <w:rsid w:val="00E7624D"/>
    <w:rsid w:val="00E762A6"/>
    <w:rsid w:val="00E76461"/>
    <w:rsid w:val="00E76B20"/>
    <w:rsid w:val="00E76C4B"/>
    <w:rsid w:val="00E773EA"/>
    <w:rsid w:val="00E774A8"/>
    <w:rsid w:val="00E776A4"/>
    <w:rsid w:val="00E800D4"/>
    <w:rsid w:val="00E804A0"/>
    <w:rsid w:val="00E8066E"/>
    <w:rsid w:val="00E8080B"/>
    <w:rsid w:val="00E80B60"/>
    <w:rsid w:val="00E80E63"/>
    <w:rsid w:val="00E811C0"/>
    <w:rsid w:val="00E81992"/>
    <w:rsid w:val="00E81D01"/>
    <w:rsid w:val="00E81D97"/>
    <w:rsid w:val="00E82946"/>
    <w:rsid w:val="00E829F9"/>
    <w:rsid w:val="00E83340"/>
    <w:rsid w:val="00E8374F"/>
    <w:rsid w:val="00E8398B"/>
    <w:rsid w:val="00E84979"/>
    <w:rsid w:val="00E84A68"/>
    <w:rsid w:val="00E86156"/>
    <w:rsid w:val="00E86254"/>
    <w:rsid w:val="00E8644C"/>
    <w:rsid w:val="00E8757B"/>
    <w:rsid w:val="00E87777"/>
    <w:rsid w:val="00E9057A"/>
    <w:rsid w:val="00E90C31"/>
    <w:rsid w:val="00E9175E"/>
    <w:rsid w:val="00E91BC0"/>
    <w:rsid w:val="00E91F97"/>
    <w:rsid w:val="00E923B5"/>
    <w:rsid w:val="00E9242D"/>
    <w:rsid w:val="00E92697"/>
    <w:rsid w:val="00E9303A"/>
    <w:rsid w:val="00E93865"/>
    <w:rsid w:val="00E93933"/>
    <w:rsid w:val="00E93F7F"/>
    <w:rsid w:val="00E94A06"/>
    <w:rsid w:val="00E95015"/>
    <w:rsid w:val="00E95037"/>
    <w:rsid w:val="00E957A4"/>
    <w:rsid w:val="00E95ED7"/>
    <w:rsid w:val="00E963E2"/>
    <w:rsid w:val="00E964F5"/>
    <w:rsid w:val="00E968A3"/>
    <w:rsid w:val="00E96A66"/>
    <w:rsid w:val="00E96BA0"/>
    <w:rsid w:val="00E96E8E"/>
    <w:rsid w:val="00E96F42"/>
    <w:rsid w:val="00E96FEE"/>
    <w:rsid w:val="00E97A68"/>
    <w:rsid w:val="00EA093E"/>
    <w:rsid w:val="00EA0BD4"/>
    <w:rsid w:val="00EA0E60"/>
    <w:rsid w:val="00EA130B"/>
    <w:rsid w:val="00EA1744"/>
    <w:rsid w:val="00EA20C7"/>
    <w:rsid w:val="00EA232C"/>
    <w:rsid w:val="00EA24D6"/>
    <w:rsid w:val="00EA27BD"/>
    <w:rsid w:val="00EA2867"/>
    <w:rsid w:val="00EA2BEF"/>
    <w:rsid w:val="00EA2D4C"/>
    <w:rsid w:val="00EA2DBF"/>
    <w:rsid w:val="00EA3318"/>
    <w:rsid w:val="00EA340F"/>
    <w:rsid w:val="00EA346E"/>
    <w:rsid w:val="00EA3C63"/>
    <w:rsid w:val="00EA4309"/>
    <w:rsid w:val="00EA4DE9"/>
    <w:rsid w:val="00EA5088"/>
    <w:rsid w:val="00EA6127"/>
    <w:rsid w:val="00EA641A"/>
    <w:rsid w:val="00EA6993"/>
    <w:rsid w:val="00EA6C4F"/>
    <w:rsid w:val="00EA7290"/>
    <w:rsid w:val="00EA7700"/>
    <w:rsid w:val="00EA7753"/>
    <w:rsid w:val="00EA7C18"/>
    <w:rsid w:val="00EA7E5D"/>
    <w:rsid w:val="00EA7FC2"/>
    <w:rsid w:val="00EB0C8B"/>
    <w:rsid w:val="00EB1160"/>
    <w:rsid w:val="00EB1882"/>
    <w:rsid w:val="00EB1C72"/>
    <w:rsid w:val="00EB1E57"/>
    <w:rsid w:val="00EB2092"/>
    <w:rsid w:val="00EB228E"/>
    <w:rsid w:val="00EB2C36"/>
    <w:rsid w:val="00EB3296"/>
    <w:rsid w:val="00EB3FFA"/>
    <w:rsid w:val="00EB5255"/>
    <w:rsid w:val="00EB55ED"/>
    <w:rsid w:val="00EB59E5"/>
    <w:rsid w:val="00EB5C47"/>
    <w:rsid w:val="00EB5DF2"/>
    <w:rsid w:val="00EB6745"/>
    <w:rsid w:val="00EB6AB3"/>
    <w:rsid w:val="00EB6AF5"/>
    <w:rsid w:val="00EB6B52"/>
    <w:rsid w:val="00EB6C45"/>
    <w:rsid w:val="00EB7528"/>
    <w:rsid w:val="00EB7547"/>
    <w:rsid w:val="00EB77D8"/>
    <w:rsid w:val="00EB786C"/>
    <w:rsid w:val="00EC0678"/>
    <w:rsid w:val="00EC0755"/>
    <w:rsid w:val="00EC098C"/>
    <w:rsid w:val="00EC0F5D"/>
    <w:rsid w:val="00EC1A28"/>
    <w:rsid w:val="00EC2806"/>
    <w:rsid w:val="00EC310C"/>
    <w:rsid w:val="00EC34E3"/>
    <w:rsid w:val="00EC3E36"/>
    <w:rsid w:val="00EC429A"/>
    <w:rsid w:val="00EC5680"/>
    <w:rsid w:val="00EC609D"/>
    <w:rsid w:val="00EC609F"/>
    <w:rsid w:val="00EC6799"/>
    <w:rsid w:val="00EC68F7"/>
    <w:rsid w:val="00EC691B"/>
    <w:rsid w:val="00EC7068"/>
    <w:rsid w:val="00EC7111"/>
    <w:rsid w:val="00EC7461"/>
    <w:rsid w:val="00EC7462"/>
    <w:rsid w:val="00EC7A67"/>
    <w:rsid w:val="00EC7F0F"/>
    <w:rsid w:val="00ED0434"/>
    <w:rsid w:val="00ED04E3"/>
    <w:rsid w:val="00ED057C"/>
    <w:rsid w:val="00ED0639"/>
    <w:rsid w:val="00ED071F"/>
    <w:rsid w:val="00ED0E22"/>
    <w:rsid w:val="00ED19DA"/>
    <w:rsid w:val="00ED225C"/>
    <w:rsid w:val="00ED23EB"/>
    <w:rsid w:val="00ED270C"/>
    <w:rsid w:val="00ED2ABB"/>
    <w:rsid w:val="00ED2E70"/>
    <w:rsid w:val="00ED3BDA"/>
    <w:rsid w:val="00ED3F21"/>
    <w:rsid w:val="00ED4422"/>
    <w:rsid w:val="00ED461B"/>
    <w:rsid w:val="00ED486A"/>
    <w:rsid w:val="00ED4AC6"/>
    <w:rsid w:val="00ED4B98"/>
    <w:rsid w:val="00ED4C16"/>
    <w:rsid w:val="00ED4F94"/>
    <w:rsid w:val="00ED50C1"/>
    <w:rsid w:val="00ED51D7"/>
    <w:rsid w:val="00ED5566"/>
    <w:rsid w:val="00ED55CA"/>
    <w:rsid w:val="00ED5B95"/>
    <w:rsid w:val="00ED5BCA"/>
    <w:rsid w:val="00ED5F64"/>
    <w:rsid w:val="00ED6319"/>
    <w:rsid w:val="00ED6633"/>
    <w:rsid w:val="00ED69D1"/>
    <w:rsid w:val="00ED6EF4"/>
    <w:rsid w:val="00ED7649"/>
    <w:rsid w:val="00ED7773"/>
    <w:rsid w:val="00ED7989"/>
    <w:rsid w:val="00ED79D8"/>
    <w:rsid w:val="00ED7AD7"/>
    <w:rsid w:val="00EE00D5"/>
    <w:rsid w:val="00EE0213"/>
    <w:rsid w:val="00EE0DB2"/>
    <w:rsid w:val="00EE0DDF"/>
    <w:rsid w:val="00EE0E91"/>
    <w:rsid w:val="00EE1C10"/>
    <w:rsid w:val="00EE2B40"/>
    <w:rsid w:val="00EE2B8E"/>
    <w:rsid w:val="00EE31B4"/>
    <w:rsid w:val="00EE31D5"/>
    <w:rsid w:val="00EE3B38"/>
    <w:rsid w:val="00EE3ED2"/>
    <w:rsid w:val="00EE4163"/>
    <w:rsid w:val="00EE4286"/>
    <w:rsid w:val="00EE4BB2"/>
    <w:rsid w:val="00EE4F16"/>
    <w:rsid w:val="00EE53CE"/>
    <w:rsid w:val="00EE56F9"/>
    <w:rsid w:val="00EE5776"/>
    <w:rsid w:val="00EE59F8"/>
    <w:rsid w:val="00EE5D42"/>
    <w:rsid w:val="00EE5EA4"/>
    <w:rsid w:val="00EE645E"/>
    <w:rsid w:val="00EE6627"/>
    <w:rsid w:val="00EE6A60"/>
    <w:rsid w:val="00EE731C"/>
    <w:rsid w:val="00EE77C5"/>
    <w:rsid w:val="00EE7A64"/>
    <w:rsid w:val="00EE7F60"/>
    <w:rsid w:val="00EF0277"/>
    <w:rsid w:val="00EF06CE"/>
    <w:rsid w:val="00EF0BB3"/>
    <w:rsid w:val="00EF0EAD"/>
    <w:rsid w:val="00EF10A9"/>
    <w:rsid w:val="00EF12BD"/>
    <w:rsid w:val="00EF1A95"/>
    <w:rsid w:val="00EF1AF0"/>
    <w:rsid w:val="00EF1B09"/>
    <w:rsid w:val="00EF27EF"/>
    <w:rsid w:val="00EF332C"/>
    <w:rsid w:val="00EF338D"/>
    <w:rsid w:val="00EF3507"/>
    <w:rsid w:val="00EF39D5"/>
    <w:rsid w:val="00EF3BCE"/>
    <w:rsid w:val="00EF3D84"/>
    <w:rsid w:val="00EF426F"/>
    <w:rsid w:val="00EF44BD"/>
    <w:rsid w:val="00EF4506"/>
    <w:rsid w:val="00EF455E"/>
    <w:rsid w:val="00EF4755"/>
    <w:rsid w:val="00EF47A1"/>
    <w:rsid w:val="00EF4876"/>
    <w:rsid w:val="00EF4B3C"/>
    <w:rsid w:val="00EF50B8"/>
    <w:rsid w:val="00EF50F3"/>
    <w:rsid w:val="00EF552B"/>
    <w:rsid w:val="00EF5E5F"/>
    <w:rsid w:val="00EF603D"/>
    <w:rsid w:val="00EF7082"/>
    <w:rsid w:val="00EF7135"/>
    <w:rsid w:val="00EF727F"/>
    <w:rsid w:val="00EF72E3"/>
    <w:rsid w:val="00EF7CF6"/>
    <w:rsid w:val="00EF7E79"/>
    <w:rsid w:val="00F0000C"/>
    <w:rsid w:val="00F0007C"/>
    <w:rsid w:val="00F0060C"/>
    <w:rsid w:val="00F006C8"/>
    <w:rsid w:val="00F00FF3"/>
    <w:rsid w:val="00F01220"/>
    <w:rsid w:val="00F01467"/>
    <w:rsid w:val="00F017BB"/>
    <w:rsid w:val="00F01E0D"/>
    <w:rsid w:val="00F01E55"/>
    <w:rsid w:val="00F020CE"/>
    <w:rsid w:val="00F027DB"/>
    <w:rsid w:val="00F02B98"/>
    <w:rsid w:val="00F02C41"/>
    <w:rsid w:val="00F02C92"/>
    <w:rsid w:val="00F035BB"/>
    <w:rsid w:val="00F03844"/>
    <w:rsid w:val="00F03A09"/>
    <w:rsid w:val="00F03D6C"/>
    <w:rsid w:val="00F043AA"/>
    <w:rsid w:val="00F045CE"/>
    <w:rsid w:val="00F045E8"/>
    <w:rsid w:val="00F048ED"/>
    <w:rsid w:val="00F04F78"/>
    <w:rsid w:val="00F04FC9"/>
    <w:rsid w:val="00F0551D"/>
    <w:rsid w:val="00F0599E"/>
    <w:rsid w:val="00F05C89"/>
    <w:rsid w:val="00F05F56"/>
    <w:rsid w:val="00F05F77"/>
    <w:rsid w:val="00F06481"/>
    <w:rsid w:val="00F0666F"/>
    <w:rsid w:val="00F06799"/>
    <w:rsid w:val="00F074B5"/>
    <w:rsid w:val="00F07A2C"/>
    <w:rsid w:val="00F106B2"/>
    <w:rsid w:val="00F10721"/>
    <w:rsid w:val="00F1142E"/>
    <w:rsid w:val="00F11443"/>
    <w:rsid w:val="00F11787"/>
    <w:rsid w:val="00F11986"/>
    <w:rsid w:val="00F11A0C"/>
    <w:rsid w:val="00F11A0E"/>
    <w:rsid w:val="00F11CAC"/>
    <w:rsid w:val="00F124E6"/>
    <w:rsid w:val="00F12A2C"/>
    <w:rsid w:val="00F13290"/>
    <w:rsid w:val="00F133A0"/>
    <w:rsid w:val="00F136EA"/>
    <w:rsid w:val="00F1397A"/>
    <w:rsid w:val="00F13B5F"/>
    <w:rsid w:val="00F13C65"/>
    <w:rsid w:val="00F13FD1"/>
    <w:rsid w:val="00F14A7A"/>
    <w:rsid w:val="00F14EA8"/>
    <w:rsid w:val="00F14EB7"/>
    <w:rsid w:val="00F150E6"/>
    <w:rsid w:val="00F1560F"/>
    <w:rsid w:val="00F15895"/>
    <w:rsid w:val="00F1594D"/>
    <w:rsid w:val="00F15B4E"/>
    <w:rsid w:val="00F15C49"/>
    <w:rsid w:val="00F15D49"/>
    <w:rsid w:val="00F1635E"/>
    <w:rsid w:val="00F16395"/>
    <w:rsid w:val="00F1663C"/>
    <w:rsid w:val="00F16783"/>
    <w:rsid w:val="00F16A78"/>
    <w:rsid w:val="00F16A7F"/>
    <w:rsid w:val="00F16B3B"/>
    <w:rsid w:val="00F1761B"/>
    <w:rsid w:val="00F17D1E"/>
    <w:rsid w:val="00F17D40"/>
    <w:rsid w:val="00F20064"/>
    <w:rsid w:val="00F200BD"/>
    <w:rsid w:val="00F20545"/>
    <w:rsid w:val="00F20A33"/>
    <w:rsid w:val="00F21902"/>
    <w:rsid w:val="00F2246A"/>
    <w:rsid w:val="00F22985"/>
    <w:rsid w:val="00F22AF6"/>
    <w:rsid w:val="00F234BC"/>
    <w:rsid w:val="00F2370D"/>
    <w:rsid w:val="00F24322"/>
    <w:rsid w:val="00F2455C"/>
    <w:rsid w:val="00F24A64"/>
    <w:rsid w:val="00F24C71"/>
    <w:rsid w:val="00F24D5B"/>
    <w:rsid w:val="00F24FC5"/>
    <w:rsid w:val="00F2529A"/>
    <w:rsid w:val="00F258BD"/>
    <w:rsid w:val="00F25996"/>
    <w:rsid w:val="00F259A3"/>
    <w:rsid w:val="00F2652D"/>
    <w:rsid w:val="00F26882"/>
    <w:rsid w:val="00F26BD3"/>
    <w:rsid w:val="00F27127"/>
    <w:rsid w:val="00F272A6"/>
    <w:rsid w:val="00F303F0"/>
    <w:rsid w:val="00F3075B"/>
    <w:rsid w:val="00F30BEE"/>
    <w:rsid w:val="00F310E6"/>
    <w:rsid w:val="00F31E16"/>
    <w:rsid w:val="00F31F4A"/>
    <w:rsid w:val="00F326FC"/>
    <w:rsid w:val="00F334C2"/>
    <w:rsid w:val="00F33736"/>
    <w:rsid w:val="00F3383E"/>
    <w:rsid w:val="00F33EAA"/>
    <w:rsid w:val="00F34174"/>
    <w:rsid w:val="00F345D5"/>
    <w:rsid w:val="00F34A41"/>
    <w:rsid w:val="00F34B91"/>
    <w:rsid w:val="00F34CB3"/>
    <w:rsid w:val="00F34D23"/>
    <w:rsid w:val="00F34E49"/>
    <w:rsid w:val="00F354FC"/>
    <w:rsid w:val="00F355E0"/>
    <w:rsid w:val="00F36331"/>
    <w:rsid w:val="00F365A9"/>
    <w:rsid w:val="00F36C99"/>
    <w:rsid w:val="00F37AF4"/>
    <w:rsid w:val="00F402A2"/>
    <w:rsid w:val="00F40336"/>
    <w:rsid w:val="00F40CF4"/>
    <w:rsid w:val="00F40E0F"/>
    <w:rsid w:val="00F410B1"/>
    <w:rsid w:val="00F411FD"/>
    <w:rsid w:val="00F41591"/>
    <w:rsid w:val="00F41809"/>
    <w:rsid w:val="00F41C38"/>
    <w:rsid w:val="00F41D58"/>
    <w:rsid w:val="00F422A7"/>
    <w:rsid w:val="00F4230B"/>
    <w:rsid w:val="00F425B5"/>
    <w:rsid w:val="00F42DE6"/>
    <w:rsid w:val="00F42E10"/>
    <w:rsid w:val="00F432C7"/>
    <w:rsid w:val="00F439EE"/>
    <w:rsid w:val="00F44EEA"/>
    <w:rsid w:val="00F44FB2"/>
    <w:rsid w:val="00F450ED"/>
    <w:rsid w:val="00F45469"/>
    <w:rsid w:val="00F45512"/>
    <w:rsid w:val="00F45A10"/>
    <w:rsid w:val="00F45AC2"/>
    <w:rsid w:val="00F45FF9"/>
    <w:rsid w:val="00F46206"/>
    <w:rsid w:val="00F463AE"/>
    <w:rsid w:val="00F46540"/>
    <w:rsid w:val="00F465A7"/>
    <w:rsid w:val="00F465FD"/>
    <w:rsid w:val="00F46F0B"/>
    <w:rsid w:val="00F477C0"/>
    <w:rsid w:val="00F4793A"/>
    <w:rsid w:val="00F47B97"/>
    <w:rsid w:val="00F47C53"/>
    <w:rsid w:val="00F47C8B"/>
    <w:rsid w:val="00F47CE9"/>
    <w:rsid w:val="00F47E5E"/>
    <w:rsid w:val="00F501E8"/>
    <w:rsid w:val="00F506D3"/>
    <w:rsid w:val="00F50B7C"/>
    <w:rsid w:val="00F50F61"/>
    <w:rsid w:val="00F514D1"/>
    <w:rsid w:val="00F51700"/>
    <w:rsid w:val="00F51A90"/>
    <w:rsid w:val="00F51F7B"/>
    <w:rsid w:val="00F51FDA"/>
    <w:rsid w:val="00F524D0"/>
    <w:rsid w:val="00F525D0"/>
    <w:rsid w:val="00F52B5F"/>
    <w:rsid w:val="00F52CAD"/>
    <w:rsid w:val="00F52D1C"/>
    <w:rsid w:val="00F52DAC"/>
    <w:rsid w:val="00F53460"/>
    <w:rsid w:val="00F537CB"/>
    <w:rsid w:val="00F53C51"/>
    <w:rsid w:val="00F53E71"/>
    <w:rsid w:val="00F543C9"/>
    <w:rsid w:val="00F54674"/>
    <w:rsid w:val="00F547C9"/>
    <w:rsid w:val="00F550E6"/>
    <w:rsid w:val="00F554B4"/>
    <w:rsid w:val="00F55B39"/>
    <w:rsid w:val="00F55D6A"/>
    <w:rsid w:val="00F55FE2"/>
    <w:rsid w:val="00F56A0A"/>
    <w:rsid w:val="00F56C88"/>
    <w:rsid w:val="00F56CB2"/>
    <w:rsid w:val="00F56FEB"/>
    <w:rsid w:val="00F5705D"/>
    <w:rsid w:val="00F571EB"/>
    <w:rsid w:val="00F57648"/>
    <w:rsid w:val="00F57AEA"/>
    <w:rsid w:val="00F57B9C"/>
    <w:rsid w:val="00F57BF2"/>
    <w:rsid w:val="00F57BF4"/>
    <w:rsid w:val="00F57EC4"/>
    <w:rsid w:val="00F600AC"/>
    <w:rsid w:val="00F6023C"/>
    <w:rsid w:val="00F607AB"/>
    <w:rsid w:val="00F60D09"/>
    <w:rsid w:val="00F60D1E"/>
    <w:rsid w:val="00F60E01"/>
    <w:rsid w:val="00F61B7C"/>
    <w:rsid w:val="00F62160"/>
    <w:rsid w:val="00F621EB"/>
    <w:rsid w:val="00F625F1"/>
    <w:rsid w:val="00F62CAB"/>
    <w:rsid w:val="00F62F18"/>
    <w:rsid w:val="00F62F6C"/>
    <w:rsid w:val="00F63764"/>
    <w:rsid w:val="00F63C6C"/>
    <w:rsid w:val="00F63E73"/>
    <w:rsid w:val="00F63FEB"/>
    <w:rsid w:val="00F64102"/>
    <w:rsid w:val="00F64157"/>
    <w:rsid w:val="00F643B3"/>
    <w:rsid w:val="00F6447E"/>
    <w:rsid w:val="00F647D4"/>
    <w:rsid w:val="00F6505A"/>
    <w:rsid w:val="00F65417"/>
    <w:rsid w:val="00F65C46"/>
    <w:rsid w:val="00F65C9B"/>
    <w:rsid w:val="00F65D36"/>
    <w:rsid w:val="00F65D7F"/>
    <w:rsid w:val="00F66039"/>
    <w:rsid w:val="00F660C8"/>
    <w:rsid w:val="00F6627E"/>
    <w:rsid w:val="00F66773"/>
    <w:rsid w:val="00F66BD7"/>
    <w:rsid w:val="00F66C15"/>
    <w:rsid w:val="00F66EBA"/>
    <w:rsid w:val="00F6715A"/>
    <w:rsid w:val="00F678AC"/>
    <w:rsid w:val="00F678B7"/>
    <w:rsid w:val="00F67C3F"/>
    <w:rsid w:val="00F67C73"/>
    <w:rsid w:val="00F700D3"/>
    <w:rsid w:val="00F70260"/>
    <w:rsid w:val="00F704B4"/>
    <w:rsid w:val="00F704FE"/>
    <w:rsid w:val="00F70668"/>
    <w:rsid w:val="00F70D6E"/>
    <w:rsid w:val="00F71153"/>
    <w:rsid w:val="00F71481"/>
    <w:rsid w:val="00F71514"/>
    <w:rsid w:val="00F71580"/>
    <w:rsid w:val="00F716AE"/>
    <w:rsid w:val="00F719B4"/>
    <w:rsid w:val="00F71D06"/>
    <w:rsid w:val="00F72044"/>
    <w:rsid w:val="00F72531"/>
    <w:rsid w:val="00F7258C"/>
    <w:rsid w:val="00F72AA9"/>
    <w:rsid w:val="00F72B48"/>
    <w:rsid w:val="00F72DC5"/>
    <w:rsid w:val="00F7381B"/>
    <w:rsid w:val="00F7400F"/>
    <w:rsid w:val="00F74345"/>
    <w:rsid w:val="00F74AB6"/>
    <w:rsid w:val="00F7560A"/>
    <w:rsid w:val="00F756DB"/>
    <w:rsid w:val="00F75AD4"/>
    <w:rsid w:val="00F76581"/>
    <w:rsid w:val="00F7683E"/>
    <w:rsid w:val="00F76883"/>
    <w:rsid w:val="00F770AE"/>
    <w:rsid w:val="00F77182"/>
    <w:rsid w:val="00F77207"/>
    <w:rsid w:val="00F774B8"/>
    <w:rsid w:val="00F77542"/>
    <w:rsid w:val="00F777B1"/>
    <w:rsid w:val="00F77A32"/>
    <w:rsid w:val="00F77CFF"/>
    <w:rsid w:val="00F80397"/>
    <w:rsid w:val="00F804D8"/>
    <w:rsid w:val="00F806F3"/>
    <w:rsid w:val="00F808E7"/>
    <w:rsid w:val="00F8093C"/>
    <w:rsid w:val="00F80945"/>
    <w:rsid w:val="00F80A0A"/>
    <w:rsid w:val="00F80AC4"/>
    <w:rsid w:val="00F80C12"/>
    <w:rsid w:val="00F813D1"/>
    <w:rsid w:val="00F81507"/>
    <w:rsid w:val="00F81579"/>
    <w:rsid w:val="00F815F9"/>
    <w:rsid w:val="00F81607"/>
    <w:rsid w:val="00F81C5F"/>
    <w:rsid w:val="00F81E4C"/>
    <w:rsid w:val="00F82081"/>
    <w:rsid w:val="00F821CE"/>
    <w:rsid w:val="00F823A4"/>
    <w:rsid w:val="00F82B19"/>
    <w:rsid w:val="00F82F63"/>
    <w:rsid w:val="00F83154"/>
    <w:rsid w:val="00F83400"/>
    <w:rsid w:val="00F83647"/>
    <w:rsid w:val="00F836D8"/>
    <w:rsid w:val="00F838ED"/>
    <w:rsid w:val="00F83988"/>
    <w:rsid w:val="00F83A45"/>
    <w:rsid w:val="00F83CA3"/>
    <w:rsid w:val="00F83DF2"/>
    <w:rsid w:val="00F83E09"/>
    <w:rsid w:val="00F84024"/>
    <w:rsid w:val="00F84052"/>
    <w:rsid w:val="00F8425D"/>
    <w:rsid w:val="00F848DB"/>
    <w:rsid w:val="00F849DA"/>
    <w:rsid w:val="00F84B5A"/>
    <w:rsid w:val="00F85070"/>
    <w:rsid w:val="00F854C7"/>
    <w:rsid w:val="00F85941"/>
    <w:rsid w:val="00F85CC9"/>
    <w:rsid w:val="00F85F5E"/>
    <w:rsid w:val="00F863A8"/>
    <w:rsid w:val="00F8680F"/>
    <w:rsid w:val="00F86AB6"/>
    <w:rsid w:val="00F86AE1"/>
    <w:rsid w:val="00F86D19"/>
    <w:rsid w:val="00F86F73"/>
    <w:rsid w:val="00F8708C"/>
    <w:rsid w:val="00F87500"/>
    <w:rsid w:val="00F875CC"/>
    <w:rsid w:val="00F87850"/>
    <w:rsid w:val="00F9019A"/>
    <w:rsid w:val="00F9053B"/>
    <w:rsid w:val="00F90C3B"/>
    <w:rsid w:val="00F90EEB"/>
    <w:rsid w:val="00F90F75"/>
    <w:rsid w:val="00F913E1"/>
    <w:rsid w:val="00F914FD"/>
    <w:rsid w:val="00F920E6"/>
    <w:rsid w:val="00F9212D"/>
    <w:rsid w:val="00F92657"/>
    <w:rsid w:val="00F93050"/>
    <w:rsid w:val="00F930AE"/>
    <w:rsid w:val="00F93B78"/>
    <w:rsid w:val="00F93F5C"/>
    <w:rsid w:val="00F94010"/>
    <w:rsid w:val="00F94176"/>
    <w:rsid w:val="00F94193"/>
    <w:rsid w:val="00F95930"/>
    <w:rsid w:val="00F959E6"/>
    <w:rsid w:val="00F965DA"/>
    <w:rsid w:val="00F96693"/>
    <w:rsid w:val="00F96C6A"/>
    <w:rsid w:val="00F970E7"/>
    <w:rsid w:val="00F9736C"/>
    <w:rsid w:val="00F97912"/>
    <w:rsid w:val="00F97E0D"/>
    <w:rsid w:val="00FA0301"/>
    <w:rsid w:val="00FA04D9"/>
    <w:rsid w:val="00FA0A0C"/>
    <w:rsid w:val="00FA0A76"/>
    <w:rsid w:val="00FA0D95"/>
    <w:rsid w:val="00FA18D8"/>
    <w:rsid w:val="00FA1C0F"/>
    <w:rsid w:val="00FA1F3A"/>
    <w:rsid w:val="00FA2189"/>
    <w:rsid w:val="00FA28D3"/>
    <w:rsid w:val="00FA2AEB"/>
    <w:rsid w:val="00FA3149"/>
    <w:rsid w:val="00FA31E1"/>
    <w:rsid w:val="00FA3A60"/>
    <w:rsid w:val="00FA3D2B"/>
    <w:rsid w:val="00FA3E21"/>
    <w:rsid w:val="00FA406A"/>
    <w:rsid w:val="00FA40DB"/>
    <w:rsid w:val="00FA57BF"/>
    <w:rsid w:val="00FA57C4"/>
    <w:rsid w:val="00FA58F2"/>
    <w:rsid w:val="00FA6486"/>
    <w:rsid w:val="00FA6A18"/>
    <w:rsid w:val="00FA6EDF"/>
    <w:rsid w:val="00FB0190"/>
    <w:rsid w:val="00FB045A"/>
    <w:rsid w:val="00FB08D2"/>
    <w:rsid w:val="00FB09CD"/>
    <w:rsid w:val="00FB0A4F"/>
    <w:rsid w:val="00FB0FF7"/>
    <w:rsid w:val="00FB125D"/>
    <w:rsid w:val="00FB14C2"/>
    <w:rsid w:val="00FB15DD"/>
    <w:rsid w:val="00FB16FC"/>
    <w:rsid w:val="00FB1FDF"/>
    <w:rsid w:val="00FB2E70"/>
    <w:rsid w:val="00FB3009"/>
    <w:rsid w:val="00FB33B7"/>
    <w:rsid w:val="00FB3A2C"/>
    <w:rsid w:val="00FB3BD1"/>
    <w:rsid w:val="00FB3E3F"/>
    <w:rsid w:val="00FB3FB5"/>
    <w:rsid w:val="00FB3FE7"/>
    <w:rsid w:val="00FB4216"/>
    <w:rsid w:val="00FB4236"/>
    <w:rsid w:val="00FB43DA"/>
    <w:rsid w:val="00FB462C"/>
    <w:rsid w:val="00FB48C8"/>
    <w:rsid w:val="00FB503A"/>
    <w:rsid w:val="00FB50FE"/>
    <w:rsid w:val="00FB516C"/>
    <w:rsid w:val="00FB5489"/>
    <w:rsid w:val="00FB5BE9"/>
    <w:rsid w:val="00FB5C6D"/>
    <w:rsid w:val="00FB6043"/>
    <w:rsid w:val="00FB6066"/>
    <w:rsid w:val="00FB634E"/>
    <w:rsid w:val="00FB6471"/>
    <w:rsid w:val="00FB6698"/>
    <w:rsid w:val="00FB6C7D"/>
    <w:rsid w:val="00FB6E53"/>
    <w:rsid w:val="00FB7092"/>
    <w:rsid w:val="00FB75E8"/>
    <w:rsid w:val="00FB7A2A"/>
    <w:rsid w:val="00FB7A7E"/>
    <w:rsid w:val="00FB7E1B"/>
    <w:rsid w:val="00FB7E8E"/>
    <w:rsid w:val="00FC1021"/>
    <w:rsid w:val="00FC1158"/>
    <w:rsid w:val="00FC15CD"/>
    <w:rsid w:val="00FC15EF"/>
    <w:rsid w:val="00FC1748"/>
    <w:rsid w:val="00FC1F2B"/>
    <w:rsid w:val="00FC264F"/>
    <w:rsid w:val="00FC2AF4"/>
    <w:rsid w:val="00FC2B6E"/>
    <w:rsid w:val="00FC2BDB"/>
    <w:rsid w:val="00FC2E9C"/>
    <w:rsid w:val="00FC35A2"/>
    <w:rsid w:val="00FC3900"/>
    <w:rsid w:val="00FC3B7D"/>
    <w:rsid w:val="00FC4098"/>
    <w:rsid w:val="00FC4178"/>
    <w:rsid w:val="00FC4769"/>
    <w:rsid w:val="00FC4D29"/>
    <w:rsid w:val="00FC5000"/>
    <w:rsid w:val="00FC5360"/>
    <w:rsid w:val="00FC54E4"/>
    <w:rsid w:val="00FC5661"/>
    <w:rsid w:val="00FC57B9"/>
    <w:rsid w:val="00FC5A37"/>
    <w:rsid w:val="00FC5C84"/>
    <w:rsid w:val="00FC6992"/>
    <w:rsid w:val="00FC6C9A"/>
    <w:rsid w:val="00FC7353"/>
    <w:rsid w:val="00FC7B58"/>
    <w:rsid w:val="00FC7F2C"/>
    <w:rsid w:val="00FD0236"/>
    <w:rsid w:val="00FD04D9"/>
    <w:rsid w:val="00FD0730"/>
    <w:rsid w:val="00FD0768"/>
    <w:rsid w:val="00FD0ADC"/>
    <w:rsid w:val="00FD0B51"/>
    <w:rsid w:val="00FD0F67"/>
    <w:rsid w:val="00FD14B0"/>
    <w:rsid w:val="00FD18F4"/>
    <w:rsid w:val="00FD1F5B"/>
    <w:rsid w:val="00FD2026"/>
    <w:rsid w:val="00FD3544"/>
    <w:rsid w:val="00FD3788"/>
    <w:rsid w:val="00FD3EC3"/>
    <w:rsid w:val="00FD4278"/>
    <w:rsid w:val="00FD448A"/>
    <w:rsid w:val="00FD44DD"/>
    <w:rsid w:val="00FD54DB"/>
    <w:rsid w:val="00FD5561"/>
    <w:rsid w:val="00FD6040"/>
    <w:rsid w:val="00FD619F"/>
    <w:rsid w:val="00FD61A8"/>
    <w:rsid w:val="00FD6BBB"/>
    <w:rsid w:val="00FD6D4D"/>
    <w:rsid w:val="00FD714B"/>
    <w:rsid w:val="00FD73C6"/>
    <w:rsid w:val="00FD73D0"/>
    <w:rsid w:val="00FD74EE"/>
    <w:rsid w:val="00FD79DB"/>
    <w:rsid w:val="00FD7A91"/>
    <w:rsid w:val="00FD7E3A"/>
    <w:rsid w:val="00FD7EDA"/>
    <w:rsid w:val="00FD7EF8"/>
    <w:rsid w:val="00FE01E8"/>
    <w:rsid w:val="00FE1048"/>
    <w:rsid w:val="00FE1966"/>
    <w:rsid w:val="00FE2603"/>
    <w:rsid w:val="00FE297F"/>
    <w:rsid w:val="00FE2AD8"/>
    <w:rsid w:val="00FE2E5F"/>
    <w:rsid w:val="00FE302B"/>
    <w:rsid w:val="00FE30A5"/>
    <w:rsid w:val="00FE3221"/>
    <w:rsid w:val="00FE36D1"/>
    <w:rsid w:val="00FE40EC"/>
    <w:rsid w:val="00FE4203"/>
    <w:rsid w:val="00FE4369"/>
    <w:rsid w:val="00FE4476"/>
    <w:rsid w:val="00FE4E49"/>
    <w:rsid w:val="00FE4ECE"/>
    <w:rsid w:val="00FE5235"/>
    <w:rsid w:val="00FE5303"/>
    <w:rsid w:val="00FE559D"/>
    <w:rsid w:val="00FE59A2"/>
    <w:rsid w:val="00FE5AF8"/>
    <w:rsid w:val="00FE5E14"/>
    <w:rsid w:val="00FE5FA7"/>
    <w:rsid w:val="00FE6614"/>
    <w:rsid w:val="00FE6CB7"/>
    <w:rsid w:val="00FE6E49"/>
    <w:rsid w:val="00FE718B"/>
    <w:rsid w:val="00FE72CF"/>
    <w:rsid w:val="00FE7834"/>
    <w:rsid w:val="00FE7908"/>
    <w:rsid w:val="00FE7C86"/>
    <w:rsid w:val="00FF0066"/>
    <w:rsid w:val="00FF0986"/>
    <w:rsid w:val="00FF09B5"/>
    <w:rsid w:val="00FF0AB8"/>
    <w:rsid w:val="00FF0B4A"/>
    <w:rsid w:val="00FF0F89"/>
    <w:rsid w:val="00FF0FEC"/>
    <w:rsid w:val="00FF12B9"/>
    <w:rsid w:val="00FF12FB"/>
    <w:rsid w:val="00FF13FC"/>
    <w:rsid w:val="00FF1766"/>
    <w:rsid w:val="00FF17DF"/>
    <w:rsid w:val="00FF1872"/>
    <w:rsid w:val="00FF19F4"/>
    <w:rsid w:val="00FF1D7F"/>
    <w:rsid w:val="00FF1E85"/>
    <w:rsid w:val="00FF2535"/>
    <w:rsid w:val="00FF2F3B"/>
    <w:rsid w:val="00FF345E"/>
    <w:rsid w:val="00FF3659"/>
    <w:rsid w:val="00FF3780"/>
    <w:rsid w:val="00FF3D39"/>
    <w:rsid w:val="00FF3E7B"/>
    <w:rsid w:val="00FF4176"/>
    <w:rsid w:val="00FF4E26"/>
    <w:rsid w:val="00FF4F0A"/>
    <w:rsid w:val="00FF550E"/>
    <w:rsid w:val="00FF566F"/>
    <w:rsid w:val="00FF6204"/>
    <w:rsid w:val="00FF63D1"/>
    <w:rsid w:val="00FF6F50"/>
    <w:rsid w:val="00FF75BD"/>
    <w:rsid w:val="00FF762A"/>
    <w:rsid w:val="00FF79F2"/>
    <w:rsid w:val="01290F7E"/>
    <w:rsid w:val="015D1E09"/>
    <w:rsid w:val="017129D6"/>
    <w:rsid w:val="021A1913"/>
    <w:rsid w:val="02697903"/>
    <w:rsid w:val="02713DE6"/>
    <w:rsid w:val="027C7DA9"/>
    <w:rsid w:val="0281052F"/>
    <w:rsid w:val="02BB22C4"/>
    <w:rsid w:val="02BE2851"/>
    <w:rsid w:val="02D053F2"/>
    <w:rsid w:val="02F96569"/>
    <w:rsid w:val="036101DF"/>
    <w:rsid w:val="03981F66"/>
    <w:rsid w:val="03EA7B21"/>
    <w:rsid w:val="04113112"/>
    <w:rsid w:val="041C0771"/>
    <w:rsid w:val="04256BA0"/>
    <w:rsid w:val="04370F72"/>
    <w:rsid w:val="043833BC"/>
    <w:rsid w:val="0469769B"/>
    <w:rsid w:val="04C74740"/>
    <w:rsid w:val="0506359C"/>
    <w:rsid w:val="05722F59"/>
    <w:rsid w:val="0596483F"/>
    <w:rsid w:val="05BA521D"/>
    <w:rsid w:val="05C375FE"/>
    <w:rsid w:val="05E25E15"/>
    <w:rsid w:val="05F83EAE"/>
    <w:rsid w:val="06145D63"/>
    <w:rsid w:val="063E7D85"/>
    <w:rsid w:val="06877933"/>
    <w:rsid w:val="06FC54EE"/>
    <w:rsid w:val="07293586"/>
    <w:rsid w:val="07295285"/>
    <w:rsid w:val="07563868"/>
    <w:rsid w:val="07636392"/>
    <w:rsid w:val="07770C56"/>
    <w:rsid w:val="077D1886"/>
    <w:rsid w:val="0788775C"/>
    <w:rsid w:val="07A83F99"/>
    <w:rsid w:val="07D03DA8"/>
    <w:rsid w:val="07D6114F"/>
    <w:rsid w:val="07E93106"/>
    <w:rsid w:val="08594641"/>
    <w:rsid w:val="088521A6"/>
    <w:rsid w:val="089918CE"/>
    <w:rsid w:val="08C74A99"/>
    <w:rsid w:val="08D6009D"/>
    <w:rsid w:val="09061DA2"/>
    <w:rsid w:val="092217DD"/>
    <w:rsid w:val="09306D58"/>
    <w:rsid w:val="093A7294"/>
    <w:rsid w:val="09DD3006"/>
    <w:rsid w:val="09ED69F7"/>
    <w:rsid w:val="09F213E5"/>
    <w:rsid w:val="0A0C48AD"/>
    <w:rsid w:val="0A111138"/>
    <w:rsid w:val="0A263993"/>
    <w:rsid w:val="0A2D3AC2"/>
    <w:rsid w:val="0A312E9E"/>
    <w:rsid w:val="0A3D363D"/>
    <w:rsid w:val="0A9A21D2"/>
    <w:rsid w:val="0AA0140A"/>
    <w:rsid w:val="0AA755DF"/>
    <w:rsid w:val="0AAF4F7C"/>
    <w:rsid w:val="0AB319EF"/>
    <w:rsid w:val="0AD114A0"/>
    <w:rsid w:val="0AE86DD7"/>
    <w:rsid w:val="0B087AA5"/>
    <w:rsid w:val="0B0C6978"/>
    <w:rsid w:val="0B120D44"/>
    <w:rsid w:val="0B140FE2"/>
    <w:rsid w:val="0B6365F9"/>
    <w:rsid w:val="0B793234"/>
    <w:rsid w:val="0B882E27"/>
    <w:rsid w:val="0BA40A59"/>
    <w:rsid w:val="0BAE560B"/>
    <w:rsid w:val="0BC419DA"/>
    <w:rsid w:val="0BD27BF6"/>
    <w:rsid w:val="0C3B3C7D"/>
    <w:rsid w:val="0C526FE5"/>
    <w:rsid w:val="0C607B67"/>
    <w:rsid w:val="0C7B478E"/>
    <w:rsid w:val="0C867624"/>
    <w:rsid w:val="0CAB2EAE"/>
    <w:rsid w:val="0CF55409"/>
    <w:rsid w:val="0CF64E24"/>
    <w:rsid w:val="0CFF2317"/>
    <w:rsid w:val="0D405202"/>
    <w:rsid w:val="0D621C7D"/>
    <w:rsid w:val="0DAF40F7"/>
    <w:rsid w:val="0DCE5703"/>
    <w:rsid w:val="0E083E00"/>
    <w:rsid w:val="0E0D7668"/>
    <w:rsid w:val="0E3107F4"/>
    <w:rsid w:val="0E52151F"/>
    <w:rsid w:val="0E717A3A"/>
    <w:rsid w:val="0E73034D"/>
    <w:rsid w:val="0E7E2314"/>
    <w:rsid w:val="0E821FED"/>
    <w:rsid w:val="0EA44D94"/>
    <w:rsid w:val="0EB5548A"/>
    <w:rsid w:val="0EB81A20"/>
    <w:rsid w:val="0ECE3C5C"/>
    <w:rsid w:val="0EE66792"/>
    <w:rsid w:val="0EE8119B"/>
    <w:rsid w:val="0EF95E3E"/>
    <w:rsid w:val="0F023DFE"/>
    <w:rsid w:val="0F134E8E"/>
    <w:rsid w:val="0F13775A"/>
    <w:rsid w:val="0F3126FC"/>
    <w:rsid w:val="0F511C64"/>
    <w:rsid w:val="0F5F45FE"/>
    <w:rsid w:val="0F610372"/>
    <w:rsid w:val="0F7434D5"/>
    <w:rsid w:val="0F7D74F3"/>
    <w:rsid w:val="0F9A112B"/>
    <w:rsid w:val="0FA605A8"/>
    <w:rsid w:val="10142F30"/>
    <w:rsid w:val="104F6A24"/>
    <w:rsid w:val="106D2F64"/>
    <w:rsid w:val="10806B91"/>
    <w:rsid w:val="10B63710"/>
    <w:rsid w:val="10BA3A94"/>
    <w:rsid w:val="10CA2EDA"/>
    <w:rsid w:val="10D015CD"/>
    <w:rsid w:val="10E8124F"/>
    <w:rsid w:val="10F10820"/>
    <w:rsid w:val="111C2F7A"/>
    <w:rsid w:val="113F3300"/>
    <w:rsid w:val="11542156"/>
    <w:rsid w:val="115A367D"/>
    <w:rsid w:val="11643A43"/>
    <w:rsid w:val="11665CA1"/>
    <w:rsid w:val="11D336BC"/>
    <w:rsid w:val="11EB6A3C"/>
    <w:rsid w:val="11F42AB7"/>
    <w:rsid w:val="120374B7"/>
    <w:rsid w:val="1212497F"/>
    <w:rsid w:val="12F03D37"/>
    <w:rsid w:val="130F79DE"/>
    <w:rsid w:val="132F0080"/>
    <w:rsid w:val="135D63AF"/>
    <w:rsid w:val="138275B2"/>
    <w:rsid w:val="13951726"/>
    <w:rsid w:val="14396509"/>
    <w:rsid w:val="14496F20"/>
    <w:rsid w:val="14577881"/>
    <w:rsid w:val="145F723A"/>
    <w:rsid w:val="14D33226"/>
    <w:rsid w:val="14DA587F"/>
    <w:rsid w:val="14DD2C3C"/>
    <w:rsid w:val="15302E13"/>
    <w:rsid w:val="15470214"/>
    <w:rsid w:val="1585042C"/>
    <w:rsid w:val="15AC005A"/>
    <w:rsid w:val="15BF301A"/>
    <w:rsid w:val="15F104C7"/>
    <w:rsid w:val="16013F56"/>
    <w:rsid w:val="16087E1D"/>
    <w:rsid w:val="16257519"/>
    <w:rsid w:val="1647748F"/>
    <w:rsid w:val="165D462E"/>
    <w:rsid w:val="166125D0"/>
    <w:rsid w:val="16631008"/>
    <w:rsid w:val="16670FFC"/>
    <w:rsid w:val="16983B8D"/>
    <w:rsid w:val="17293E2C"/>
    <w:rsid w:val="172B6DF8"/>
    <w:rsid w:val="17642D7E"/>
    <w:rsid w:val="176F65CA"/>
    <w:rsid w:val="17701D14"/>
    <w:rsid w:val="17735226"/>
    <w:rsid w:val="177B39CF"/>
    <w:rsid w:val="17852A40"/>
    <w:rsid w:val="17891934"/>
    <w:rsid w:val="17AB3CFD"/>
    <w:rsid w:val="18153CE9"/>
    <w:rsid w:val="181949C3"/>
    <w:rsid w:val="188057C7"/>
    <w:rsid w:val="189B5DB8"/>
    <w:rsid w:val="189F624C"/>
    <w:rsid w:val="18D22AE4"/>
    <w:rsid w:val="19362107"/>
    <w:rsid w:val="193A4698"/>
    <w:rsid w:val="19707A20"/>
    <w:rsid w:val="19F44E85"/>
    <w:rsid w:val="1A1C66C0"/>
    <w:rsid w:val="1A230218"/>
    <w:rsid w:val="1A25256A"/>
    <w:rsid w:val="1A42393B"/>
    <w:rsid w:val="1A441CBC"/>
    <w:rsid w:val="1A5F4C16"/>
    <w:rsid w:val="1A9F6B95"/>
    <w:rsid w:val="1AA24C7A"/>
    <w:rsid w:val="1AAD45DE"/>
    <w:rsid w:val="1AF8761E"/>
    <w:rsid w:val="1B046F80"/>
    <w:rsid w:val="1B124510"/>
    <w:rsid w:val="1B3267B5"/>
    <w:rsid w:val="1B40161D"/>
    <w:rsid w:val="1B441859"/>
    <w:rsid w:val="1B6606B1"/>
    <w:rsid w:val="1B937848"/>
    <w:rsid w:val="1C1B2933"/>
    <w:rsid w:val="1C250D25"/>
    <w:rsid w:val="1C5E7925"/>
    <w:rsid w:val="1C786972"/>
    <w:rsid w:val="1CA62D02"/>
    <w:rsid w:val="1CB55692"/>
    <w:rsid w:val="1CFD070F"/>
    <w:rsid w:val="1D2D4BD5"/>
    <w:rsid w:val="1D5F6196"/>
    <w:rsid w:val="1D6132A5"/>
    <w:rsid w:val="1D8E56D5"/>
    <w:rsid w:val="1D930BDE"/>
    <w:rsid w:val="1DE071CC"/>
    <w:rsid w:val="1DE32628"/>
    <w:rsid w:val="1DF90F20"/>
    <w:rsid w:val="1E780B2E"/>
    <w:rsid w:val="1E7A43DA"/>
    <w:rsid w:val="1E9413AB"/>
    <w:rsid w:val="1F365477"/>
    <w:rsid w:val="1F417F45"/>
    <w:rsid w:val="1FB10262"/>
    <w:rsid w:val="1FE7539E"/>
    <w:rsid w:val="1FF04C73"/>
    <w:rsid w:val="200D5F9C"/>
    <w:rsid w:val="200E0056"/>
    <w:rsid w:val="2063161E"/>
    <w:rsid w:val="20671BE0"/>
    <w:rsid w:val="207A092D"/>
    <w:rsid w:val="207F06C7"/>
    <w:rsid w:val="20963CB8"/>
    <w:rsid w:val="20A81A1B"/>
    <w:rsid w:val="20B07FB6"/>
    <w:rsid w:val="20B646FB"/>
    <w:rsid w:val="20CE430A"/>
    <w:rsid w:val="21390C8B"/>
    <w:rsid w:val="213B74B1"/>
    <w:rsid w:val="215A2310"/>
    <w:rsid w:val="218B501C"/>
    <w:rsid w:val="218E68BA"/>
    <w:rsid w:val="21B46D5C"/>
    <w:rsid w:val="21DE318A"/>
    <w:rsid w:val="21EF5B80"/>
    <w:rsid w:val="21F02FD9"/>
    <w:rsid w:val="22193154"/>
    <w:rsid w:val="222641DA"/>
    <w:rsid w:val="22576990"/>
    <w:rsid w:val="22F47480"/>
    <w:rsid w:val="22FC7B8C"/>
    <w:rsid w:val="23103368"/>
    <w:rsid w:val="2368224A"/>
    <w:rsid w:val="236863E6"/>
    <w:rsid w:val="23690CEC"/>
    <w:rsid w:val="236D42CA"/>
    <w:rsid w:val="23906919"/>
    <w:rsid w:val="23D36828"/>
    <w:rsid w:val="23DE1C48"/>
    <w:rsid w:val="23F05F89"/>
    <w:rsid w:val="23F8626D"/>
    <w:rsid w:val="240210CD"/>
    <w:rsid w:val="24021473"/>
    <w:rsid w:val="241D65EF"/>
    <w:rsid w:val="246B385D"/>
    <w:rsid w:val="248A2B86"/>
    <w:rsid w:val="249B7324"/>
    <w:rsid w:val="249E1D3E"/>
    <w:rsid w:val="249E72A1"/>
    <w:rsid w:val="24BF09F7"/>
    <w:rsid w:val="24C46AFC"/>
    <w:rsid w:val="251A293E"/>
    <w:rsid w:val="252C47A8"/>
    <w:rsid w:val="252D53FE"/>
    <w:rsid w:val="25445C0D"/>
    <w:rsid w:val="256A4F48"/>
    <w:rsid w:val="257B7F00"/>
    <w:rsid w:val="25CF4056"/>
    <w:rsid w:val="25DA67A2"/>
    <w:rsid w:val="25EC2D81"/>
    <w:rsid w:val="25EF3DCB"/>
    <w:rsid w:val="25F8601F"/>
    <w:rsid w:val="25FC5127"/>
    <w:rsid w:val="262112E0"/>
    <w:rsid w:val="26A050DE"/>
    <w:rsid w:val="26D25223"/>
    <w:rsid w:val="2731789A"/>
    <w:rsid w:val="277057A2"/>
    <w:rsid w:val="27FE4D3A"/>
    <w:rsid w:val="282A1683"/>
    <w:rsid w:val="283812FA"/>
    <w:rsid w:val="286D18AB"/>
    <w:rsid w:val="29192F0D"/>
    <w:rsid w:val="29206EB8"/>
    <w:rsid w:val="29595666"/>
    <w:rsid w:val="2963341B"/>
    <w:rsid w:val="29874881"/>
    <w:rsid w:val="299B6018"/>
    <w:rsid w:val="29A25702"/>
    <w:rsid w:val="29BD5F8E"/>
    <w:rsid w:val="29C91CA9"/>
    <w:rsid w:val="29E325E0"/>
    <w:rsid w:val="29EA7E5C"/>
    <w:rsid w:val="2A1E50CD"/>
    <w:rsid w:val="2A374E59"/>
    <w:rsid w:val="2A452503"/>
    <w:rsid w:val="2A653BF3"/>
    <w:rsid w:val="2ACB3B4E"/>
    <w:rsid w:val="2AD710BC"/>
    <w:rsid w:val="2AEA0545"/>
    <w:rsid w:val="2B0366B8"/>
    <w:rsid w:val="2B11629C"/>
    <w:rsid w:val="2B1B2F6C"/>
    <w:rsid w:val="2B277B63"/>
    <w:rsid w:val="2B631F9F"/>
    <w:rsid w:val="2B9035E2"/>
    <w:rsid w:val="2BA936A8"/>
    <w:rsid w:val="2BFC0FF0"/>
    <w:rsid w:val="2C315A5A"/>
    <w:rsid w:val="2C3835C8"/>
    <w:rsid w:val="2C4739F4"/>
    <w:rsid w:val="2C4B1C25"/>
    <w:rsid w:val="2C56555B"/>
    <w:rsid w:val="2CA9297D"/>
    <w:rsid w:val="2CB92977"/>
    <w:rsid w:val="2CBB250B"/>
    <w:rsid w:val="2CCB720E"/>
    <w:rsid w:val="2CE6449E"/>
    <w:rsid w:val="2CEA4440"/>
    <w:rsid w:val="2D154C56"/>
    <w:rsid w:val="2D6F75A0"/>
    <w:rsid w:val="2D9A5FBB"/>
    <w:rsid w:val="2D9E56F5"/>
    <w:rsid w:val="2DB144BF"/>
    <w:rsid w:val="2E2747A5"/>
    <w:rsid w:val="2E283D2E"/>
    <w:rsid w:val="2E564E8E"/>
    <w:rsid w:val="2E667F96"/>
    <w:rsid w:val="2E7F50B4"/>
    <w:rsid w:val="2E8226AB"/>
    <w:rsid w:val="2EE20362"/>
    <w:rsid w:val="2F040B13"/>
    <w:rsid w:val="2F191EB9"/>
    <w:rsid w:val="2F1D4585"/>
    <w:rsid w:val="2F1E0716"/>
    <w:rsid w:val="2F264567"/>
    <w:rsid w:val="2FD065E6"/>
    <w:rsid w:val="2FD96870"/>
    <w:rsid w:val="2FE158A9"/>
    <w:rsid w:val="30257F10"/>
    <w:rsid w:val="30580BC9"/>
    <w:rsid w:val="30C81DC9"/>
    <w:rsid w:val="30E57CC3"/>
    <w:rsid w:val="311B0126"/>
    <w:rsid w:val="311E2ED7"/>
    <w:rsid w:val="313474AF"/>
    <w:rsid w:val="313E0EC8"/>
    <w:rsid w:val="313E79B5"/>
    <w:rsid w:val="31412D53"/>
    <w:rsid w:val="315619EE"/>
    <w:rsid w:val="315C449C"/>
    <w:rsid w:val="31B82709"/>
    <w:rsid w:val="31D05482"/>
    <w:rsid w:val="31D317B6"/>
    <w:rsid w:val="31F64758"/>
    <w:rsid w:val="32400B34"/>
    <w:rsid w:val="324E12A6"/>
    <w:rsid w:val="329E6876"/>
    <w:rsid w:val="333015F2"/>
    <w:rsid w:val="334B6320"/>
    <w:rsid w:val="337A7AFF"/>
    <w:rsid w:val="338120A4"/>
    <w:rsid w:val="33AD7265"/>
    <w:rsid w:val="33D934D4"/>
    <w:rsid w:val="33FE2F6A"/>
    <w:rsid w:val="340B50F1"/>
    <w:rsid w:val="340E07E5"/>
    <w:rsid w:val="34235BF7"/>
    <w:rsid w:val="34441786"/>
    <w:rsid w:val="3488345B"/>
    <w:rsid w:val="34AB35B3"/>
    <w:rsid w:val="34CE4094"/>
    <w:rsid w:val="350179BE"/>
    <w:rsid w:val="35643421"/>
    <w:rsid w:val="357403B3"/>
    <w:rsid w:val="358C5FA8"/>
    <w:rsid w:val="3596063D"/>
    <w:rsid w:val="35B13A15"/>
    <w:rsid w:val="35C15DF1"/>
    <w:rsid w:val="36074A7F"/>
    <w:rsid w:val="36254D15"/>
    <w:rsid w:val="363018D5"/>
    <w:rsid w:val="364E5036"/>
    <w:rsid w:val="365C7170"/>
    <w:rsid w:val="36923549"/>
    <w:rsid w:val="36B75FBF"/>
    <w:rsid w:val="36BD0C45"/>
    <w:rsid w:val="3701326B"/>
    <w:rsid w:val="371A0717"/>
    <w:rsid w:val="37361CB0"/>
    <w:rsid w:val="373D0ACC"/>
    <w:rsid w:val="3742356A"/>
    <w:rsid w:val="37533A8E"/>
    <w:rsid w:val="377514BF"/>
    <w:rsid w:val="37A94E35"/>
    <w:rsid w:val="37C91115"/>
    <w:rsid w:val="37DD6982"/>
    <w:rsid w:val="37E00298"/>
    <w:rsid w:val="37EE49FE"/>
    <w:rsid w:val="38130C12"/>
    <w:rsid w:val="38362E58"/>
    <w:rsid w:val="38880A03"/>
    <w:rsid w:val="38B14F10"/>
    <w:rsid w:val="38B302F9"/>
    <w:rsid w:val="38C60BE8"/>
    <w:rsid w:val="38D849AC"/>
    <w:rsid w:val="38DA1498"/>
    <w:rsid w:val="38F12CD3"/>
    <w:rsid w:val="38F94775"/>
    <w:rsid w:val="39135FB0"/>
    <w:rsid w:val="392971ED"/>
    <w:rsid w:val="39325651"/>
    <w:rsid w:val="39615513"/>
    <w:rsid w:val="39985DA7"/>
    <w:rsid w:val="39DC07CC"/>
    <w:rsid w:val="39FE42F1"/>
    <w:rsid w:val="3A872856"/>
    <w:rsid w:val="3A907704"/>
    <w:rsid w:val="3AA53E23"/>
    <w:rsid w:val="3AB57D98"/>
    <w:rsid w:val="3AC71E87"/>
    <w:rsid w:val="3AD3196B"/>
    <w:rsid w:val="3B3763D1"/>
    <w:rsid w:val="3B4173DE"/>
    <w:rsid w:val="3B5D4EDB"/>
    <w:rsid w:val="3BBD3BCC"/>
    <w:rsid w:val="3BD8694B"/>
    <w:rsid w:val="3BEE61FC"/>
    <w:rsid w:val="3C1104C4"/>
    <w:rsid w:val="3C110A75"/>
    <w:rsid w:val="3C2F6E1E"/>
    <w:rsid w:val="3C4F64BA"/>
    <w:rsid w:val="3CBF6A6F"/>
    <w:rsid w:val="3CC80425"/>
    <w:rsid w:val="3CCD64F7"/>
    <w:rsid w:val="3CDA245A"/>
    <w:rsid w:val="3CEB0B98"/>
    <w:rsid w:val="3D006466"/>
    <w:rsid w:val="3D1E06B7"/>
    <w:rsid w:val="3D27184A"/>
    <w:rsid w:val="3D4177E3"/>
    <w:rsid w:val="3D6E6EAF"/>
    <w:rsid w:val="3D9F45D3"/>
    <w:rsid w:val="3DAD1291"/>
    <w:rsid w:val="3DB33C53"/>
    <w:rsid w:val="3DC66C07"/>
    <w:rsid w:val="3DCC0745"/>
    <w:rsid w:val="3DF47930"/>
    <w:rsid w:val="3DFB059C"/>
    <w:rsid w:val="3E0B20C5"/>
    <w:rsid w:val="3E31612B"/>
    <w:rsid w:val="3E45722C"/>
    <w:rsid w:val="3E5C2CF8"/>
    <w:rsid w:val="3E5E31B9"/>
    <w:rsid w:val="3E6C6E41"/>
    <w:rsid w:val="3EA1351D"/>
    <w:rsid w:val="3EB164F4"/>
    <w:rsid w:val="3EBF3597"/>
    <w:rsid w:val="3ED45C36"/>
    <w:rsid w:val="3EDA0523"/>
    <w:rsid w:val="3F1B27D8"/>
    <w:rsid w:val="3F495BC6"/>
    <w:rsid w:val="3F7536B0"/>
    <w:rsid w:val="3F7A1B27"/>
    <w:rsid w:val="3F84512C"/>
    <w:rsid w:val="3F9B2B3F"/>
    <w:rsid w:val="3FD87226"/>
    <w:rsid w:val="3FEF3A03"/>
    <w:rsid w:val="400017B2"/>
    <w:rsid w:val="400E7980"/>
    <w:rsid w:val="40396BF8"/>
    <w:rsid w:val="406B7AB3"/>
    <w:rsid w:val="407A6407"/>
    <w:rsid w:val="40AE56F5"/>
    <w:rsid w:val="410F01B1"/>
    <w:rsid w:val="412A4C98"/>
    <w:rsid w:val="41354204"/>
    <w:rsid w:val="414F27F8"/>
    <w:rsid w:val="419511B3"/>
    <w:rsid w:val="41D266ED"/>
    <w:rsid w:val="41F15AEE"/>
    <w:rsid w:val="4200449D"/>
    <w:rsid w:val="420129A2"/>
    <w:rsid w:val="421743DE"/>
    <w:rsid w:val="422775C4"/>
    <w:rsid w:val="422C3859"/>
    <w:rsid w:val="423A3BCC"/>
    <w:rsid w:val="424E57D2"/>
    <w:rsid w:val="42B26C49"/>
    <w:rsid w:val="42B47CC1"/>
    <w:rsid w:val="42B61A9B"/>
    <w:rsid w:val="42BD4D0B"/>
    <w:rsid w:val="432021E2"/>
    <w:rsid w:val="4327700E"/>
    <w:rsid w:val="433A6FE6"/>
    <w:rsid w:val="43480868"/>
    <w:rsid w:val="4350713C"/>
    <w:rsid w:val="436512FC"/>
    <w:rsid w:val="436653E0"/>
    <w:rsid w:val="437C38C5"/>
    <w:rsid w:val="43AB6E0B"/>
    <w:rsid w:val="43C4431A"/>
    <w:rsid w:val="44085352"/>
    <w:rsid w:val="444035EC"/>
    <w:rsid w:val="4440539A"/>
    <w:rsid w:val="44644B99"/>
    <w:rsid w:val="44650F3F"/>
    <w:rsid w:val="44B951CC"/>
    <w:rsid w:val="44CD14E0"/>
    <w:rsid w:val="44E126D9"/>
    <w:rsid w:val="44F20B0B"/>
    <w:rsid w:val="450C7F41"/>
    <w:rsid w:val="45205A5B"/>
    <w:rsid w:val="452E5F4C"/>
    <w:rsid w:val="455E1F7C"/>
    <w:rsid w:val="45612018"/>
    <w:rsid w:val="45651D92"/>
    <w:rsid w:val="458946E9"/>
    <w:rsid w:val="45942461"/>
    <w:rsid w:val="45A47C0E"/>
    <w:rsid w:val="45D55AA5"/>
    <w:rsid w:val="45D75804"/>
    <w:rsid w:val="462E1272"/>
    <w:rsid w:val="46420780"/>
    <w:rsid w:val="46577FD6"/>
    <w:rsid w:val="466826A5"/>
    <w:rsid w:val="46A95479"/>
    <w:rsid w:val="46AB715D"/>
    <w:rsid w:val="46C83EA1"/>
    <w:rsid w:val="46D955A7"/>
    <w:rsid w:val="47133957"/>
    <w:rsid w:val="477C4CEC"/>
    <w:rsid w:val="47A07E0C"/>
    <w:rsid w:val="47F16B76"/>
    <w:rsid w:val="47FB61A8"/>
    <w:rsid w:val="48021E64"/>
    <w:rsid w:val="480E06B6"/>
    <w:rsid w:val="482A7C30"/>
    <w:rsid w:val="486B2120"/>
    <w:rsid w:val="4870272E"/>
    <w:rsid w:val="48E704DA"/>
    <w:rsid w:val="49247038"/>
    <w:rsid w:val="49560981"/>
    <w:rsid w:val="499E65D6"/>
    <w:rsid w:val="49D46FE9"/>
    <w:rsid w:val="49DC7715"/>
    <w:rsid w:val="4A023139"/>
    <w:rsid w:val="4A6C0C97"/>
    <w:rsid w:val="4A7B576F"/>
    <w:rsid w:val="4AA91E25"/>
    <w:rsid w:val="4AD0171C"/>
    <w:rsid w:val="4AF561A9"/>
    <w:rsid w:val="4B3317B5"/>
    <w:rsid w:val="4B3C54C5"/>
    <w:rsid w:val="4B633B2B"/>
    <w:rsid w:val="4B775E78"/>
    <w:rsid w:val="4BA1547A"/>
    <w:rsid w:val="4BAF52CA"/>
    <w:rsid w:val="4BBD290A"/>
    <w:rsid w:val="4BDF75C6"/>
    <w:rsid w:val="4BE83DFC"/>
    <w:rsid w:val="4BFE4A11"/>
    <w:rsid w:val="4C1323E6"/>
    <w:rsid w:val="4C1556B0"/>
    <w:rsid w:val="4C281B4E"/>
    <w:rsid w:val="4C4A0649"/>
    <w:rsid w:val="4C7E5ECA"/>
    <w:rsid w:val="4C872D6F"/>
    <w:rsid w:val="4C876AA5"/>
    <w:rsid w:val="4CE627DD"/>
    <w:rsid w:val="4D0E00FB"/>
    <w:rsid w:val="4D176606"/>
    <w:rsid w:val="4D75051F"/>
    <w:rsid w:val="4D9A1EB7"/>
    <w:rsid w:val="4DD36427"/>
    <w:rsid w:val="4DEC4FB0"/>
    <w:rsid w:val="4E075D8A"/>
    <w:rsid w:val="4E5B4DBE"/>
    <w:rsid w:val="4E8300B1"/>
    <w:rsid w:val="4EC00FAD"/>
    <w:rsid w:val="4F2761E6"/>
    <w:rsid w:val="4F3021BF"/>
    <w:rsid w:val="4F447F74"/>
    <w:rsid w:val="4F604B42"/>
    <w:rsid w:val="4F66047B"/>
    <w:rsid w:val="4F9843DC"/>
    <w:rsid w:val="4FBD2FA6"/>
    <w:rsid w:val="4FBE28EB"/>
    <w:rsid w:val="4FC62A8C"/>
    <w:rsid w:val="4FCA7AFF"/>
    <w:rsid w:val="4FE20F0D"/>
    <w:rsid w:val="4FE51552"/>
    <w:rsid w:val="4FFF26A6"/>
    <w:rsid w:val="503009FE"/>
    <w:rsid w:val="50504C4B"/>
    <w:rsid w:val="50787158"/>
    <w:rsid w:val="509C6E7C"/>
    <w:rsid w:val="50A02E8F"/>
    <w:rsid w:val="50E278DA"/>
    <w:rsid w:val="5162104E"/>
    <w:rsid w:val="516470EE"/>
    <w:rsid w:val="5176064D"/>
    <w:rsid w:val="517D2F5E"/>
    <w:rsid w:val="51833BF2"/>
    <w:rsid w:val="51A72ACD"/>
    <w:rsid w:val="52300B6B"/>
    <w:rsid w:val="524533B8"/>
    <w:rsid w:val="529644BE"/>
    <w:rsid w:val="52B549A9"/>
    <w:rsid w:val="53321E41"/>
    <w:rsid w:val="536144A1"/>
    <w:rsid w:val="5364082F"/>
    <w:rsid w:val="538A2B02"/>
    <w:rsid w:val="539C0B71"/>
    <w:rsid w:val="53A039CC"/>
    <w:rsid w:val="53A1505A"/>
    <w:rsid w:val="53C56A98"/>
    <w:rsid w:val="53DA24B6"/>
    <w:rsid w:val="53E923D0"/>
    <w:rsid w:val="53FC412A"/>
    <w:rsid w:val="53FE4451"/>
    <w:rsid w:val="54063E08"/>
    <w:rsid w:val="540A42F2"/>
    <w:rsid w:val="5413016A"/>
    <w:rsid w:val="543437E8"/>
    <w:rsid w:val="54345F35"/>
    <w:rsid w:val="54755DAB"/>
    <w:rsid w:val="54971006"/>
    <w:rsid w:val="54B036CE"/>
    <w:rsid w:val="54C53DC5"/>
    <w:rsid w:val="54F16D6B"/>
    <w:rsid w:val="54F73313"/>
    <w:rsid w:val="54F80955"/>
    <w:rsid w:val="54FF0584"/>
    <w:rsid w:val="554B5B49"/>
    <w:rsid w:val="554B6135"/>
    <w:rsid w:val="555170A7"/>
    <w:rsid w:val="55811091"/>
    <w:rsid w:val="5587536D"/>
    <w:rsid w:val="559B174B"/>
    <w:rsid w:val="55CB0ABA"/>
    <w:rsid w:val="55CE0CF4"/>
    <w:rsid w:val="56113BA2"/>
    <w:rsid w:val="56303E4A"/>
    <w:rsid w:val="563B08DF"/>
    <w:rsid w:val="565E2734"/>
    <w:rsid w:val="56B22A9C"/>
    <w:rsid w:val="56D43EA0"/>
    <w:rsid w:val="570400A1"/>
    <w:rsid w:val="570E62FD"/>
    <w:rsid w:val="571903F8"/>
    <w:rsid w:val="572D17AE"/>
    <w:rsid w:val="573759CB"/>
    <w:rsid w:val="575B40AC"/>
    <w:rsid w:val="57833AC4"/>
    <w:rsid w:val="57B72A76"/>
    <w:rsid w:val="57C3426C"/>
    <w:rsid w:val="57CE1F93"/>
    <w:rsid w:val="57E27A8F"/>
    <w:rsid w:val="581A15B1"/>
    <w:rsid w:val="584A201E"/>
    <w:rsid w:val="58813029"/>
    <w:rsid w:val="588743D1"/>
    <w:rsid w:val="5887701A"/>
    <w:rsid w:val="58936305"/>
    <w:rsid w:val="58A75590"/>
    <w:rsid w:val="593C3F2A"/>
    <w:rsid w:val="596322C1"/>
    <w:rsid w:val="59C0439F"/>
    <w:rsid w:val="59DE2A10"/>
    <w:rsid w:val="5A6A02B1"/>
    <w:rsid w:val="5AB568AE"/>
    <w:rsid w:val="5ABE2233"/>
    <w:rsid w:val="5ADD0FED"/>
    <w:rsid w:val="5B1A086A"/>
    <w:rsid w:val="5B307EFE"/>
    <w:rsid w:val="5B3370C6"/>
    <w:rsid w:val="5B474053"/>
    <w:rsid w:val="5B81670D"/>
    <w:rsid w:val="5BA54D56"/>
    <w:rsid w:val="5BDE2700"/>
    <w:rsid w:val="5BDF5D95"/>
    <w:rsid w:val="5BFE7528"/>
    <w:rsid w:val="5C1B305D"/>
    <w:rsid w:val="5C225659"/>
    <w:rsid w:val="5C382C83"/>
    <w:rsid w:val="5C4F26C4"/>
    <w:rsid w:val="5C780DF2"/>
    <w:rsid w:val="5C842260"/>
    <w:rsid w:val="5CAE15E3"/>
    <w:rsid w:val="5CCE405C"/>
    <w:rsid w:val="5D815CBF"/>
    <w:rsid w:val="5DB2447D"/>
    <w:rsid w:val="5E222AB4"/>
    <w:rsid w:val="5E2467F1"/>
    <w:rsid w:val="5E646D97"/>
    <w:rsid w:val="5E74538B"/>
    <w:rsid w:val="5E9857C8"/>
    <w:rsid w:val="5EED5933"/>
    <w:rsid w:val="5F076F9A"/>
    <w:rsid w:val="5F1A2B43"/>
    <w:rsid w:val="5F2848F4"/>
    <w:rsid w:val="5F321B9F"/>
    <w:rsid w:val="5FB837BB"/>
    <w:rsid w:val="5FC73223"/>
    <w:rsid w:val="5FFA0E12"/>
    <w:rsid w:val="603E57A9"/>
    <w:rsid w:val="60CC405A"/>
    <w:rsid w:val="60E7004C"/>
    <w:rsid w:val="61255339"/>
    <w:rsid w:val="614E75B6"/>
    <w:rsid w:val="619A1928"/>
    <w:rsid w:val="619B6D36"/>
    <w:rsid w:val="61BC69B6"/>
    <w:rsid w:val="61BD518F"/>
    <w:rsid w:val="61DF3154"/>
    <w:rsid w:val="61E215D8"/>
    <w:rsid w:val="62005E31"/>
    <w:rsid w:val="621B3775"/>
    <w:rsid w:val="622F531B"/>
    <w:rsid w:val="62364782"/>
    <w:rsid w:val="62682234"/>
    <w:rsid w:val="62C05BCC"/>
    <w:rsid w:val="62D93D57"/>
    <w:rsid w:val="62DC0278"/>
    <w:rsid w:val="631947F0"/>
    <w:rsid w:val="63237870"/>
    <w:rsid w:val="63472010"/>
    <w:rsid w:val="63495349"/>
    <w:rsid w:val="63860BC4"/>
    <w:rsid w:val="6394356A"/>
    <w:rsid w:val="63C61B2C"/>
    <w:rsid w:val="63CA2173"/>
    <w:rsid w:val="63D40BE9"/>
    <w:rsid w:val="63ED4360"/>
    <w:rsid w:val="64024326"/>
    <w:rsid w:val="64102431"/>
    <w:rsid w:val="644E1262"/>
    <w:rsid w:val="647F0488"/>
    <w:rsid w:val="64820701"/>
    <w:rsid w:val="64874740"/>
    <w:rsid w:val="64A05E3F"/>
    <w:rsid w:val="64A5243A"/>
    <w:rsid w:val="64D65124"/>
    <w:rsid w:val="64F531DE"/>
    <w:rsid w:val="65013FE9"/>
    <w:rsid w:val="65077E38"/>
    <w:rsid w:val="65373578"/>
    <w:rsid w:val="65505E53"/>
    <w:rsid w:val="65654809"/>
    <w:rsid w:val="65674A25"/>
    <w:rsid w:val="65BD540F"/>
    <w:rsid w:val="66071080"/>
    <w:rsid w:val="662E4726"/>
    <w:rsid w:val="663B7BEA"/>
    <w:rsid w:val="66440188"/>
    <w:rsid w:val="664A237C"/>
    <w:rsid w:val="667831F6"/>
    <w:rsid w:val="668F7D8F"/>
    <w:rsid w:val="66D165D2"/>
    <w:rsid w:val="67030D86"/>
    <w:rsid w:val="671F124A"/>
    <w:rsid w:val="677A24DD"/>
    <w:rsid w:val="677A33C6"/>
    <w:rsid w:val="67A816D9"/>
    <w:rsid w:val="67D770FD"/>
    <w:rsid w:val="67DA2D65"/>
    <w:rsid w:val="67F874B0"/>
    <w:rsid w:val="681F6961"/>
    <w:rsid w:val="684F3C7A"/>
    <w:rsid w:val="68566F7D"/>
    <w:rsid w:val="68610A2F"/>
    <w:rsid w:val="686F231F"/>
    <w:rsid w:val="68805514"/>
    <w:rsid w:val="68CA02D2"/>
    <w:rsid w:val="68CD48FD"/>
    <w:rsid w:val="69085BD7"/>
    <w:rsid w:val="6916425B"/>
    <w:rsid w:val="69316E2F"/>
    <w:rsid w:val="6933534A"/>
    <w:rsid w:val="694E2071"/>
    <w:rsid w:val="69535A05"/>
    <w:rsid w:val="696D3478"/>
    <w:rsid w:val="69766163"/>
    <w:rsid w:val="697A3B33"/>
    <w:rsid w:val="6985191D"/>
    <w:rsid w:val="69D44760"/>
    <w:rsid w:val="69DA7573"/>
    <w:rsid w:val="6A520EC7"/>
    <w:rsid w:val="6A7D4B08"/>
    <w:rsid w:val="6A8C5F85"/>
    <w:rsid w:val="6AA36BE0"/>
    <w:rsid w:val="6AB96FCE"/>
    <w:rsid w:val="6AE83F12"/>
    <w:rsid w:val="6AF26B3F"/>
    <w:rsid w:val="6AF87E20"/>
    <w:rsid w:val="6AFA5024"/>
    <w:rsid w:val="6B012A20"/>
    <w:rsid w:val="6B322639"/>
    <w:rsid w:val="6B644E80"/>
    <w:rsid w:val="6B8D111A"/>
    <w:rsid w:val="6C3F184A"/>
    <w:rsid w:val="6C636C38"/>
    <w:rsid w:val="6C783074"/>
    <w:rsid w:val="6CDF4F5A"/>
    <w:rsid w:val="6CE556DE"/>
    <w:rsid w:val="6D47020B"/>
    <w:rsid w:val="6D633D24"/>
    <w:rsid w:val="6DB34098"/>
    <w:rsid w:val="6DB47174"/>
    <w:rsid w:val="6DB545B6"/>
    <w:rsid w:val="6DC26C9C"/>
    <w:rsid w:val="6DE02FB4"/>
    <w:rsid w:val="6DF1359C"/>
    <w:rsid w:val="6E09799D"/>
    <w:rsid w:val="6E3E55EE"/>
    <w:rsid w:val="6E514CED"/>
    <w:rsid w:val="6EB563D5"/>
    <w:rsid w:val="6ED92677"/>
    <w:rsid w:val="6F225983"/>
    <w:rsid w:val="6F242A9F"/>
    <w:rsid w:val="6F8F7697"/>
    <w:rsid w:val="6F9920B9"/>
    <w:rsid w:val="6FFC5590"/>
    <w:rsid w:val="701514FB"/>
    <w:rsid w:val="70471F67"/>
    <w:rsid w:val="706935C4"/>
    <w:rsid w:val="706D1DD0"/>
    <w:rsid w:val="70856B87"/>
    <w:rsid w:val="70D527EE"/>
    <w:rsid w:val="70E76B7F"/>
    <w:rsid w:val="70EB650A"/>
    <w:rsid w:val="714B0B8B"/>
    <w:rsid w:val="715B5300"/>
    <w:rsid w:val="71CA316E"/>
    <w:rsid w:val="71D27F8A"/>
    <w:rsid w:val="725246DD"/>
    <w:rsid w:val="72553024"/>
    <w:rsid w:val="72633501"/>
    <w:rsid w:val="730F17C4"/>
    <w:rsid w:val="73122968"/>
    <w:rsid w:val="731F5D5E"/>
    <w:rsid w:val="73267C66"/>
    <w:rsid w:val="734F7D9E"/>
    <w:rsid w:val="738107EB"/>
    <w:rsid w:val="73836ECE"/>
    <w:rsid w:val="73AC115A"/>
    <w:rsid w:val="73BC1BEF"/>
    <w:rsid w:val="73C51AD5"/>
    <w:rsid w:val="73E51651"/>
    <w:rsid w:val="73F076D0"/>
    <w:rsid w:val="741E793C"/>
    <w:rsid w:val="74370E0B"/>
    <w:rsid w:val="745E3944"/>
    <w:rsid w:val="74750AE8"/>
    <w:rsid w:val="74D215F5"/>
    <w:rsid w:val="74E47899"/>
    <w:rsid w:val="75220020"/>
    <w:rsid w:val="754604BF"/>
    <w:rsid w:val="75846D9B"/>
    <w:rsid w:val="75857829"/>
    <w:rsid w:val="75BF7F65"/>
    <w:rsid w:val="75CC5DA6"/>
    <w:rsid w:val="75ED1BF2"/>
    <w:rsid w:val="76297C22"/>
    <w:rsid w:val="7635099D"/>
    <w:rsid w:val="76593F16"/>
    <w:rsid w:val="76872831"/>
    <w:rsid w:val="76AB662E"/>
    <w:rsid w:val="76D35A76"/>
    <w:rsid w:val="76D516D1"/>
    <w:rsid w:val="76DF5335"/>
    <w:rsid w:val="76E05860"/>
    <w:rsid w:val="76E81B5B"/>
    <w:rsid w:val="76F2314F"/>
    <w:rsid w:val="77007120"/>
    <w:rsid w:val="77660E3F"/>
    <w:rsid w:val="77762421"/>
    <w:rsid w:val="77B10A16"/>
    <w:rsid w:val="77B56B1F"/>
    <w:rsid w:val="77E943EA"/>
    <w:rsid w:val="77F71266"/>
    <w:rsid w:val="7808787F"/>
    <w:rsid w:val="780F09F4"/>
    <w:rsid w:val="78174088"/>
    <w:rsid w:val="782F739E"/>
    <w:rsid w:val="783469E8"/>
    <w:rsid w:val="785D59D3"/>
    <w:rsid w:val="78A90480"/>
    <w:rsid w:val="791005C1"/>
    <w:rsid w:val="792B7D94"/>
    <w:rsid w:val="7940343A"/>
    <w:rsid w:val="7A107AA3"/>
    <w:rsid w:val="7A173ECC"/>
    <w:rsid w:val="7A2E6C7E"/>
    <w:rsid w:val="7A364017"/>
    <w:rsid w:val="7A8265E1"/>
    <w:rsid w:val="7A8A0B42"/>
    <w:rsid w:val="7AB22D3C"/>
    <w:rsid w:val="7AD1051F"/>
    <w:rsid w:val="7AF53A62"/>
    <w:rsid w:val="7AFE6E3A"/>
    <w:rsid w:val="7B07727D"/>
    <w:rsid w:val="7B087BB8"/>
    <w:rsid w:val="7B31720F"/>
    <w:rsid w:val="7B36596C"/>
    <w:rsid w:val="7B686D42"/>
    <w:rsid w:val="7B841746"/>
    <w:rsid w:val="7B8E3E0D"/>
    <w:rsid w:val="7B9C7486"/>
    <w:rsid w:val="7BA936B9"/>
    <w:rsid w:val="7BAB0D70"/>
    <w:rsid w:val="7C110999"/>
    <w:rsid w:val="7C3E1F93"/>
    <w:rsid w:val="7C6A0C2B"/>
    <w:rsid w:val="7C6C5AC7"/>
    <w:rsid w:val="7C8512A1"/>
    <w:rsid w:val="7C8C6BAA"/>
    <w:rsid w:val="7C926E97"/>
    <w:rsid w:val="7CC6544B"/>
    <w:rsid w:val="7CD36C81"/>
    <w:rsid w:val="7D0239FF"/>
    <w:rsid w:val="7D5E40CD"/>
    <w:rsid w:val="7D640269"/>
    <w:rsid w:val="7D8A1220"/>
    <w:rsid w:val="7DCD56F2"/>
    <w:rsid w:val="7DED1DD6"/>
    <w:rsid w:val="7DF662C3"/>
    <w:rsid w:val="7E340338"/>
    <w:rsid w:val="7E5F606D"/>
    <w:rsid w:val="7E7D3D80"/>
    <w:rsid w:val="7EB76B8F"/>
    <w:rsid w:val="7F001CE7"/>
    <w:rsid w:val="7F3B063B"/>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37"/>
    <w:qFormat/>
    <w:locked/>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locked/>
    <w:uiPriority w:val="0"/>
    <w:pPr>
      <w:keepNext/>
      <w:keepLines/>
      <w:spacing w:before="260" w:after="260" w:line="416" w:lineRule="auto"/>
      <w:outlineLvl w:val="2"/>
    </w:pPr>
    <w:rPr>
      <w:b/>
      <w:bCs/>
      <w:sz w:val="32"/>
      <w:szCs w:val="32"/>
    </w:rPr>
  </w:style>
  <w:style w:type="paragraph" w:styleId="5">
    <w:name w:val="heading 5"/>
    <w:basedOn w:val="1"/>
    <w:next w:val="1"/>
    <w:qFormat/>
    <w:locked/>
    <w:uiPriority w:val="0"/>
    <w:pPr>
      <w:keepNext/>
      <w:spacing w:line="360" w:lineRule="auto"/>
      <w:ind w:firstLine="0" w:firstLineChars="0"/>
      <w:jc w:val="center"/>
      <w:outlineLvl w:val="4"/>
    </w:pPr>
    <w:rPr>
      <w:b/>
      <w:kern w:val="0"/>
      <w:sz w:val="21"/>
      <w:szCs w:val="21"/>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link w:val="38"/>
    <w:qFormat/>
    <w:locked/>
    <w:uiPriority w:val="0"/>
    <w:pPr>
      <w:ind w:firstLine="420" w:firstLineChars="200"/>
    </w:pPr>
  </w:style>
  <w:style w:type="paragraph" w:styleId="8">
    <w:name w:val="caption"/>
    <w:basedOn w:val="1"/>
    <w:next w:val="1"/>
    <w:link w:val="39"/>
    <w:qFormat/>
    <w:locked/>
    <w:uiPriority w:val="0"/>
    <w:pPr>
      <w:adjustRightInd w:val="0"/>
      <w:snapToGrid w:val="0"/>
      <w:ind w:firstLine="200" w:firstLineChars="200"/>
      <w:jc w:val="center"/>
      <w:textAlignment w:val="baseline"/>
    </w:pPr>
    <w:rPr>
      <w:b/>
      <w:bCs/>
      <w:sz w:val="18"/>
      <w:szCs w:val="18"/>
    </w:rPr>
  </w:style>
  <w:style w:type="paragraph" w:styleId="9">
    <w:name w:val="Document Map"/>
    <w:basedOn w:val="1"/>
    <w:link w:val="40"/>
    <w:unhideWhenUsed/>
    <w:qFormat/>
    <w:locked/>
    <w:uiPriority w:val="99"/>
    <w:pPr>
      <w:widowControl/>
      <w:adjustRightInd w:val="0"/>
      <w:snapToGrid w:val="0"/>
      <w:spacing w:line="360" w:lineRule="auto"/>
      <w:ind w:firstLine="200" w:firstLineChars="200"/>
    </w:pPr>
    <w:rPr>
      <w:rFonts w:ascii="宋体" w:hAnsi="Calibri"/>
      <w:sz w:val="18"/>
      <w:szCs w:val="18"/>
      <w:lang w:bidi="en-US"/>
    </w:rPr>
  </w:style>
  <w:style w:type="paragraph" w:styleId="10">
    <w:name w:val="annotation text"/>
    <w:basedOn w:val="1"/>
    <w:link w:val="41"/>
    <w:qFormat/>
    <w:uiPriority w:val="99"/>
    <w:pPr>
      <w:jc w:val="left"/>
    </w:pPr>
    <w:rPr>
      <w:kern w:val="0"/>
      <w:sz w:val="24"/>
      <w:szCs w:val="20"/>
    </w:rPr>
  </w:style>
  <w:style w:type="paragraph" w:styleId="11">
    <w:name w:val="Body Text 3"/>
    <w:basedOn w:val="1"/>
    <w:link w:val="42"/>
    <w:qFormat/>
    <w:locked/>
    <w:uiPriority w:val="0"/>
    <w:pPr>
      <w:spacing w:after="120"/>
    </w:pPr>
    <w:rPr>
      <w:sz w:val="16"/>
      <w:szCs w:val="16"/>
    </w:rPr>
  </w:style>
  <w:style w:type="paragraph" w:styleId="12">
    <w:name w:val="Body Text"/>
    <w:basedOn w:val="1"/>
    <w:next w:val="13"/>
    <w:link w:val="43"/>
    <w:qFormat/>
    <w:uiPriority w:val="0"/>
    <w:pPr>
      <w:widowControl/>
      <w:snapToGrid w:val="0"/>
      <w:spacing w:before="60" w:after="160" w:line="259" w:lineRule="auto"/>
      <w:ind w:right="113"/>
    </w:pPr>
    <w:rPr>
      <w:kern w:val="0"/>
      <w:sz w:val="18"/>
      <w:szCs w:val="20"/>
    </w:rPr>
  </w:style>
  <w:style w:type="paragraph" w:styleId="13">
    <w:name w:val="Body Text Indent"/>
    <w:basedOn w:val="1"/>
    <w:link w:val="44"/>
    <w:qFormat/>
    <w:uiPriority w:val="0"/>
    <w:pPr>
      <w:spacing w:after="120"/>
      <w:ind w:left="420" w:leftChars="200"/>
    </w:pPr>
    <w:rPr>
      <w:kern w:val="0"/>
      <w:sz w:val="24"/>
      <w:szCs w:val="20"/>
    </w:rPr>
  </w:style>
  <w:style w:type="paragraph" w:styleId="14">
    <w:name w:val="Plain Text"/>
    <w:basedOn w:val="1"/>
    <w:link w:val="45"/>
    <w:qFormat/>
    <w:locked/>
    <w:uiPriority w:val="0"/>
    <w:rPr>
      <w:rFonts w:ascii="宋体" w:hAnsi="Courier New"/>
      <w:szCs w:val="20"/>
    </w:rPr>
  </w:style>
  <w:style w:type="paragraph" w:styleId="15">
    <w:name w:val="Date"/>
    <w:basedOn w:val="1"/>
    <w:next w:val="1"/>
    <w:link w:val="46"/>
    <w:qFormat/>
    <w:uiPriority w:val="0"/>
    <w:pPr>
      <w:ind w:left="100" w:leftChars="2500"/>
    </w:pPr>
    <w:rPr>
      <w:kern w:val="0"/>
      <w:sz w:val="24"/>
      <w:szCs w:val="20"/>
    </w:rPr>
  </w:style>
  <w:style w:type="paragraph" w:styleId="16">
    <w:name w:val="Body Text Indent 2"/>
    <w:basedOn w:val="1"/>
    <w:link w:val="47"/>
    <w:qFormat/>
    <w:locked/>
    <w:uiPriority w:val="0"/>
    <w:pPr>
      <w:spacing w:after="120" w:line="480" w:lineRule="auto"/>
      <w:ind w:left="420" w:leftChars="200"/>
    </w:pPr>
  </w:style>
  <w:style w:type="paragraph" w:styleId="17">
    <w:name w:val="Balloon Text"/>
    <w:basedOn w:val="1"/>
    <w:link w:val="48"/>
    <w:semiHidden/>
    <w:qFormat/>
    <w:uiPriority w:val="0"/>
    <w:rPr>
      <w:kern w:val="0"/>
      <w:sz w:val="18"/>
      <w:szCs w:val="20"/>
    </w:rPr>
  </w:style>
  <w:style w:type="paragraph" w:styleId="18">
    <w:name w:val="footer"/>
    <w:basedOn w:val="1"/>
    <w:link w:val="49"/>
    <w:qFormat/>
    <w:uiPriority w:val="99"/>
    <w:pPr>
      <w:tabs>
        <w:tab w:val="center" w:pos="4153"/>
        <w:tab w:val="right" w:pos="8306"/>
      </w:tabs>
      <w:snapToGrid w:val="0"/>
      <w:jc w:val="left"/>
    </w:pPr>
    <w:rPr>
      <w:kern w:val="0"/>
      <w:sz w:val="18"/>
      <w:szCs w:val="20"/>
    </w:rPr>
  </w:style>
  <w:style w:type="paragraph" w:styleId="19">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39"/>
    <w:pPr>
      <w:adjustRightInd w:val="0"/>
      <w:spacing w:line="360" w:lineRule="auto"/>
    </w:pPr>
    <w:rPr>
      <w:rFonts w:ascii="Dutch801 Rm BT" w:hAnsi="Dutch801 Rm BT" w:cs="Dutch801 Rm BT"/>
      <w:b/>
      <w:bCs/>
      <w:caps/>
      <w:sz w:val="24"/>
    </w:rPr>
  </w:style>
  <w:style w:type="paragraph" w:styleId="21">
    <w:name w:val="index heading"/>
    <w:basedOn w:val="1"/>
    <w:next w:val="22"/>
    <w:semiHidden/>
    <w:qFormat/>
    <w:locked/>
    <w:uiPriority w:val="0"/>
  </w:style>
  <w:style w:type="paragraph" w:styleId="22">
    <w:name w:val="index 1"/>
    <w:basedOn w:val="1"/>
    <w:next w:val="1"/>
    <w:qFormat/>
    <w:locked/>
    <w:uiPriority w:val="0"/>
  </w:style>
  <w:style w:type="paragraph" w:styleId="23">
    <w:name w:val="table of figures"/>
    <w:basedOn w:val="1"/>
    <w:next w:val="1"/>
    <w:qFormat/>
    <w:locked/>
    <w:uiPriority w:val="0"/>
    <w:pPr>
      <w:ind w:left="200" w:leftChars="200" w:hanging="200" w:hangingChars="200"/>
    </w:pPr>
  </w:style>
  <w:style w:type="paragraph" w:styleId="24">
    <w:name w:val="toc 2"/>
    <w:basedOn w:val="1"/>
    <w:next w:val="1"/>
    <w:qFormat/>
    <w:locked/>
    <w:uiPriority w:val="39"/>
    <w:pPr>
      <w:ind w:left="210"/>
      <w:jc w:val="left"/>
    </w:pPr>
    <w:rPr>
      <w:rFonts w:ascii="等线" w:eastAsia="等线"/>
      <w:smallCaps/>
      <w:sz w:val="20"/>
      <w:szCs w:val="20"/>
    </w:rPr>
  </w:style>
  <w:style w:type="paragraph" w:styleId="25">
    <w:name w:val="Body Text 2"/>
    <w:basedOn w:val="1"/>
    <w:link w:val="51"/>
    <w:qFormat/>
    <w:locked/>
    <w:uiPriority w:val="0"/>
    <w:pPr>
      <w:spacing w:after="120" w:line="480" w:lineRule="auto"/>
    </w:pPr>
  </w:style>
  <w:style w:type="paragraph" w:styleId="26">
    <w:name w:val="Normal (Web)"/>
    <w:basedOn w:val="1"/>
    <w:link w:val="52"/>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10"/>
    <w:next w:val="10"/>
    <w:link w:val="53"/>
    <w:semiHidden/>
    <w:qFormat/>
    <w:uiPriority w:val="0"/>
    <w:rPr>
      <w:b/>
      <w:kern w:val="2"/>
    </w:rPr>
  </w:style>
  <w:style w:type="paragraph" w:styleId="28">
    <w:name w:val="Body Text First Indent"/>
    <w:basedOn w:val="1"/>
    <w:next w:val="1"/>
    <w:qFormat/>
    <w:locked/>
    <w:uiPriority w:val="0"/>
    <w:pPr>
      <w:ind w:firstLine="420" w:firstLineChars="100"/>
    </w:pPr>
  </w:style>
  <w:style w:type="paragraph" w:styleId="29">
    <w:name w:val="Body Text First Indent 2"/>
    <w:basedOn w:val="13"/>
    <w:qFormat/>
    <w:locked/>
    <w:uiPriority w:val="0"/>
    <w:pPr>
      <w:widowControl/>
      <w:ind w:firstLine="420" w:firstLineChars="200"/>
      <w:jc w:val="left"/>
    </w:pPr>
    <w:rPr>
      <w:rFonts w:ascii="宋体" w:hAnsi="宋体" w:cs="宋体"/>
      <w:sz w:val="21"/>
      <w:szCs w:val="24"/>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locked/>
    <w:uiPriority w:val="22"/>
    <w:rPr>
      <w:b/>
      <w:bCs/>
    </w:rPr>
  </w:style>
  <w:style w:type="character" w:styleId="34">
    <w:name w:val="page number"/>
    <w:basedOn w:val="32"/>
    <w:qFormat/>
    <w:locked/>
    <w:uiPriority w:val="0"/>
  </w:style>
  <w:style w:type="character" w:styleId="35">
    <w:name w:val="Hyperlink"/>
    <w:qFormat/>
    <w:locked/>
    <w:uiPriority w:val="0"/>
    <w:rPr>
      <w:color w:val="0000FF"/>
      <w:u w:val="single"/>
    </w:rPr>
  </w:style>
  <w:style w:type="character" w:styleId="36">
    <w:name w:val="annotation reference"/>
    <w:semiHidden/>
    <w:qFormat/>
    <w:uiPriority w:val="0"/>
    <w:rPr>
      <w:sz w:val="21"/>
    </w:rPr>
  </w:style>
  <w:style w:type="character" w:customStyle="1" w:styleId="37">
    <w:name w:val="标题 2 Char"/>
    <w:basedOn w:val="32"/>
    <w:link w:val="2"/>
    <w:qFormat/>
    <w:uiPriority w:val="9"/>
    <w:rPr>
      <w:rFonts w:ascii="Cambria" w:hAnsi="Cambria"/>
      <w:b/>
      <w:bCs/>
      <w:kern w:val="2"/>
      <w:sz w:val="32"/>
      <w:szCs w:val="32"/>
    </w:rPr>
  </w:style>
  <w:style w:type="character" w:customStyle="1" w:styleId="38">
    <w:name w:val="正文缩进 Char"/>
    <w:link w:val="7"/>
    <w:qFormat/>
    <w:uiPriority w:val="0"/>
    <w:rPr>
      <w:kern w:val="2"/>
      <w:sz w:val="21"/>
      <w:szCs w:val="24"/>
    </w:rPr>
  </w:style>
  <w:style w:type="character" w:customStyle="1" w:styleId="39">
    <w:name w:val="题注 Char"/>
    <w:link w:val="8"/>
    <w:qFormat/>
    <w:uiPriority w:val="0"/>
    <w:rPr>
      <w:b/>
      <w:bCs/>
      <w:kern w:val="2"/>
      <w:sz w:val="18"/>
      <w:szCs w:val="18"/>
    </w:rPr>
  </w:style>
  <w:style w:type="character" w:customStyle="1" w:styleId="40">
    <w:name w:val="文档结构图 Char"/>
    <w:basedOn w:val="32"/>
    <w:link w:val="9"/>
    <w:qFormat/>
    <w:uiPriority w:val="99"/>
    <w:rPr>
      <w:rFonts w:ascii="宋体" w:hAnsi="Calibri" w:cs="Times New Roman"/>
      <w:kern w:val="2"/>
      <w:sz w:val="18"/>
      <w:szCs w:val="18"/>
      <w:lang w:bidi="en-US"/>
    </w:rPr>
  </w:style>
  <w:style w:type="character" w:customStyle="1" w:styleId="41">
    <w:name w:val="批注文字 Char"/>
    <w:link w:val="10"/>
    <w:qFormat/>
    <w:locked/>
    <w:uiPriority w:val="99"/>
    <w:rPr>
      <w:rFonts w:ascii="Times New Roman" w:hAnsi="Times New Roman" w:eastAsia="宋体"/>
      <w:sz w:val="24"/>
    </w:rPr>
  </w:style>
  <w:style w:type="character" w:customStyle="1" w:styleId="42">
    <w:name w:val="正文文本 3 Char"/>
    <w:link w:val="11"/>
    <w:qFormat/>
    <w:uiPriority w:val="0"/>
    <w:rPr>
      <w:kern w:val="2"/>
      <w:sz w:val="16"/>
      <w:szCs w:val="16"/>
    </w:rPr>
  </w:style>
  <w:style w:type="character" w:customStyle="1" w:styleId="43">
    <w:name w:val="正文文本 Char"/>
    <w:link w:val="12"/>
    <w:qFormat/>
    <w:locked/>
    <w:uiPriority w:val="0"/>
    <w:rPr>
      <w:sz w:val="18"/>
    </w:rPr>
  </w:style>
  <w:style w:type="character" w:customStyle="1" w:styleId="44">
    <w:name w:val="正文文本缩进 Char"/>
    <w:link w:val="13"/>
    <w:semiHidden/>
    <w:qFormat/>
    <w:locked/>
    <w:uiPriority w:val="0"/>
    <w:rPr>
      <w:rFonts w:ascii="Times New Roman" w:hAnsi="Times New Roman" w:eastAsia="宋体"/>
      <w:sz w:val="24"/>
    </w:rPr>
  </w:style>
  <w:style w:type="character" w:customStyle="1" w:styleId="45">
    <w:name w:val="纯文本 Char"/>
    <w:link w:val="14"/>
    <w:qFormat/>
    <w:uiPriority w:val="0"/>
    <w:rPr>
      <w:rFonts w:ascii="宋体" w:hAnsi="Courier New" w:cs="Dutch801 Rm BT"/>
      <w:kern w:val="2"/>
      <w:sz w:val="21"/>
    </w:rPr>
  </w:style>
  <w:style w:type="character" w:customStyle="1" w:styleId="46">
    <w:name w:val="日期 Char"/>
    <w:link w:val="15"/>
    <w:qFormat/>
    <w:locked/>
    <w:uiPriority w:val="0"/>
    <w:rPr>
      <w:rFonts w:ascii="Times New Roman" w:hAnsi="Times New Roman" w:eastAsia="宋体"/>
      <w:sz w:val="24"/>
    </w:rPr>
  </w:style>
  <w:style w:type="character" w:customStyle="1" w:styleId="47">
    <w:name w:val="正文文本缩进 2 Char"/>
    <w:link w:val="16"/>
    <w:qFormat/>
    <w:uiPriority w:val="0"/>
    <w:rPr>
      <w:kern w:val="2"/>
      <w:sz w:val="21"/>
      <w:szCs w:val="24"/>
    </w:rPr>
  </w:style>
  <w:style w:type="character" w:customStyle="1" w:styleId="48">
    <w:name w:val="批注框文本 Char"/>
    <w:link w:val="17"/>
    <w:semiHidden/>
    <w:qFormat/>
    <w:locked/>
    <w:uiPriority w:val="0"/>
    <w:rPr>
      <w:rFonts w:ascii="Times New Roman" w:hAnsi="Times New Roman" w:eastAsia="宋体"/>
      <w:sz w:val="18"/>
    </w:rPr>
  </w:style>
  <w:style w:type="character" w:customStyle="1" w:styleId="49">
    <w:name w:val="页脚 Char"/>
    <w:link w:val="18"/>
    <w:qFormat/>
    <w:locked/>
    <w:uiPriority w:val="99"/>
    <w:rPr>
      <w:sz w:val="18"/>
    </w:rPr>
  </w:style>
  <w:style w:type="character" w:customStyle="1" w:styleId="50">
    <w:name w:val="页眉 Char"/>
    <w:link w:val="19"/>
    <w:qFormat/>
    <w:locked/>
    <w:uiPriority w:val="0"/>
    <w:rPr>
      <w:sz w:val="18"/>
    </w:rPr>
  </w:style>
  <w:style w:type="character" w:customStyle="1" w:styleId="51">
    <w:name w:val="正文文本 2 Char"/>
    <w:basedOn w:val="32"/>
    <w:link w:val="25"/>
    <w:qFormat/>
    <w:uiPriority w:val="0"/>
    <w:rPr>
      <w:kern w:val="2"/>
      <w:sz w:val="21"/>
      <w:szCs w:val="24"/>
    </w:rPr>
  </w:style>
  <w:style w:type="character" w:customStyle="1" w:styleId="52">
    <w:name w:val="普通(网站) Char"/>
    <w:link w:val="26"/>
    <w:qFormat/>
    <w:locked/>
    <w:uiPriority w:val="0"/>
    <w:rPr>
      <w:rFonts w:ascii="宋体" w:hAnsi="宋体" w:eastAsia="宋体"/>
      <w:sz w:val="24"/>
    </w:rPr>
  </w:style>
  <w:style w:type="character" w:customStyle="1" w:styleId="53">
    <w:name w:val="批注主题 Char"/>
    <w:link w:val="27"/>
    <w:semiHidden/>
    <w:qFormat/>
    <w:locked/>
    <w:uiPriority w:val="0"/>
    <w:rPr>
      <w:rFonts w:ascii="Times New Roman" w:hAnsi="Times New Roman" w:eastAsia="宋体"/>
      <w:b/>
      <w:kern w:val="2"/>
      <w:sz w:val="24"/>
    </w:rPr>
  </w:style>
  <w:style w:type="paragraph" w:customStyle="1" w:styleId="54">
    <w:name w:val="Default"/>
    <w:basedOn w:val="55"/>
    <w:next w:val="6"/>
    <w:qFormat/>
    <w:uiPriority w:val="0"/>
    <w:pPr>
      <w:autoSpaceDE w:val="0"/>
      <w:autoSpaceDN w:val="0"/>
      <w:adjustRightInd w:val="0"/>
    </w:pPr>
    <w:rPr>
      <w:rFonts w:ascii="幼圆" w:hAnsi="Times New Roman" w:eastAsia="幼圆"/>
      <w:color w:val="000000"/>
      <w:sz w:val="24"/>
    </w:rPr>
  </w:style>
  <w:style w:type="paragraph" w:customStyle="1" w:styleId="55">
    <w:name w:val="纯文本1"/>
    <w:basedOn w:val="1"/>
    <w:qFormat/>
    <w:uiPriority w:val="0"/>
    <w:pPr>
      <w:textAlignment w:val="baseline"/>
    </w:pPr>
    <w:rPr>
      <w:rFonts w:ascii="宋体" w:hAnsi="Courier New"/>
      <w:sz w:val="28"/>
    </w:rPr>
  </w:style>
  <w:style w:type="paragraph" w:customStyle="1" w:styleId="56">
    <w:name w:val="样式 正文缩进正文缩进2正文缩进 Char Char正文缩进 Char Char Char Char正文缩进 Char ..."/>
    <w:basedOn w:val="7"/>
    <w:qFormat/>
    <w:uiPriority w:val="0"/>
    <w:pPr>
      <w:spacing w:line="360" w:lineRule="auto"/>
      <w:ind w:firstLine="200" w:firstLineChars="0"/>
    </w:pPr>
    <w:rPr>
      <w:rFonts w:ascii="宋体" w:hAnsi="宋体" w:cs="宋体"/>
      <w:sz w:val="24"/>
      <w:szCs w:val="20"/>
    </w:rPr>
  </w:style>
  <w:style w:type="character" w:customStyle="1" w:styleId="57">
    <w:name w:val="表格 Char Char"/>
    <w:qFormat/>
    <w:uiPriority w:val="0"/>
    <w:rPr>
      <w:kern w:val="2"/>
      <w:sz w:val="24"/>
      <w:szCs w:val="24"/>
    </w:rPr>
  </w:style>
  <w:style w:type="character" w:customStyle="1" w:styleId="58">
    <w:name w:val="表格 Char"/>
    <w:link w:val="59"/>
    <w:qFormat/>
    <w:locked/>
    <w:uiPriority w:val="0"/>
    <w:rPr>
      <w:rFonts w:ascii="宋体"/>
      <w:sz w:val="21"/>
    </w:rPr>
  </w:style>
  <w:style w:type="paragraph" w:customStyle="1" w:styleId="59">
    <w:name w:val="表格"/>
    <w:basedOn w:val="23"/>
    <w:next w:val="1"/>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表格内容 Char"/>
    <w:link w:val="61"/>
    <w:qFormat/>
    <w:locked/>
    <w:uiPriority w:val="0"/>
    <w:rPr>
      <w:rFonts w:ascii="宋体"/>
      <w:color w:val="000000"/>
      <w:kern w:val="2"/>
      <w:sz w:val="21"/>
      <w:szCs w:val="18"/>
    </w:rPr>
  </w:style>
  <w:style w:type="paragraph" w:customStyle="1" w:styleId="61">
    <w:name w:val="表格内容"/>
    <w:basedOn w:val="1"/>
    <w:link w:val="60"/>
    <w:qFormat/>
    <w:uiPriority w:val="0"/>
    <w:pPr>
      <w:adjustRightInd w:val="0"/>
      <w:snapToGrid w:val="0"/>
      <w:jc w:val="center"/>
    </w:pPr>
    <w:rPr>
      <w:rFonts w:ascii="宋体"/>
      <w:color w:val="000000"/>
      <w:szCs w:val="18"/>
    </w:rPr>
  </w:style>
  <w:style w:type="character" w:customStyle="1" w:styleId="62">
    <w:name w:val="正文四号 Char"/>
    <w:link w:val="63"/>
    <w:qFormat/>
    <w:uiPriority w:val="0"/>
    <w:rPr>
      <w:rFonts w:cs="宋体"/>
      <w:kern w:val="2"/>
      <w:sz w:val="24"/>
      <w:szCs w:val="24"/>
    </w:rPr>
  </w:style>
  <w:style w:type="paragraph" w:customStyle="1" w:styleId="63">
    <w:name w:val="正文四号"/>
    <w:basedOn w:val="1"/>
    <w:link w:val="62"/>
    <w:qFormat/>
    <w:uiPriority w:val="0"/>
    <w:pPr>
      <w:spacing w:line="360" w:lineRule="auto"/>
      <w:ind w:firstLine="200" w:firstLineChars="200"/>
    </w:pPr>
    <w:rPr>
      <w:sz w:val="24"/>
    </w:rPr>
  </w:style>
  <w:style w:type="character" w:customStyle="1" w:styleId="64">
    <w:name w:val="表头 Char Char"/>
    <w:link w:val="65"/>
    <w:qFormat/>
    <w:uiPriority w:val="0"/>
    <w:rPr>
      <w:rFonts w:ascii="宋体" w:hAnsi="宋体"/>
      <w:kern w:val="2"/>
      <w:sz w:val="21"/>
    </w:rPr>
  </w:style>
  <w:style w:type="paragraph" w:customStyle="1" w:styleId="65">
    <w:name w:val="表头"/>
    <w:basedOn w:val="12"/>
    <w:next w:val="1"/>
    <w:link w:val="64"/>
    <w:qFormat/>
    <w:uiPriority w:val="0"/>
    <w:pPr>
      <w:spacing w:before="120" w:afterLines="25"/>
      <w:jc w:val="center"/>
    </w:pPr>
    <w:rPr>
      <w:rFonts w:ascii="宋体" w:hAnsi="宋体"/>
      <w:szCs w:val="20"/>
    </w:rPr>
  </w:style>
  <w:style w:type="character" w:customStyle="1" w:styleId="66">
    <w:name w:val="纯文本 Char1"/>
    <w:basedOn w:val="32"/>
    <w:qFormat/>
    <w:uiPriority w:val="0"/>
    <w:rPr>
      <w:rFonts w:ascii="宋体" w:hAnsi="Courier New" w:cs="Courier New"/>
      <w:kern w:val="2"/>
      <w:sz w:val="21"/>
      <w:szCs w:val="21"/>
    </w:rPr>
  </w:style>
  <w:style w:type="character" w:customStyle="1" w:styleId="67">
    <w:name w:val="表中文字 Char1"/>
    <w:link w:val="68"/>
    <w:qFormat/>
    <w:uiPriority w:val="0"/>
    <w:rPr>
      <w:kern w:val="2"/>
      <w:sz w:val="21"/>
      <w:szCs w:val="24"/>
    </w:rPr>
  </w:style>
  <w:style w:type="paragraph" w:customStyle="1" w:styleId="68">
    <w:name w:val="表中文字"/>
    <w:basedOn w:val="1"/>
    <w:link w:val="67"/>
    <w:qFormat/>
    <w:uiPriority w:val="0"/>
    <w:pPr>
      <w:adjustRightInd w:val="0"/>
      <w:snapToGrid w:val="0"/>
      <w:spacing w:line="360" w:lineRule="exact"/>
      <w:jc w:val="center"/>
    </w:pPr>
  </w:style>
  <w:style w:type="character" w:customStyle="1" w:styleId="69">
    <w:name w:val="正文文本缩进 2 Char1"/>
    <w:basedOn w:val="32"/>
    <w:qFormat/>
    <w:uiPriority w:val="0"/>
    <w:rPr>
      <w:kern w:val="2"/>
      <w:sz w:val="21"/>
      <w:szCs w:val="24"/>
    </w:rPr>
  </w:style>
  <w:style w:type="character" w:customStyle="1" w:styleId="70">
    <w:name w:val="新格式表 Char Char"/>
    <w:link w:val="71"/>
    <w:qFormat/>
    <w:uiPriority w:val="0"/>
    <w:rPr>
      <w:snapToGrid w:val="0"/>
      <w:color w:val="FF0000"/>
      <w:kern w:val="2"/>
      <w:sz w:val="21"/>
      <w:szCs w:val="21"/>
    </w:rPr>
  </w:style>
  <w:style w:type="paragraph" w:customStyle="1" w:styleId="71">
    <w:name w:val="新格式表"/>
    <w:basedOn w:val="1"/>
    <w:link w:val="70"/>
    <w:qFormat/>
    <w:uiPriority w:val="0"/>
    <w:pPr>
      <w:jc w:val="center"/>
    </w:pPr>
    <w:rPr>
      <w:snapToGrid w:val="0"/>
      <w:color w:val="FF0000"/>
      <w:szCs w:val="21"/>
    </w:rPr>
  </w:style>
  <w:style w:type="character" w:customStyle="1" w:styleId="72">
    <w:name w:val="本文正文 Char"/>
    <w:link w:val="73"/>
    <w:qFormat/>
    <w:uiPriority w:val="0"/>
    <w:rPr>
      <w:color w:val="000000"/>
      <w:kern w:val="2"/>
      <w:sz w:val="24"/>
      <w:szCs w:val="22"/>
    </w:rPr>
  </w:style>
  <w:style w:type="paragraph" w:customStyle="1" w:styleId="73">
    <w:name w:val="本文正文"/>
    <w:basedOn w:val="1"/>
    <w:link w:val="72"/>
    <w:qFormat/>
    <w:uiPriority w:val="0"/>
    <w:pPr>
      <w:adjustRightInd w:val="0"/>
      <w:snapToGrid w:val="0"/>
      <w:spacing w:line="440" w:lineRule="exact"/>
      <w:ind w:firstLine="480" w:firstLineChars="200"/>
      <w:textAlignment w:val="baseline"/>
    </w:pPr>
    <w:rPr>
      <w:color w:val="000000"/>
      <w:sz w:val="24"/>
      <w:szCs w:val="22"/>
    </w:rPr>
  </w:style>
  <w:style w:type="character" w:customStyle="1" w:styleId="74">
    <w:name w:val="批注文字 字符1"/>
    <w:semiHidden/>
    <w:qFormat/>
    <w:uiPriority w:val="0"/>
    <w:rPr>
      <w:rFonts w:ascii="Times New Roman" w:hAnsi="Times New Roman" w:eastAsia="宋体"/>
      <w:sz w:val="24"/>
    </w:rPr>
  </w:style>
  <w:style w:type="character" w:customStyle="1" w:styleId="75">
    <w:name w:val="表头1 Char"/>
    <w:link w:val="76"/>
    <w:qFormat/>
    <w:uiPriority w:val="0"/>
    <w:rPr>
      <w:rFonts w:eastAsia="黑体"/>
      <w:sz w:val="21"/>
      <w:szCs w:val="28"/>
    </w:rPr>
  </w:style>
  <w:style w:type="paragraph" w:customStyle="1" w:styleId="76">
    <w:name w:val="表头1"/>
    <w:basedOn w:val="1"/>
    <w:next w:val="1"/>
    <w:link w:val="75"/>
    <w:qFormat/>
    <w:uiPriority w:val="0"/>
    <w:pPr>
      <w:adjustRightInd w:val="0"/>
      <w:snapToGrid w:val="0"/>
      <w:spacing w:line="400" w:lineRule="exact"/>
      <w:jc w:val="center"/>
    </w:pPr>
    <w:rPr>
      <w:rFonts w:eastAsia="黑体"/>
      <w:kern w:val="0"/>
      <w:szCs w:val="28"/>
    </w:rPr>
  </w:style>
  <w:style w:type="character" w:customStyle="1" w:styleId="77">
    <w:name w:val="样式 小四1 Char"/>
    <w:link w:val="78"/>
    <w:qFormat/>
    <w:uiPriority w:val="0"/>
    <w:rPr>
      <w:kern w:val="2"/>
      <w:sz w:val="24"/>
      <w:szCs w:val="32"/>
      <w:lang w:val="en-US" w:eastAsia="zh-CN" w:bidi="ar-SA"/>
    </w:rPr>
  </w:style>
  <w:style w:type="paragraph" w:customStyle="1" w:styleId="78">
    <w:name w:val="样式 小四1"/>
    <w:link w:val="77"/>
    <w:qFormat/>
    <w:uiPriority w:val="0"/>
    <w:pPr>
      <w:spacing w:line="480" w:lineRule="exact"/>
      <w:jc w:val="both"/>
    </w:pPr>
    <w:rPr>
      <w:rFonts w:ascii="Times New Roman" w:hAnsi="Times New Roman" w:eastAsia="宋体" w:cs="Times New Roman"/>
      <w:kern w:val="2"/>
      <w:sz w:val="24"/>
      <w:szCs w:val="32"/>
      <w:lang w:val="en-US" w:eastAsia="zh-CN" w:bidi="ar-SA"/>
    </w:rPr>
  </w:style>
  <w:style w:type="character" w:customStyle="1" w:styleId="79">
    <w:name w:val="正文111111111 Char"/>
    <w:link w:val="80"/>
    <w:qFormat/>
    <w:uiPriority w:val="0"/>
    <w:rPr>
      <w:rFonts w:cs="宋体"/>
      <w:kern w:val="2"/>
      <w:sz w:val="24"/>
    </w:rPr>
  </w:style>
  <w:style w:type="paragraph" w:customStyle="1" w:styleId="80">
    <w:name w:val="正文111111111"/>
    <w:basedOn w:val="1"/>
    <w:link w:val="79"/>
    <w:qFormat/>
    <w:uiPriority w:val="0"/>
    <w:pPr>
      <w:spacing w:line="360" w:lineRule="auto"/>
      <w:ind w:firstLine="480" w:firstLineChars="200"/>
    </w:pPr>
    <w:rPr>
      <w:sz w:val="24"/>
      <w:szCs w:val="20"/>
    </w:rPr>
  </w:style>
  <w:style w:type="character" w:customStyle="1" w:styleId="81">
    <w:name w:val="正文文本 字符1"/>
    <w:semiHidden/>
    <w:qFormat/>
    <w:uiPriority w:val="0"/>
    <w:rPr>
      <w:rFonts w:ascii="Times New Roman" w:hAnsi="Times New Roman" w:eastAsia="宋体"/>
      <w:sz w:val="24"/>
    </w:rPr>
  </w:style>
  <w:style w:type="character" w:customStyle="1" w:styleId="82">
    <w:name w:val="日期 字符"/>
    <w:semiHidden/>
    <w:qFormat/>
    <w:uiPriority w:val="0"/>
    <w:rPr>
      <w:rFonts w:ascii="Times New Roman" w:hAnsi="Times New Roman" w:eastAsia="宋体"/>
      <w:sz w:val="24"/>
    </w:rPr>
  </w:style>
  <w:style w:type="character" w:customStyle="1" w:styleId="83">
    <w:name w:val="正文文本 3 Char1"/>
    <w:basedOn w:val="32"/>
    <w:qFormat/>
    <w:uiPriority w:val="0"/>
    <w:rPr>
      <w:kern w:val="2"/>
      <w:sz w:val="16"/>
      <w:szCs w:val="16"/>
    </w:rPr>
  </w:style>
  <w:style w:type="character" w:customStyle="1" w:styleId="84">
    <w:name w:val="页脚 字符"/>
    <w:basedOn w:val="32"/>
    <w:qFormat/>
    <w:uiPriority w:val="99"/>
  </w:style>
  <w:style w:type="character" w:customStyle="1" w:styleId="85">
    <w:name w:val="font11"/>
    <w:basedOn w:val="32"/>
    <w:qFormat/>
    <w:uiPriority w:val="0"/>
    <w:rPr>
      <w:rFonts w:hint="default" w:ascii="Times New Roman" w:hAnsi="Times New Roman" w:cs="Times New Roman"/>
      <w:color w:val="000000"/>
      <w:sz w:val="21"/>
      <w:szCs w:val="21"/>
      <w:u w:val="none"/>
    </w:rPr>
  </w:style>
  <w:style w:type="character" w:customStyle="1" w:styleId="86">
    <w:name w:val="font01"/>
    <w:basedOn w:val="32"/>
    <w:qFormat/>
    <w:uiPriority w:val="0"/>
    <w:rPr>
      <w:rFonts w:hint="eastAsia" w:ascii="宋体" w:hAnsi="宋体" w:eastAsia="宋体" w:cs="宋体"/>
      <w:color w:val="000000"/>
      <w:sz w:val="21"/>
      <w:szCs w:val="21"/>
      <w:u w:val="none"/>
    </w:rPr>
  </w:style>
  <w:style w:type="paragraph" w:customStyle="1" w:styleId="87">
    <w:name w:val="表格内居中文字"/>
    <w:basedOn w:val="1"/>
    <w:qFormat/>
    <w:uiPriority w:val="0"/>
    <w:pPr>
      <w:spacing w:line="320" w:lineRule="atLeast"/>
      <w:jc w:val="center"/>
    </w:pPr>
    <w:rPr>
      <w:rFonts w:ascii="Calibri" w:hAnsi="Calibri"/>
      <w:sz w:val="22"/>
    </w:rPr>
  </w:style>
  <w:style w:type="paragraph" w:customStyle="1" w:styleId="88">
    <w:name w:val="样式1"/>
    <w:basedOn w:val="1"/>
    <w:qFormat/>
    <w:uiPriority w:val="99"/>
    <w:pPr>
      <w:tabs>
        <w:tab w:val="left" w:pos="1842"/>
      </w:tabs>
      <w:spacing w:line="520" w:lineRule="exact"/>
    </w:pPr>
    <w:rPr>
      <w:rFonts w:ascii="宋体" w:hAnsi="宋体"/>
      <w:sz w:val="24"/>
    </w:rPr>
  </w:style>
  <w:style w:type="paragraph" w:customStyle="1" w:styleId="89">
    <w:name w:val="表"/>
    <w:basedOn w:val="12"/>
    <w:qFormat/>
    <w:uiPriority w:val="0"/>
    <w:pPr>
      <w:spacing w:line="320" w:lineRule="exact"/>
      <w:ind w:left="-6" w:leftChars="-3"/>
    </w:pPr>
    <w:rPr>
      <w:rFonts w:ascii="宋体" w:hAnsi="宋体" w:cs="Dutch801 Rm BT"/>
      <w:sz w:val="24"/>
    </w:rPr>
  </w:style>
  <w:style w:type="paragraph" w:customStyle="1" w:styleId="90">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91">
    <w:name w:val="标题 59"/>
    <w:basedOn w:val="1"/>
    <w:qFormat/>
    <w:uiPriority w:val="0"/>
    <w:pPr>
      <w:spacing w:line="440" w:lineRule="exact"/>
    </w:pPr>
    <w:rPr>
      <w:rFonts w:ascii="宋体" w:hAnsi="宋体"/>
      <w:b/>
      <w:color w:val="000000"/>
      <w:sz w:val="24"/>
    </w:rPr>
  </w:style>
  <w:style w:type="paragraph" w:customStyle="1" w:styleId="92">
    <w:name w:val="环评正文"/>
    <w:basedOn w:val="3"/>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0"/>
    </w:rPr>
  </w:style>
  <w:style w:type="paragraph" w:customStyle="1" w:styleId="93">
    <w:name w:val="正文样式 小四"/>
    <w:basedOn w:val="1"/>
    <w:qFormat/>
    <w:uiPriority w:val="0"/>
    <w:pPr>
      <w:spacing w:line="500" w:lineRule="exact"/>
      <w:ind w:firstLine="480" w:firstLineChars="200"/>
    </w:pPr>
    <w:rPr>
      <w:rFonts w:ascii="宋体" w:hAnsi="Calibri"/>
      <w:sz w:val="24"/>
      <w:szCs w:val="22"/>
    </w:rPr>
  </w:style>
  <w:style w:type="paragraph" w:customStyle="1" w:styleId="94">
    <w:name w:val="正文样式 Char"/>
    <w:basedOn w:val="1"/>
    <w:qFormat/>
    <w:uiPriority w:val="0"/>
    <w:pPr>
      <w:adjustRightInd w:val="0"/>
      <w:snapToGrid w:val="0"/>
      <w:spacing w:line="460" w:lineRule="exact"/>
      <w:ind w:firstLine="200" w:firstLineChars="200"/>
    </w:pPr>
    <w:rPr>
      <w:rFonts w:ascii="Calibri" w:hAnsi="Calibri"/>
      <w:color w:val="000000"/>
      <w:sz w:val="26"/>
      <w:szCs w:val="26"/>
    </w:rPr>
  </w:style>
  <w:style w:type="paragraph" w:customStyle="1" w:styleId="95">
    <w:name w:val="Table Paragraph"/>
    <w:basedOn w:val="1"/>
    <w:qFormat/>
    <w:uiPriority w:val="1"/>
    <w:pPr>
      <w:jc w:val="center"/>
    </w:pPr>
    <w:rPr>
      <w:rFonts w:ascii="宋体" w:hAnsi="宋体" w:cs="宋体"/>
      <w:kern w:val="0"/>
      <w:sz w:val="22"/>
      <w:szCs w:val="22"/>
      <w:lang w:eastAsia="en-US"/>
    </w:rPr>
  </w:style>
  <w:style w:type="paragraph" w:customStyle="1" w:styleId="96">
    <w:name w:val="xl31"/>
    <w:basedOn w:val="1"/>
    <w:qFormat/>
    <w:uiPriority w:val="0"/>
    <w:pPr>
      <w:widowControl/>
      <w:spacing w:before="100" w:beforeAutospacing="1" w:after="100" w:afterAutospacing="1"/>
      <w:jc w:val="center"/>
    </w:pPr>
    <w:rPr>
      <w:rFonts w:ascii="Dutch801 Rm BT" w:hAnsi="Dutch801 Rm BT" w:cs="Dutch801 Rm BT"/>
      <w:kern w:val="0"/>
      <w:sz w:val="24"/>
    </w:rPr>
  </w:style>
  <w:style w:type="paragraph" w:customStyle="1" w:styleId="97">
    <w:name w:val="样式 小四 行距: 固定值 16 磅"/>
    <w:basedOn w:val="1"/>
    <w:qFormat/>
    <w:uiPriority w:val="0"/>
    <w:pPr>
      <w:snapToGrid w:val="0"/>
      <w:spacing w:line="400" w:lineRule="exact"/>
      <w:ind w:firstLine="480" w:firstLineChars="200"/>
    </w:pPr>
    <w:rPr>
      <w:rFonts w:ascii="Dutch801 Rm BT" w:hAnsi="Dutch801 Rm BT" w:cs="Dutch801 Rm BT"/>
      <w:sz w:val="24"/>
      <w:szCs w:val="20"/>
    </w:rPr>
  </w:style>
  <w:style w:type="paragraph" w:customStyle="1" w:styleId="9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9">
    <w:name w:val="表内文字"/>
    <w:basedOn w:val="1"/>
    <w:qFormat/>
    <w:uiPriority w:val="0"/>
    <w:pPr>
      <w:adjustRightInd w:val="0"/>
      <w:snapToGrid w:val="0"/>
      <w:jc w:val="center"/>
    </w:pPr>
    <w:rPr>
      <w:rFonts w:cs="宋体"/>
      <w:color w:val="000000"/>
      <w:kern w:val="0"/>
      <w:szCs w:val="21"/>
    </w:rPr>
  </w:style>
  <w:style w:type="paragraph" w:customStyle="1" w:styleId="10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表文煤矿排版"/>
    <w:basedOn w:val="1"/>
    <w:next w:val="1"/>
    <w:qFormat/>
    <w:uiPriority w:val="0"/>
    <w:pPr>
      <w:adjustRightInd w:val="0"/>
      <w:snapToGrid w:val="0"/>
      <w:jc w:val="center"/>
    </w:pPr>
    <w:rPr>
      <w:sz w:val="22"/>
      <w:szCs w:val="22"/>
    </w:rPr>
  </w:style>
  <w:style w:type="paragraph" w:customStyle="1" w:styleId="102">
    <w:name w:val="h正文表格文字"/>
    <w:basedOn w:val="1"/>
    <w:qFormat/>
    <w:uiPriority w:val="99"/>
    <w:pPr>
      <w:jc w:val="center"/>
    </w:pPr>
    <w:rPr>
      <w:rFonts w:ascii="Calibri" w:hAnsi="Calibri" w:eastAsia="仿宋_GB2312"/>
    </w:rPr>
  </w:style>
  <w:style w:type="table" w:customStyle="1" w:styleId="103">
    <w:name w:val="网格型4"/>
    <w:basedOn w:val="30"/>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4">
    <w:name w:val="font21"/>
    <w:basedOn w:val="32"/>
    <w:qFormat/>
    <w:uiPriority w:val="0"/>
    <w:rPr>
      <w:rFonts w:hint="eastAsia" w:ascii="宋体" w:hAnsi="宋体" w:eastAsia="宋体" w:cs="宋体"/>
      <w:color w:val="000000"/>
      <w:sz w:val="21"/>
      <w:szCs w:val="21"/>
      <w:u w:val="none"/>
    </w:rPr>
  </w:style>
  <w:style w:type="paragraph" w:customStyle="1" w:styleId="105">
    <w:name w:val="标题01"/>
    <w:basedOn w:val="26"/>
    <w:next w:val="1"/>
    <w:qFormat/>
    <w:uiPriority w:val="0"/>
    <w:pPr>
      <w:spacing w:before="0" w:beforeAutospacing="0" w:after="0" w:afterAutospacing="0"/>
      <w:outlineLvl w:val="1"/>
    </w:pPr>
    <w:rPr>
      <w:rFonts w:ascii="Times New Roman" w:hAnsi="Times New Roman"/>
      <w:b/>
      <w:snapToGrid w:val="0"/>
      <w:sz w:val="21"/>
      <w:szCs w:val="30"/>
    </w:rPr>
  </w:style>
  <w:style w:type="paragraph" w:customStyle="1" w:styleId="106">
    <w:name w:val="表格字"/>
    <w:basedOn w:val="68"/>
    <w:qFormat/>
    <w:uiPriority w:val="0"/>
    <w:pPr>
      <w:spacing w:line="280" w:lineRule="exact"/>
    </w:pPr>
    <w:rPr>
      <w:sz w:val="18"/>
    </w:rPr>
  </w:style>
  <w:style w:type="paragraph" w:customStyle="1" w:styleId="107">
    <w:name w:val="小表格"/>
    <w:basedOn w:val="1"/>
    <w:qFormat/>
    <w:uiPriority w:val="0"/>
    <w:pPr>
      <w:spacing w:line="320" w:lineRule="exact"/>
      <w:jc w:val="center"/>
    </w:pPr>
    <w:rPr>
      <w:szCs w:val="20"/>
    </w:rPr>
  </w:style>
  <w:style w:type="paragraph" w:customStyle="1" w:styleId="108">
    <w:name w:val="表格文字"/>
    <w:basedOn w:val="1"/>
    <w:qFormat/>
    <w:uiPriority w:val="0"/>
    <w:pPr>
      <w:adjustRightInd w:val="0"/>
      <w:snapToGrid w:val="0"/>
      <w:spacing w:beforeLines="10" w:line="240" w:lineRule="atLeast"/>
      <w:jc w:val="center"/>
      <w:textAlignment w:val="baseline"/>
    </w:pPr>
    <w:rPr>
      <w:snapToGrid w:val="0"/>
      <w:kern w:val="0"/>
      <w:szCs w:val="28"/>
    </w:rPr>
  </w:style>
  <w:style w:type="character" w:customStyle="1" w:styleId="109">
    <w:name w:val="font41"/>
    <w:basedOn w:val="32"/>
    <w:qFormat/>
    <w:uiPriority w:val="0"/>
    <w:rPr>
      <w:rFonts w:hint="eastAsia" w:ascii="宋体" w:hAnsi="宋体" w:eastAsia="宋体" w:cs="宋体"/>
      <w:color w:val="000000"/>
      <w:sz w:val="18"/>
      <w:szCs w:val="18"/>
      <w:u w:val="none"/>
    </w:rPr>
  </w:style>
  <w:style w:type="character" w:customStyle="1" w:styleId="110">
    <w:name w:val="font31"/>
    <w:basedOn w:val="32"/>
    <w:qFormat/>
    <w:uiPriority w:val="0"/>
    <w:rPr>
      <w:rFonts w:hint="eastAsia" w:ascii="宋体" w:hAnsi="宋体" w:eastAsia="宋体" w:cs="宋体"/>
      <w:color w:val="FF0000"/>
      <w:sz w:val="18"/>
      <w:szCs w:val="18"/>
      <w:u w:val="none"/>
    </w:rPr>
  </w:style>
  <w:style w:type="paragraph" w:customStyle="1" w:styleId="111">
    <w:name w:val="表格正文"/>
    <w:basedOn w:val="1"/>
    <w:qFormat/>
    <w:uiPriority w:val="0"/>
    <w:pPr>
      <w:widowControl/>
      <w:spacing w:line="300" w:lineRule="exact"/>
      <w:jc w:val="center"/>
    </w:pPr>
    <w:rPr>
      <w:rFonts w:ascii="宋体" w:hAnsi="宋体" w:cs="宋体"/>
      <w:kern w:val="0"/>
      <w:sz w:val="24"/>
    </w:rPr>
  </w:style>
  <w:style w:type="paragraph" w:customStyle="1" w:styleId="112">
    <w:name w:val="表格文字五号"/>
    <w:basedOn w:val="1"/>
    <w:qFormat/>
    <w:uiPriority w:val="0"/>
    <w:pPr>
      <w:autoSpaceDE w:val="0"/>
      <w:autoSpaceDN w:val="0"/>
      <w:spacing w:line="240" w:lineRule="auto"/>
      <w:ind w:left="0" w:firstLine="0" w:firstLineChars="0"/>
      <w:jc w:val="center"/>
    </w:pPr>
    <w:rPr>
      <w:rFonts w:cs="Calibri"/>
      <w:sz w:val="21"/>
      <w:szCs w:val="21"/>
    </w:rPr>
  </w:style>
  <w:style w:type="paragraph" w:customStyle="1" w:styleId="113">
    <w:name w:val="表格样式"/>
    <w:basedOn w:val="1"/>
    <w:qFormat/>
    <w:uiPriority w:val="0"/>
    <w:pPr>
      <w:contextualSpacing/>
    </w:pPr>
    <w:rPr>
      <w:rFonts w:ascii="Times New Roman" w:hAnsi="Times New Roman"/>
      <w:szCs w:val="24"/>
    </w:rPr>
  </w:style>
  <w:style w:type="paragraph" w:customStyle="1" w:styleId="114">
    <w:name w:val="Table Text"/>
    <w:basedOn w:val="1"/>
    <w:semiHidden/>
    <w:qFormat/>
    <w:uiPriority w:val="0"/>
    <w:rPr>
      <w:rFonts w:ascii="宋体" w:hAnsi="宋体" w:eastAsia="宋体" w:cs="宋体"/>
      <w:sz w:val="24"/>
      <w:szCs w:val="24"/>
    </w:rPr>
  </w:style>
  <w:style w:type="paragraph" w:customStyle="1" w:styleId="115">
    <w:name w:val="样式3"/>
    <w:basedOn w:val="1"/>
    <w:qFormat/>
    <w:uiPriority w:val="0"/>
    <w:pPr>
      <w:adjustRightInd w:val="0"/>
      <w:snapToGrid w:val="0"/>
      <w:spacing w:line="460" w:lineRule="exact"/>
      <w:ind w:firstLine="480" w:firstLineChars="200"/>
    </w:pPr>
    <w:rPr>
      <w:rFonts w:ascii="Arial" w:hAnsi="Arial"/>
      <w:snapToGrid w:val="0"/>
      <w:kern w:val="0"/>
      <w:sz w:val="24"/>
    </w:rPr>
  </w:style>
  <w:style w:type="paragraph" w:customStyle="1" w:styleId="116">
    <w:name w:val="表格标题标题"/>
    <w:basedOn w:val="1"/>
    <w:qFormat/>
    <w:uiPriority w:val="0"/>
    <w:pPr>
      <w:adjustRightInd w:val="0"/>
      <w:snapToGrid w:val="0"/>
      <w:spacing w:line="360" w:lineRule="auto"/>
      <w:ind w:firstLine="560"/>
      <w:jc w:val="center"/>
    </w:pPr>
    <w:rPr>
      <w:kern w:val="0"/>
      <w:sz w:val="24"/>
      <w:szCs w:val="20"/>
    </w:rPr>
  </w:style>
  <w:style w:type="paragraph" w:customStyle="1" w:styleId="117">
    <w:name w:val="样式13"/>
    <w:basedOn w:val="13"/>
    <w:qFormat/>
    <w:uiPriority w:val="0"/>
    <w:pPr>
      <w:adjustRightInd w:val="0"/>
      <w:snapToGrid w:val="0"/>
      <w:spacing w:after="0" w:line="500" w:lineRule="exact"/>
      <w:ind w:left="0" w:leftChars="0" w:firstLine="780" w:firstLineChars="300"/>
      <w:jc w:val="center"/>
    </w:pPr>
    <w:rPr>
      <w:rFonts w:ascii="Times New Roman" w:hAnsi="宋体"/>
      <w:color w:val="000000"/>
      <w:sz w:val="26"/>
      <w:szCs w:val="26"/>
    </w:rPr>
  </w:style>
  <w:style w:type="paragraph" w:customStyle="1" w:styleId="118">
    <w:name w:val="表内字"/>
    <w:basedOn w:val="119"/>
    <w:qFormat/>
    <w:uiPriority w:val="0"/>
    <w:pPr>
      <w:spacing w:line="360" w:lineRule="exact"/>
    </w:pPr>
    <w:rPr>
      <w:kern w:val="0"/>
      <w:sz w:val="24"/>
    </w:rPr>
  </w:style>
  <w:style w:type="paragraph" w:customStyle="1" w:styleId="119">
    <w:name w:val="表内123"/>
    <w:basedOn w:val="1"/>
    <w:qFormat/>
    <w:uiPriority w:val="0"/>
    <w:pPr>
      <w:jc w:val="center"/>
    </w:pPr>
    <w:rPr>
      <w:szCs w:val="21"/>
    </w:rPr>
  </w:style>
  <w:style w:type="paragraph" w:customStyle="1" w:styleId="120">
    <w:name w:val="正 文"/>
    <w:basedOn w:val="1"/>
    <w:qFormat/>
    <w:uiPriority w:val="0"/>
    <w:pPr>
      <w:adjustRightInd w:val="0"/>
      <w:snapToGrid w:val="0"/>
      <w:spacing w:line="480" w:lineRule="exact"/>
      <w:ind w:firstLine="200" w:firstLineChars="200"/>
    </w:pPr>
    <w:rPr>
      <w:kern w:val="0"/>
      <w:sz w:val="24"/>
      <w:szCs w:val="20"/>
    </w:rPr>
  </w:style>
  <w:style w:type="paragraph" w:customStyle="1" w:styleId="121">
    <w:name w:val="表格体"/>
    <w:basedOn w:val="1"/>
    <w:qFormat/>
    <w:uiPriority w:val="0"/>
    <w:pPr>
      <w:spacing w:line="300" w:lineRule="auto"/>
      <w:jc w:val="center"/>
    </w:pPr>
    <w:rPr>
      <w:szCs w:val="18"/>
    </w:rPr>
  </w:style>
  <w:style w:type="paragraph" w:customStyle="1" w:styleId="122">
    <w:name w:val="【正文】"/>
    <w:basedOn w:val="1"/>
    <w:qFormat/>
    <w:uiPriority w:val="0"/>
    <w:pPr>
      <w:adjustRightInd w:val="0"/>
      <w:snapToGrid w:val="0"/>
      <w:spacing w:line="360" w:lineRule="auto"/>
      <w:ind w:firstLine="200" w:firstLineChars="200"/>
    </w:pPr>
    <w:rPr>
      <w:rFonts w:eastAsia="宋体"/>
      <w:szCs w:val="20"/>
    </w:rPr>
  </w:style>
  <w:style w:type="paragraph" w:customStyle="1" w:styleId="123">
    <w:name w:val="首行缩进正文"/>
    <w:basedOn w:val="1"/>
    <w:qFormat/>
    <w:uiPriority w:val="0"/>
    <w:pPr>
      <w:spacing w:line="360" w:lineRule="auto"/>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0.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wmf"/><Relationship Id="rId37" Type="http://schemas.openxmlformats.org/officeDocument/2006/relationships/oleObject" Target="embeddings/oleObject12.bin"/><Relationship Id="rId36" Type="http://schemas.openxmlformats.org/officeDocument/2006/relationships/image" Target="media/image18.wmf"/><Relationship Id="rId35" Type="http://schemas.openxmlformats.org/officeDocument/2006/relationships/oleObject" Target="embeddings/oleObject11.bin"/><Relationship Id="rId34" Type="http://schemas.openxmlformats.org/officeDocument/2006/relationships/image" Target="media/image17.wmf"/><Relationship Id="rId33" Type="http://schemas.openxmlformats.org/officeDocument/2006/relationships/oleObject" Target="embeddings/oleObject10.bin"/><Relationship Id="rId32" Type="http://schemas.openxmlformats.org/officeDocument/2006/relationships/image" Target="media/image16.wmf"/><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119</Words>
  <Characters>142</Characters>
  <Lines>83</Lines>
  <Paragraphs>96</Paragraphs>
  <TotalTime>0</TotalTime>
  <ScaleCrop>false</ScaleCrop>
  <LinksUpToDate>false</LinksUpToDate>
  <CharactersWithSpaces>207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2023-03-29T08:29:00Z</dcterms:created>
  <dc:creator>lhj</dc:creator>
  <cp:lastModifiedBy>奋斗的小青年</cp:lastModifiedBy>
  <cp:lastPrinted>2021-06-23T09:08:00Z</cp:lastPrinted>
  <dcterms:modified xsi:type="dcterms:W3CDTF">2025-11-03T02:09:09Z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8FD3D77BF47744EFBF239BD91EEC51AE_13</vt:lpwstr>
  </property>
  <property fmtid="{D5CDD505-2E9C-101B-9397-08002B2CF9AE}" pid="4" name="KSOTemplateDocerSaveRecord">
    <vt:lpwstr>eyJoZGlkIjoiNWE4NzBmYjM2NmViODI1ZTc5MmYxY2ExYmZjOWYxNDEiLCJ1c2VySWQiOiI0ODk0ODk3MDEifQ==</vt:lpwstr>
  </property>
</Properties>
</file>